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1C0F" w14:textId="77777777" w:rsidR="0087651E" w:rsidRPr="00F602A1" w:rsidRDefault="0087651E" w:rsidP="0087651E">
      <w:pPr>
        <w:spacing w:after="120" w:line="480" w:lineRule="auto"/>
        <w:jc w:val="center"/>
        <w:rPr>
          <w:rFonts w:cs="Arial"/>
          <w:b/>
          <w:sz w:val="28"/>
          <w:szCs w:val="28"/>
          <w:lang w:val="en-US"/>
        </w:rPr>
      </w:pPr>
      <w:r w:rsidRPr="00F602A1">
        <w:rPr>
          <w:rFonts w:cs="Arial"/>
          <w:b/>
          <w:sz w:val="28"/>
          <w:szCs w:val="28"/>
          <w:lang w:val="en-US"/>
        </w:rPr>
        <w:t>SUPPLEMENTARY DIGITAL CONTENT 1</w:t>
      </w:r>
    </w:p>
    <w:p w14:paraId="6BAD1C10" w14:textId="77777777" w:rsidR="0087651E" w:rsidRPr="000D16D0" w:rsidRDefault="0087651E" w:rsidP="0087651E">
      <w:pPr>
        <w:spacing w:after="240"/>
        <w:rPr>
          <w:rFonts w:cs="Arial"/>
          <w:lang w:val="en-US"/>
        </w:rPr>
      </w:pPr>
      <w:r w:rsidRPr="000D16D0">
        <w:rPr>
          <w:rFonts w:cs="Arial"/>
          <w:b/>
          <w:lang w:val="en-US"/>
        </w:rPr>
        <w:t xml:space="preserve">TABLE </w:t>
      </w:r>
      <w:r>
        <w:rPr>
          <w:rFonts w:cs="Arial"/>
          <w:b/>
          <w:lang w:val="en-US"/>
        </w:rPr>
        <w:t>S</w:t>
      </w:r>
      <w:r w:rsidRPr="000D16D0">
        <w:rPr>
          <w:rFonts w:cs="Arial"/>
          <w:b/>
          <w:lang w:val="en-US"/>
        </w:rPr>
        <w:t>1.</w:t>
      </w:r>
      <w:r w:rsidRPr="000D16D0">
        <w:rPr>
          <w:rFonts w:cs="Arial"/>
          <w:lang w:val="en-US"/>
        </w:rPr>
        <w:t xml:space="preserve"> Overview of the </w:t>
      </w:r>
      <w:r w:rsidRPr="008D4334">
        <w:rPr>
          <w:rFonts w:cs="Arial"/>
          <w:lang w:val="en-US"/>
        </w:rPr>
        <w:t>Patient-Reported Outcomes</w:t>
      </w:r>
      <w:r>
        <w:rPr>
          <w:rFonts w:cs="Arial"/>
          <w:lang w:val="en-US"/>
        </w:rPr>
        <w:t xml:space="preserve"> </w:t>
      </w:r>
      <w:r w:rsidRPr="000D16D0">
        <w:rPr>
          <w:rFonts w:cs="Arial"/>
          <w:lang w:val="en-US"/>
        </w:rPr>
        <w:t xml:space="preserve">used to Assess Workplace Productivity and Functioning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87651E" w:rsidRPr="008A303E" w14:paraId="6BAD1C12" w14:textId="77777777" w:rsidTr="008B408B">
        <w:tc>
          <w:tcPr>
            <w:tcW w:w="92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D1C11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 xml:space="preserve">Work Limitations Questionnaire (WLQ) </w:t>
            </w:r>
          </w:p>
        </w:tc>
      </w:tr>
      <w:tr w:rsidR="0087651E" w:rsidRPr="008A303E" w14:paraId="6BAD1C15" w14:textId="77777777" w:rsidTr="008B408B"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AD1C13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Objective</w:t>
            </w:r>
          </w:p>
        </w:tc>
        <w:tc>
          <w:tcPr>
            <w:tcW w:w="71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AD1C14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 xml:space="preserve">To assess the impact of health problems, </w:t>
            </w:r>
            <w:r w:rsidRPr="00F602A1">
              <w:rPr>
                <w:rFonts w:cs="Arial"/>
                <w:color w:val="000000"/>
                <w:szCs w:val="22"/>
                <w:shd w:val="clear" w:color="auto" w:fill="FFFFFF"/>
                <w:lang w:val="en-US"/>
              </w:rPr>
              <w:t xml:space="preserve">including </w:t>
            </w:r>
            <w:r>
              <w:rPr>
                <w:rFonts w:cs="Arial"/>
                <w:color w:val="000000"/>
                <w:szCs w:val="22"/>
                <w:shd w:val="clear" w:color="auto" w:fill="FFFFFF"/>
                <w:lang w:val="en-US"/>
              </w:rPr>
              <w:t>major depressive disorder</w:t>
            </w:r>
            <w:r w:rsidRPr="00F602A1">
              <w:rPr>
                <w:rFonts w:cs="Arial"/>
                <w:color w:val="000000"/>
                <w:szCs w:val="22"/>
                <w:shd w:val="clear" w:color="auto" w:fill="FFFFFF"/>
                <w:lang w:val="en-US"/>
              </w:rPr>
              <w:t>, on at-work performance and productivity (presenteeism)</w:t>
            </w:r>
            <w:r w:rsidRPr="00F602A1">
              <w:rPr>
                <w:rFonts w:cs="Arial"/>
                <w:szCs w:val="22"/>
                <w:vertAlign w:val="superscript"/>
                <w:lang w:val="en-US" w:eastAsia="en-GB"/>
              </w:rPr>
              <w:t>1,2</w:t>
            </w:r>
          </w:p>
        </w:tc>
      </w:tr>
      <w:tr w:rsidR="0087651E" w:rsidRPr="008A303E" w14:paraId="6BAD1C18" w14:textId="77777777" w:rsidTr="008B408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16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Rater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17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Patient</w:t>
            </w:r>
          </w:p>
        </w:tc>
      </w:tr>
      <w:tr w:rsidR="0087651E" w:rsidRPr="00FE04C1" w14:paraId="6BAD1C1B" w14:textId="77777777" w:rsidTr="008B408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19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Recall period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1A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2 weeks</w:t>
            </w:r>
          </w:p>
        </w:tc>
      </w:tr>
      <w:tr w:rsidR="0087651E" w:rsidRPr="00FE04C1" w14:paraId="6BAD1C21" w14:textId="77777777" w:rsidTr="008B408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1C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Domains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1D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Time management (five items assessing difficulty in working the required hours and managing time and scheduling demands)</w:t>
            </w:r>
          </w:p>
          <w:p w14:paraId="6BAD1C1E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Physical demands (six items assessing ability to perform work-related physical activities)</w:t>
            </w:r>
          </w:p>
          <w:p w14:paraId="6BAD1C1F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Mental-interpersonal demands (nine items assessing difficultly with cognitively demanding tasks and interactions with co-workers)</w:t>
            </w:r>
          </w:p>
          <w:p w14:paraId="6BAD1C20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Output demands (five items assessing difficulty with handling the workload and meeting deadlines)</w:t>
            </w:r>
          </w:p>
        </w:tc>
      </w:tr>
      <w:tr w:rsidR="0087651E" w:rsidRPr="00FE04C1" w14:paraId="6BAD1C26" w14:textId="77777777" w:rsidTr="00240D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22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Scoring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23" w14:textId="77777777" w:rsidR="0087651E" w:rsidRPr="00F602A1" w:rsidRDefault="0087651E" w:rsidP="008B408B">
            <w:pPr>
              <w:spacing w:before="60" w:after="60"/>
              <w:rPr>
                <w:rFonts w:cs="Arial"/>
                <w:color w:val="000000"/>
                <w:szCs w:val="22"/>
                <w:shd w:val="clear" w:color="auto" w:fill="FFFFFF"/>
                <w:lang w:val="en-US"/>
              </w:rPr>
            </w:pPr>
            <w:r w:rsidRPr="00F602A1">
              <w:rPr>
                <w:rFonts w:cs="Arial"/>
                <w:color w:val="000000"/>
                <w:szCs w:val="22"/>
                <w:shd w:val="clear" w:color="auto" w:fill="FFFFFF"/>
                <w:lang w:val="en-US"/>
              </w:rPr>
              <w:t xml:space="preserve">Items are rated on a scale from </w:t>
            </w:r>
            <w:r w:rsidRPr="00F602A1">
              <w:rPr>
                <w:rFonts w:cs="Arial"/>
                <w:szCs w:val="22"/>
                <w:lang w:val="en-US"/>
              </w:rPr>
              <w:t>1 (all of the time) to 5 (none of the time)</w:t>
            </w:r>
          </w:p>
          <w:p w14:paraId="6BAD1C24" w14:textId="77777777" w:rsidR="0087651E" w:rsidRPr="00F602A1" w:rsidRDefault="0087651E" w:rsidP="008B408B">
            <w:pPr>
              <w:spacing w:before="60" w:after="60"/>
              <w:rPr>
                <w:rFonts w:cs="Arial"/>
                <w:color w:val="000000"/>
                <w:szCs w:val="22"/>
                <w:shd w:val="clear" w:color="auto" w:fill="FFFFFF"/>
                <w:lang w:val="en-US"/>
              </w:rPr>
            </w:pPr>
            <w:r w:rsidRPr="00F602A1">
              <w:rPr>
                <w:rFonts w:cs="Arial"/>
                <w:color w:val="000000"/>
                <w:szCs w:val="22"/>
                <w:shd w:val="clear" w:color="auto" w:fill="FFFFFF"/>
                <w:lang w:val="en-US"/>
              </w:rPr>
              <w:t>Domain scores range from 0% (limited none of the time) to 100% (limited all of the time)</w:t>
            </w:r>
          </w:p>
          <w:p w14:paraId="6BAD1C25" w14:textId="77777777" w:rsidR="0087651E" w:rsidRPr="00F602A1" w:rsidRDefault="0087651E" w:rsidP="008B408B">
            <w:pPr>
              <w:spacing w:before="60" w:after="60"/>
              <w:rPr>
                <w:rFonts w:cs="Arial"/>
                <w:color w:val="000000"/>
                <w:szCs w:val="22"/>
                <w:shd w:val="clear" w:color="auto" w:fill="FFFFFF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The WLQ p</w:t>
            </w:r>
            <w:r w:rsidRPr="00F602A1">
              <w:rPr>
                <w:rFonts w:cs="Arial"/>
                <w:color w:val="000000"/>
                <w:szCs w:val="22"/>
                <w:lang w:val="en-US" w:eastAsia="en-GB"/>
              </w:rPr>
              <w:t xml:space="preserve">roductivity </w:t>
            </w:r>
            <w:r w:rsidRPr="00F602A1">
              <w:rPr>
                <w:rFonts w:cs="Arial"/>
                <w:szCs w:val="22"/>
                <w:lang w:val="en-US"/>
              </w:rPr>
              <w:t>l</w:t>
            </w:r>
            <w:r w:rsidRPr="00F602A1">
              <w:rPr>
                <w:rFonts w:cs="Arial"/>
                <w:color w:val="000000"/>
                <w:szCs w:val="22"/>
                <w:lang w:val="en-US" w:eastAsia="en-GB"/>
              </w:rPr>
              <w:t>oss score is derived from a weighted sum of the scores from the</w:t>
            </w:r>
            <w:r w:rsidRPr="00F602A1">
              <w:rPr>
                <w:rFonts w:cs="Arial"/>
                <w:szCs w:val="22"/>
                <w:lang w:val="en-US"/>
              </w:rPr>
              <w:t xml:space="preserve"> four WLQ domains</w:t>
            </w:r>
            <w:r w:rsidRPr="00F602A1">
              <w:rPr>
                <w:rFonts w:cs="Arial"/>
                <w:color w:val="000000"/>
                <w:szCs w:val="22"/>
                <w:lang w:val="en-US" w:eastAsia="en-GB"/>
              </w:rPr>
              <w:t xml:space="preserve"> (known as the WLQ Index</w:t>
            </w:r>
            <w:r w:rsidRPr="00F602A1">
              <w:rPr>
                <w:rFonts w:cs="Arial"/>
                <w:szCs w:val="22"/>
                <w:lang w:val="en-US"/>
              </w:rPr>
              <w:t xml:space="preserve"> Score), which is then converted to generate a percentage productivity loss estimate relative to healthy controls (range 0–25%), with higher scores indicating more severe impairment</w:t>
            </w:r>
          </w:p>
        </w:tc>
      </w:tr>
      <w:tr w:rsidR="0087651E" w:rsidRPr="00FE04C1" w14:paraId="6BAD1C29" w14:textId="77777777" w:rsidTr="008B408B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D1C27" w14:textId="77777777" w:rsidR="0087651E" w:rsidRPr="008D4334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8D4334">
              <w:rPr>
                <w:rFonts w:cs="Arial"/>
                <w:b/>
                <w:szCs w:val="22"/>
                <w:lang w:val="en-US"/>
              </w:rPr>
              <w:t>Reliability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D1C28" w14:textId="77777777" w:rsidR="0087651E" w:rsidRPr="008D4334" w:rsidRDefault="0087651E" w:rsidP="008B408B">
            <w:pPr>
              <w:spacing w:before="60" w:after="60"/>
              <w:rPr>
                <w:rFonts w:cs="Arial"/>
                <w:color w:val="000000"/>
                <w:szCs w:val="22"/>
                <w:shd w:val="clear" w:color="auto" w:fill="FFFFFF"/>
                <w:lang w:val="en-US"/>
              </w:rPr>
            </w:pPr>
            <w:r w:rsidRPr="008D4334">
              <w:rPr>
                <w:rFonts w:cs="Arial"/>
                <w:color w:val="000000"/>
                <w:szCs w:val="22"/>
                <w:lang w:val="en-US" w:eastAsia="en-GB"/>
              </w:rPr>
              <w:t>Cronbach’s α, ≥0.90 in patients with asthma, gastrointestinal diseases, psychiatric disorders (depression and/or generalized anxiety), and epilepsy</w:t>
            </w:r>
            <w:r w:rsidRPr="008D4334">
              <w:rPr>
                <w:rFonts w:cs="Arial"/>
                <w:color w:val="000000"/>
                <w:szCs w:val="22"/>
                <w:vertAlign w:val="superscript"/>
                <w:lang w:val="en-US" w:eastAsia="en-GB"/>
              </w:rPr>
              <w:t>1</w:t>
            </w:r>
          </w:p>
        </w:tc>
      </w:tr>
      <w:tr w:rsidR="0087651E" w:rsidRPr="00FE04C1" w14:paraId="6BAD1C2B" w14:textId="77777777" w:rsidTr="008B408B">
        <w:tc>
          <w:tcPr>
            <w:tcW w:w="92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D1C2A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bCs/>
                <w:szCs w:val="22"/>
                <w:lang w:val="en-US" w:eastAsia="en-GB"/>
              </w:rPr>
              <w:t>Work Productivity and Activity Impairment (WPAI) questionnaire</w:t>
            </w:r>
          </w:p>
        </w:tc>
      </w:tr>
      <w:tr w:rsidR="0087651E" w:rsidRPr="00FE04C1" w14:paraId="6BAD1C2E" w14:textId="77777777" w:rsidTr="008B408B"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AD1C2C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Objective</w:t>
            </w:r>
          </w:p>
        </w:tc>
        <w:tc>
          <w:tcPr>
            <w:tcW w:w="71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AD1C2D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To assess the impact of a health problem and symptom severity on work productivity</w:t>
            </w:r>
            <w:r w:rsidRPr="00F602A1">
              <w:rPr>
                <w:rFonts w:cs="Arial"/>
                <w:szCs w:val="22"/>
                <w:vertAlign w:val="superscript"/>
                <w:lang w:val="en-US" w:eastAsia="en-GB"/>
              </w:rPr>
              <w:t>3</w:t>
            </w:r>
          </w:p>
        </w:tc>
      </w:tr>
      <w:tr w:rsidR="0087651E" w:rsidRPr="00FE04C1" w14:paraId="6BAD1C31" w14:textId="77777777" w:rsidTr="008B408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2F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Rater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30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Patient</w:t>
            </w:r>
          </w:p>
        </w:tc>
      </w:tr>
      <w:tr w:rsidR="0087651E" w:rsidRPr="00FE04C1" w14:paraId="6BAD1C34" w14:textId="77777777" w:rsidTr="008B408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32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Recall period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33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7 days</w:t>
            </w:r>
          </w:p>
        </w:tc>
      </w:tr>
      <w:tr w:rsidR="0087651E" w:rsidRPr="00FE04C1" w14:paraId="6BAD1C3B" w14:textId="77777777" w:rsidTr="008B408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35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Domains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36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Number of hours missed due to the health problem</w:t>
            </w:r>
          </w:p>
          <w:p w14:paraId="6BAD1C37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Number of hours missed due to other reasons</w:t>
            </w:r>
          </w:p>
          <w:p w14:paraId="6BAD1C38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Hours actually worked</w:t>
            </w:r>
          </w:p>
          <w:p w14:paraId="6BAD1C39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Degree to which the health problem affected productivity while working</w:t>
            </w:r>
          </w:p>
          <w:p w14:paraId="6BAD1C3A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Degree to which the health problem affected non-work daily activities</w:t>
            </w:r>
          </w:p>
        </w:tc>
      </w:tr>
      <w:tr w:rsidR="0087651E" w:rsidRPr="00FE04C1" w14:paraId="6BAD1C42" w14:textId="77777777" w:rsidTr="00240D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3C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Scoring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3D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 xml:space="preserve">Based on validated algorithms, the WPAI yields four </w:t>
            </w:r>
            <w:proofErr w:type="spellStart"/>
            <w:r w:rsidRPr="00F602A1">
              <w:rPr>
                <w:rFonts w:cs="Arial"/>
                <w:szCs w:val="22"/>
                <w:lang w:val="en-US"/>
              </w:rPr>
              <w:t>subscores</w:t>
            </w:r>
            <w:proofErr w:type="spellEnd"/>
            <w:r w:rsidRPr="00F602A1">
              <w:rPr>
                <w:rFonts w:cs="Arial"/>
                <w:szCs w:val="22"/>
                <w:lang w:val="en-US"/>
              </w:rPr>
              <w:t xml:space="preserve">, with higher scores indicating greater impairment: </w:t>
            </w:r>
          </w:p>
          <w:p w14:paraId="6BAD1C3E" w14:textId="77777777" w:rsidR="0087651E" w:rsidRPr="00F602A1" w:rsidRDefault="0087651E" w:rsidP="0087651E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Absenteeism (percent work time missed)</w:t>
            </w:r>
          </w:p>
          <w:p w14:paraId="6BAD1C3F" w14:textId="77777777" w:rsidR="0087651E" w:rsidRPr="00F602A1" w:rsidRDefault="0087651E" w:rsidP="0087651E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Presenteeism (percent time impaired at work)</w:t>
            </w:r>
          </w:p>
          <w:p w14:paraId="6BAD1C40" w14:textId="77777777" w:rsidR="0087651E" w:rsidRPr="00F602A1" w:rsidRDefault="0087651E" w:rsidP="0087651E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lastRenderedPageBreak/>
              <w:t>Work</w:t>
            </w:r>
            <w:r w:rsidRPr="00F602A1">
              <w:rPr>
                <w:szCs w:val="22"/>
                <w:lang w:val="en-US"/>
              </w:rPr>
              <w:t xml:space="preserve"> </w:t>
            </w:r>
            <w:r w:rsidRPr="00F602A1">
              <w:rPr>
                <w:rFonts w:cs="Arial"/>
                <w:szCs w:val="22"/>
                <w:lang w:val="en-US"/>
              </w:rPr>
              <w:t>productivity loss (percent overall work impairment)</w:t>
            </w:r>
          </w:p>
          <w:p w14:paraId="6BAD1C41" w14:textId="77777777" w:rsidR="0087651E" w:rsidRPr="00F602A1" w:rsidRDefault="0087651E" w:rsidP="0087651E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Percent activity impairment</w:t>
            </w:r>
          </w:p>
        </w:tc>
      </w:tr>
      <w:tr w:rsidR="0087651E" w:rsidRPr="00FE04C1" w14:paraId="6BAD1C45" w14:textId="77777777" w:rsidTr="008B408B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D1C43" w14:textId="77777777" w:rsidR="0087651E" w:rsidRPr="008D4334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8D4334">
              <w:rPr>
                <w:rFonts w:cs="Arial"/>
                <w:b/>
                <w:szCs w:val="22"/>
                <w:lang w:val="en-US"/>
              </w:rPr>
              <w:lastRenderedPageBreak/>
              <w:t>Reliability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D1C44" w14:textId="77777777" w:rsidR="0087651E" w:rsidRPr="008D4334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8D4334">
              <w:rPr>
                <w:rFonts w:cs="Arial"/>
                <w:szCs w:val="22"/>
                <w:lang w:val="en-US"/>
              </w:rPr>
              <w:t>Evaluation of internal consistency reliability not applicable, as responses are obtained using a single construct (productivity at work)</w:t>
            </w:r>
            <w:r w:rsidRPr="008D4334">
              <w:rPr>
                <w:rFonts w:cs="Arial"/>
                <w:szCs w:val="22"/>
                <w:vertAlign w:val="superscript"/>
                <w:lang w:val="en-US"/>
              </w:rPr>
              <w:t>4</w:t>
            </w:r>
          </w:p>
        </w:tc>
      </w:tr>
      <w:tr w:rsidR="0087651E" w:rsidRPr="00FE04C1" w14:paraId="6BAD1C47" w14:textId="77777777" w:rsidTr="008B408B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D1C46" w14:textId="77777777" w:rsidR="0087651E" w:rsidRPr="008D4334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8D4334">
              <w:rPr>
                <w:rFonts w:cs="Arial"/>
                <w:b/>
                <w:bCs/>
                <w:szCs w:val="22"/>
                <w:lang w:val="en-US" w:eastAsia="en-GB"/>
              </w:rPr>
              <w:t>Sheehan Disability Scale (SDS)</w:t>
            </w:r>
          </w:p>
        </w:tc>
      </w:tr>
      <w:tr w:rsidR="0087651E" w:rsidRPr="00FE04C1" w14:paraId="6BAD1C4A" w14:textId="77777777" w:rsidTr="008B408B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D1C48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szCs w:val="22"/>
                <w:lang w:val="en-US"/>
              </w:rPr>
              <w:br w:type="page"/>
            </w:r>
            <w:r w:rsidRPr="00F602A1">
              <w:rPr>
                <w:rFonts w:cs="Arial"/>
                <w:b/>
                <w:szCs w:val="22"/>
                <w:lang w:val="en-US"/>
              </w:rPr>
              <w:t>Objective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D1C49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To assess the degree of functional impairment on work/school, social, and family life</w:t>
            </w:r>
            <w:r w:rsidRPr="00F602A1">
              <w:rPr>
                <w:rFonts w:cs="Arial"/>
                <w:szCs w:val="22"/>
                <w:vertAlign w:val="superscript"/>
                <w:lang w:val="en-US" w:eastAsia="en-GB"/>
              </w:rPr>
              <w:t>5</w:t>
            </w:r>
            <w:r>
              <w:rPr>
                <w:rFonts w:cs="Arial"/>
                <w:szCs w:val="22"/>
                <w:vertAlign w:val="superscript"/>
                <w:lang w:val="en-US" w:eastAsia="en-GB"/>
              </w:rPr>
              <w:t>,6</w:t>
            </w:r>
          </w:p>
        </w:tc>
      </w:tr>
      <w:tr w:rsidR="0087651E" w:rsidRPr="00FE04C1" w14:paraId="6BAD1C4D" w14:textId="77777777" w:rsidTr="008B408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4B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Rater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4C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Patient</w:t>
            </w:r>
          </w:p>
        </w:tc>
      </w:tr>
      <w:tr w:rsidR="0087651E" w:rsidRPr="00FE04C1" w14:paraId="6BAD1C50" w14:textId="77777777" w:rsidTr="008B408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4E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Recall period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4F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7 days</w:t>
            </w:r>
          </w:p>
        </w:tc>
      </w:tr>
      <w:tr w:rsidR="0087651E" w:rsidRPr="00FE04C1" w14:paraId="6BAD1C55" w14:textId="77777777" w:rsidTr="008B408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51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Domains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52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Work/school</w:t>
            </w:r>
          </w:p>
          <w:p w14:paraId="6BAD1C53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Social life/leisure</w:t>
            </w:r>
          </w:p>
          <w:p w14:paraId="6BAD1C54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Family life/home responsibilities</w:t>
            </w:r>
          </w:p>
        </w:tc>
      </w:tr>
      <w:tr w:rsidR="0087651E" w:rsidRPr="00FE04C1" w14:paraId="6BAD1C5A" w14:textId="77777777" w:rsidTr="00240D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56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Scoring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57" w14:textId="77777777" w:rsidR="0087651E" w:rsidRPr="00F602A1" w:rsidRDefault="0087651E" w:rsidP="008B408B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602A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degree of impairment for each domain is rated on a scale of 0–10, with higher values indicating greater impairment</w:t>
            </w:r>
          </w:p>
          <w:p w14:paraId="6BAD1C58" w14:textId="77777777" w:rsidR="0087651E" w:rsidRPr="00F602A1" w:rsidRDefault="0087651E" w:rsidP="008B408B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602A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Scores for the individual domains can be combined to generate a measure of global functional impairment that ranges from 0 (unimpaired) to 30 (highly impaired)</w:t>
            </w:r>
          </w:p>
          <w:p w14:paraId="6BAD1C59" w14:textId="77777777" w:rsidR="0087651E" w:rsidRPr="00F602A1" w:rsidRDefault="0087651E" w:rsidP="008B408B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602A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Functional remission is defined as an SDS total score of ≤6</w:t>
            </w:r>
          </w:p>
        </w:tc>
      </w:tr>
      <w:tr w:rsidR="0087651E" w:rsidRPr="00FE04C1" w14:paraId="6BAD1C5D" w14:textId="77777777" w:rsidTr="008B408B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D1C5B" w14:textId="77777777" w:rsidR="0087651E" w:rsidRPr="008D4334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bookmarkStart w:id="0" w:name="_GoBack"/>
            <w:r w:rsidRPr="008D4334">
              <w:rPr>
                <w:rFonts w:cs="Arial"/>
                <w:b/>
                <w:szCs w:val="22"/>
                <w:lang w:val="en-US"/>
              </w:rPr>
              <w:t>Reliability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D1C5C" w14:textId="77777777" w:rsidR="0087651E" w:rsidRPr="008D4334" w:rsidRDefault="0087651E" w:rsidP="008B408B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433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Cronbach’s α, 0.83–0.89 in primary care patients, including those with depression</w:t>
            </w:r>
            <w:r w:rsidRPr="008D433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8 </w:t>
            </w:r>
          </w:p>
        </w:tc>
      </w:tr>
      <w:bookmarkEnd w:id="0"/>
      <w:tr w:rsidR="0087651E" w:rsidRPr="00FE04C1" w14:paraId="6BAD1C5F" w14:textId="77777777" w:rsidTr="008B408B">
        <w:tc>
          <w:tcPr>
            <w:tcW w:w="92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D1C5E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color w:val="000000"/>
                <w:szCs w:val="22"/>
                <w:lang w:val="en-US" w:eastAsia="en-GB"/>
              </w:rPr>
              <w:t>World Health Organization Disability Assessment Schedule 2.0 (WHODAS 2.0)</w:t>
            </w:r>
          </w:p>
        </w:tc>
      </w:tr>
      <w:tr w:rsidR="0087651E" w:rsidRPr="00FE04C1" w14:paraId="6BAD1C62" w14:textId="77777777" w:rsidTr="008B408B"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AD1C60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Objective</w:t>
            </w:r>
          </w:p>
        </w:tc>
        <w:tc>
          <w:tcPr>
            <w:tcW w:w="71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AD1C61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 xml:space="preserve">Generic instrument to assess functioning and disability that can be used across all diseases, including mental </w:t>
            </w:r>
            <w:r>
              <w:rPr>
                <w:rFonts w:cs="Arial"/>
                <w:szCs w:val="22"/>
                <w:lang w:val="en-US"/>
              </w:rPr>
              <w:t xml:space="preserve">health </w:t>
            </w:r>
            <w:r w:rsidRPr="00F602A1">
              <w:rPr>
                <w:rFonts w:cs="Arial"/>
                <w:szCs w:val="22"/>
                <w:lang w:val="en-US"/>
              </w:rPr>
              <w:t>disorders</w:t>
            </w:r>
            <w:r>
              <w:rPr>
                <w:rFonts w:cs="Arial"/>
                <w:szCs w:val="22"/>
                <w:vertAlign w:val="superscript"/>
                <w:lang w:val="en-US" w:eastAsia="en-GB"/>
              </w:rPr>
              <w:t>9</w:t>
            </w:r>
          </w:p>
        </w:tc>
      </w:tr>
      <w:tr w:rsidR="0087651E" w:rsidRPr="00FE04C1" w14:paraId="6BAD1C65" w14:textId="77777777" w:rsidTr="008B408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63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Rater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64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Patient</w:t>
            </w:r>
          </w:p>
        </w:tc>
      </w:tr>
      <w:tr w:rsidR="0087651E" w:rsidRPr="00FE04C1" w14:paraId="6BAD1C68" w14:textId="77777777" w:rsidTr="008B408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66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Recall period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67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30 days</w:t>
            </w:r>
          </w:p>
        </w:tc>
      </w:tr>
      <w:tr w:rsidR="0087651E" w:rsidRPr="00FE04C1" w14:paraId="6BAD1C70" w14:textId="77777777" w:rsidTr="008B408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69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Domains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6A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Cognition (</w:t>
            </w:r>
            <w:r w:rsidRPr="00F602A1">
              <w:rPr>
                <w:color w:val="000000"/>
                <w:szCs w:val="22"/>
                <w:shd w:val="clear" w:color="auto" w:fill="FFFFFF"/>
                <w:lang w:val="en-US"/>
              </w:rPr>
              <w:t>understanding and communicating)</w:t>
            </w:r>
          </w:p>
          <w:p w14:paraId="6BAD1C6B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 xml:space="preserve">Mobility </w:t>
            </w:r>
            <w:r w:rsidRPr="00F602A1">
              <w:rPr>
                <w:color w:val="000000"/>
                <w:szCs w:val="22"/>
                <w:shd w:val="clear" w:color="auto" w:fill="FFFFFF"/>
                <w:lang w:val="en-US"/>
              </w:rPr>
              <w:t>(ability to move and get around)</w:t>
            </w:r>
          </w:p>
          <w:p w14:paraId="6BAD1C6C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Self-care (hygiene, dressing, eating, and staying alone)</w:t>
            </w:r>
          </w:p>
          <w:p w14:paraId="6BAD1C6D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Interpersonal actions (getting along with others)</w:t>
            </w:r>
          </w:p>
          <w:p w14:paraId="6BAD1C6E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Life activities (work, domestic, and leisure activities)</w:t>
            </w:r>
          </w:p>
          <w:p w14:paraId="6BAD1C6F" w14:textId="77777777" w:rsidR="0087651E" w:rsidRPr="00F602A1" w:rsidRDefault="0087651E" w:rsidP="008B408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F602A1">
              <w:rPr>
                <w:rFonts w:cs="Arial"/>
                <w:szCs w:val="22"/>
                <w:lang w:val="en-US"/>
              </w:rPr>
              <w:t>Participation (joining in community activities)</w:t>
            </w:r>
          </w:p>
        </w:tc>
      </w:tr>
      <w:tr w:rsidR="0087651E" w:rsidRPr="00FE04C1" w14:paraId="6BAD1C75" w14:textId="77777777" w:rsidTr="008B408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71" w14:textId="77777777" w:rsidR="0087651E" w:rsidRPr="00F602A1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F602A1">
              <w:rPr>
                <w:rFonts w:cs="Arial"/>
                <w:b/>
                <w:szCs w:val="22"/>
                <w:lang w:val="en-US"/>
              </w:rPr>
              <w:t>Scoring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C72" w14:textId="77777777" w:rsidR="0087651E" w:rsidRPr="00F602A1" w:rsidRDefault="0087651E" w:rsidP="008B408B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602A1">
              <w:rPr>
                <w:rFonts w:ascii="Arial" w:hAnsi="Arial" w:cs="Arial"/>
                <w:sz w:val="22"/>
                <w:szCs w:val="22"/>
              </w:rPr>
              <w:t>Each of the 12 items is scored from 0 (no difficulty) to 4 (extreme difficulty/cannot do) to provide a global disability score ranging from 0 (no disability) to 100 (full disability)</w:t>
            </w:r>
          </w:p>
          <w:p w14:paraId="6BAD1C73" w14:textId="77777777" w:rsidR="0087651E" w:rsidRPr="00F602A1" w:rsidRDefault="0087651E" w:rsidP="008B408B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602A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There is no agreed score for identifying good health</w:t>
            </w:r>
          </w:p>
          <w:p w14:paraId="6BAD1C74" w14:textId="77777777" w:rsidR="0087651E" w:rsidRPr="00F602A1" w:rsidRDefault="0087651E" w:rsidP="008B408B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602A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In a 2016 Canadian study, the mean WHODAS score in an overall community population was 14.2 (95%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confidence interval</w:t>
            </w:r>
            <w:r w:rsidRPr="00F602A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14.1 to 14.3)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10</w:t>
            </w:r>
          </w:p>
        </w:tc>
      </w:tr>
      <w:tr w:rsidR="0087651E" w:rsidRPr="00FE04C1" w14:paraId="6BAD1C78" w14:textId="77777777" w:rsidTr="008B408B"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AD1C76" w14:textId="77777777" w:rsidR="0087651E" w:rsidRPr="008D4334" w:rsidRDefault="0087651E" w:rsidP="008B408B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8D4334">
              <w:rPr>
                <w:rFonts w:cs="Arial"/>
                <w:b/>
                <w:szCs w:val="22"/>
                <w:lang w:val="en-US"/>
              </w:rPr>
              <w:t>Reliability</w:t>
            </w:r>
          </w:p>
        </w:tc>
        <w:tc>
          <w:tcPr>
            <w:tcW w:w="71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AD1C77" w14:textId="77777777" w:rsidR="0087651E" w:rsidRPr="008D4334" w:rsidRDefault="0087651E" w:rsidP="008B408B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D433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Cronbach’s α, 0.98 in patients with mental health disorders</w:t>
            </w:r>
            <w:r w:rsidRPr="008D433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11</w:t>
            </w:r>
          </w:p>
        </w:tc>
      </w:tr>
    </w:tbl>
    <w:p w14:paraId="6BAD1C79" w14:textId="77777777" w:rsidR="0087651E" w:rsidRDefault="0087651E" w:rsidP="0087651E">
      <w:pPr>
        <w:spacing w:after="120" w:line="480" w:lineRule="auto"/>
        <w:rPr>
          <w:rFonts w:cs="Arial"/>
          <w:color w:val="000000"/>
          <w:szCs w:val="22"/>
          <w:shd w:val="clear" w:color="auto" w:fill="FFFFFF"/>
          <w:lang w:val="en-US"/>
        </w:rPr>
      </w:pPr>
    </w:p>
    <w:p w14:paraId="6AF57C37" w14:textId="77777777" w:rsidR="001B7CA0" w:rsidRDefault="001B7CA0">
      <w:pPr>
        <w:spacing w:after="200" w:line="276" w:lineRule="auto"/>
        <w:rPr>
          <w:rStyle w:val="element-citation"/>
          <w:rFonts w:cs="Arial"/>
          <w:b/>
          <w:color w:val="000000"/>
          <w:sz w:val="28"/>
          <w:szCs w:val="28"/>
          <w:lang w:val="en-US"/>
        </w:rPr>
      </w:pPr>
      <w:r>
        <w:rPr>
          <w:rStyle w:val="element-citation"/>
          <w:rFonts w:cs="Arial"/>
          <w:b/>
          <w:color w:val="000000"/>
          <w:sz w:val="28"/>
          <w:szCs w:val="28"/>
          <w:lang w:val="en-US"/>
        </w:rPr>
        <w:br w:type="page"/>
      </w:r>
    </w:p>
    <w:p w14:paraId="6BAD1C7A" w14:textId="1E096F09" w:rsidR="0087651E" w:rsidRPr="003E38C9" w:rsidRDefault="0087651E" w:rsidP="0087651E">
      <w:pPr>
        <w:spacing w:after="120" w:line="480" w:lineRule="auto"/>
        <w:ind w:left="709" w:hanging="709"/>
        <w:jc w:val="center"/>
        <w:rPr>
          <w:rStyle w:val="element-citation"/>
          <w:rFonts w:cs="Arial"/>
          <w:b/>
          <w:color w:val="000000"/>
          <w:sz w:val="28"/>
          <w:szCs w:val="28"/>
          <w:lang w:val="en-US"/>
        </w:rPr>
      </w:pPr>
      <w:r w:rsidRPr="003E38C9">
        <w:rPr>
          <w:rStyle w:val="element-citation"/>
          <w:rFonts w:cs="Arial"/>
          <w:b/>
          <w:color w:val="000000"/>
          <w:sz w:val="28"/>
          <w:szCs w:val="28"/>
          <w:lang w:val="en-US"/>
        </w:rPr>
        <w:lastRenderedPageBreak/>
        <w:t>REFERENCES</w:t>
      </w:r>
    </w:p>
    <w:p w14:paraId="6BAD1C7B" w14:textId="77777777" w:rsidR="0087651E" w:rsidRPr="00476A15" w:rsidRDefault="0087651E" w:rsidP="0087651E">
      <w:pPr>
        <w:spacing w:after="120" w:line="480" w:lineRule="auto"/>
        <w:ind w:left="709" w:hanging="709"/>
        <w:rPr>
          <w:rFonts w:cs="Arial"/>
          <w:color w:val="000000"/>
          <w:szCs w:val="22"/>
          <w:lang w:val="da-DK"/>
        </w:rPr>
      </w:pPr>
      <w:r>
        <w:rPr>
          <w:rStyle w:val="element-citation"/>
          <w:rFonts w:cs="Arial"/>
          <w:color w:val="000000"/>
          <w:szCs w:val="22"/>
          <w:lang w:val="en-US"/>
        </w:rPr>
        <w:t>1</w:t>
      </w:r>
      <w:r w:rsidRPr="00FA2B89">
        <w:rPr>
          <w:rStyle w:val="element-citation"/>
          <w:rFonts w:cs="Arial"/>
          <w:color w:val="000000"/>
          <w:szCs w:val="22"/>
          <w:lang w:val="en-US"/>
        </w:rPr>
        <w:t>.</w:t>
      </w:r>
      <w:r w:rsidRPr="00FA2B89">
        <w:rPr>
          <w:rStyle w:val="element-citation"/>
          <w:rFonts w:cs="Arial"/>
          <w:color w:val="000000"/>
          <w:szCs w:val="22"/>
          <w:lang w:val="en-US"/>
        </w:rPr>
        <w:tab/>
      </w:r>
      <w:r w:rsidRPr="000D16D0">
        <w:rPr>
          <w:lang w:val="en-US"/>
        </w:rPr>
        <w:t xml:space="preserve">Lerner D, Amick BC 3rd, Rogers WH, </w:t>
      </w:r>
      <w:proofErr w:type="spellStart"/>
      <w:r w:rsidRPr="000D16D0">
        <w:rPr>
          <w:lang w:val="en-US"/>
        </w:rPr>
        <w:t>Malspeis</w:t>
      </w:r>
      <w:proofErr w:type="spellEnd"/>
      <w:r w:rsidRPr="000D16D0">
        <w:rPr>
          <w:lang w:val="en-US"/>
        </w:rPr>
        <w:t xml:space="preserve"> S, Bungay K, </w:t>
      </w:r>
      <w:proofErr w:type="spellStart"/>
      <w:r w:rsidRPr="000D16D0">
        <w:rPr>
          <w:lang w:val="en-US"/>
        </w:rPr>
        <w:t>Cynn</w:t>
      </w:r>
      <w:proofErr w:type="spellEnd"/>
      <w:r w:rsidRPr="000D16D0">
        <w:rPr>
          <w:lang w:val="en-US"/>
        </w:rPr>
        <w:t xml:space="preserve"> D. The Work Limitations Questionnaire. </w:t>
      </w:r>
      <w:r w:rsidRPr="00476A15">
        <w:rPr>
          <w:i/>
          <w:lang w:val="da-DK"/>
        </w:rPr>
        <w:t>Med Care.</w:t>
      </w:r>
      <w:r w:rsidRPr="00476A15">
        <w:rPr>
          <w:lang w:val="da-DK"/>
        </w:rPr>
        <w:t xml:space="preserve"> 2001;39:72–85.</w:t>
      </w:r>
    </w:p>
    <w:p w14:paraId="6BAD1C7C" w14:textId="77777777" w:rsidR="0087651E" w:rsidRPr="00FA2B89" w:rsidRDefault="0087651E" w:rsidP="0087651E">
      <w:pPr>
        <w:spacing w:after="120" w:line="480" w:lineRule="auto"/>
        <w:ind w:left="709" w:hanging="709"/>
        <w:rPr>
          <w:rFonts w:cs="Arial"/>
          <w:color w:val="000000"/>
          <w:szCs w:val="22"/>
          <w:lang w:val="en-US"/>
        </w:rPr>
      </w:pPr>
      <w:r w:rsidRPr="00476A15">
        <w:rPr>
          <w:rStyle w:val="element-citation"/>
          <w:rFonts w:cs="Arial"/>
          <w:color w:val="000000"/>
          <w:szCs w:val="22"/>
          <w:lang w:val="da-DK"/>
        </w:rPr>
        <w:t>2.</w:t>
      </w:r>
      <w:r w:rsidRPr="00476A15">
        <w:rPr>
          <w:lang w:val="da-DK"/>
        </w:rPr>
        <w:tab/>
        <w:t xml:space="preserve">Lerner D, Amick BC 3rd, Lee JC, et al. </w:t>
      </w:r>
      <w:r w:rsidRPr="000D16D0">
        <w:rPr>
          <w:lang w:val="en-US"/>
        </w:rPr>
        <w:t xml:space="preserve">Relationship of employee-reported work limitations to work productivity. </w:t>
      </w:r>
      <w:r w:rsidRPr="00FA2B89">
        <w:rPr>
          <w:i/>
          <w:lang w:val="en-US"/>
        </w:rPr>
        <w:t>Med Care.</w:t>
      </w:r>
      <w:r w:rsidRPr="00FA2B89">
        <w:rPr>
          <w:lang w:val="en-US"/>
        </w:rPr>
        <w:t xml:space="preserve"> </w:t>
      </w:r>
      <w:proofErr w:type="gramStart"/>
      <w:r w:rsidRPr="00FA2B89">
        <w:rPr>
          <w:lang w:val="en-US"/>
        </w:rPr>
        <w:t>2003;41:649</w:t>
      </w:r>
      <w:proofErr w:type="gramEnd"/>
      <w:r w:rsidRPr="00FA2B89">
        <w:rPr>
          <w:lang w:val="en-US"/>
        </w:rPr>
        <w:t>–659.</w:t>
      </w:r>
    </w:p>
    <w:p w14:paraId="6BAD1C7D" w14:textId="77777777" w:rsidR="0087651E" w:rsidRDefault="0087651E" w:rsidP="0087651E">
      <w:pPr>
        <w:spacing w:after="120" w:line="480" w:lineRule="auto"/>
        <w:ind w:left="709" w:hanging="709"/>
        <w:rPr>
          <w:rFonts w:cs="Arial"/>
          <w:lang w:val="en-US"/>
        </w:rPr>
      </w:pPr>
      <w:r w:rsidRPr="00FA2B89">
        <w:rPr>
          <w:rStyle w:val="element-citation"/>
          <w:rFonts w:cs="Arial"/>
          <w:color w:val="000000"/>
          <w:szCs w:val="22"/>
          <w:lang w:val="en-US"/>
        </w:rPr>
        <w:t>3.</w:t>
      </w:r>
      <w:r w:rsidRPr="00FA2B89">
        <w:rPr>
          <w:lang w:val="en-US"/>
        </w:rPr>
        <w:tab/>
        <w:t xml:space="preserve">Reilly MC, </w:t>
      </w:r>
      <w:proofErr w:type="spellStart"/>
      <w:r w:rsidRPr="00FA2B89">
        <w:rPr>
          <w:lang w:val="en-US"/>
        </w:rPr>
        <w:t>Zbrozek</w:t>
      </w:r>
      <w:proofErr w:type="spellEnd"/>
      <w:r w:rsidRPr="00FA2B89">
        <w:rPr>
          <w:lang w:val="en-US"/>
        </w:rPr>
        <w:t xml:space="preserve"> AS, Duke EM. </w:t>
      </w:r>
      <w:r w:rsidRPr="000D16D0">
        <w:rPr>
          <w:lang w:val="en-US"/>
        </w:rPr>
        <w:t xml:space="preserve">The validity and reproducibility of a work productivity and activity impairment instrument. </w:t>
      </w:r>
      <w:r w:rsidRPr="000D16D0">
        <w:rPr>
          <w:i/>
          <w:lang w:val="en-US"/>
        </w:rPr>
        <w:t xml:space="preserve">Pharmacoeconomics. </w:t>
      </w:r>
      <w:proofErr w:type="gramStart"/>
      <w:r w:rsidRPr="000D16D0">
        <w:rPr>
          <w:lang w:val="en-US"/>
        </w:rPr>
        <w:t>1993;4:353</w:t>
      </w:r>
      <w:proofErr w:type="gramEnd"/>
      <w:r w:rsidRPr="000D16D0">
        <w:rPr>
          <w:lang w:val="en-US"/>
        </w:rPr>
        <w:t>–365.</w:t>
      </w:r>
      <w:r w:rsidRPr="000D16D0">
        <w:rPr>
          <w:rFonts w:cs="Arial"/>
          <w:lang w:val="en-US"/>
        </w:rPr>
        <w:t xml:space="preserve"> </w:t>
      </w:r>
    </w:p>
    <w:p w14:paraId="6BAD1C7E" w14:textId="77777777" w:rsidR="0087651E" w:rsidRPr="007E0065" w:rsidRDefault="0087651E" w:rsidP="0087651E">
      <w:pPr>
        <w:spacing w:after="120" w:line="480" w:lineRule="auto"/>
        <w:ind w:left="709" w:hanging="709"/>
        <w:rPr>
          <w:rFonts w:cs="Arial"/>
          <w:lang w:val="en-US"/>
        </w:rPr>
      </w:pPr>
      <w:r w:rsidRPr="008D4334">
        <w:rPr>
          <w:rStyle w:val="element-citation"/>
          <w:rFonts w:cs="Arial"/>
          <w:color w:val="000000"/>
          <w:szCs w:val="22"/>
          <w:lang w:val="en-US"/>
        </w:rPr>
        <w:t>4.</w:t>
      </w:r>
      <w:r w:rsidRPr="008D4334">
        <w:tab/>
        <w:t xml:space="preserve">Prasad M, </w:t>
      </w:r>
      <w:proofErr w:type="spellStart"/>
      <w:r w:rsidRPr="008D4334">
        <w:t>Wahlqvist</w:t>
      </w:r>
      <w:proofErr w:type="spellEnd"/>
      <w:r w:rsidRPr="008D4334">
        <w:t xml:space="preserve"> P, </w:t>
      </w:r>
      <w:proofErr w:type="spellStart"/>
      <w:r w:rsidRPr="008D4334">
        <w:t>Shikiar</w:t>
      </w:r>
      <w:proofErr w:type="spellEnd"/>
      <w:r w:rsidRPr="008D4334">
        <w:t xml:space="preserve"> R, Shih YC. A review of self-report instruments measuring health-related work productivity: a patient-reported outcomes perspective. </w:t>
      </w:r>
      <w:r w:rsidRPr="008D4334">
        <w:rPr>
          <w:i/>
        </w:rPr>
        <w:t>Pharmacoeconomics.</w:t>
      </w:r>
      <w:r w:rsidRPr="008D4334">
        <w:t> </w:t>
      </w:r>
      <w:proofErr w:type="gramStart"/>
      <w:r w:rsidRPr="008D4334">
        <w:t>2004;22:225</w:t>
      </w:r>
      <w:proofErr w:type="gramEnd"/>
      <w:r w:rsidRPr="008D4334">
        <w:t>–244.</w:t>
      </w:r>
    </w:p>
    <w:p w14:paraId="6BAD1C7F" w14:textId="77777777" w:rsidR="0087651E" w:rsidRPr="00FA2B89" w:rsidRDefault="0087651E" w:rsidP="0087651E">
      <w:pPr>
        <w:spacing w:after="120" w:line="480" w:lineRule="auto"/>
        <w:ind w:left="709" w:hanging="709"/>
        <w:rPr>
          <w:rFonts w:cs="Arial"/>
          <w:color w:val="000000"/>
          <w:szCs w:val="22"/>
          <w:lang w:val="en-US"/>
        </w:rPr>
      </w:pPr>
      <w:r>
        <w:rPr>
          <w:rStyle w:val="element-citation"/>
          <w:rFonts w:cs="Arial"/>
          <w:color w:val="000000"/>
          <w:szCs w:val="22"/>
          <w:lang w:val="en-US"/>
        </w:rPr>
        <w:t>5</w:t>
      </w:r>
      <w:r w:rsidRPr="00FA2B89">
        <w:rPr>
          <w:rStyle w:val="element-citation"/>
          <w:rFonts w:cs="Arial"/>
          <w:color w:val="000000"/>
          <w:szCs w:val="22"/>
          <w:lang w:val="en-US"/>
        </w:rPr>
        <w:t>.</w:t>
      </w:r>
      <w:r w:rsidRPr="000D16D0">
        <w:rPr>
          <w:rStyle w:val="element-citation"/>
          <w:color w:val="000000"/>
          <w:lang w:val="en-US"/>
        </w:rPr>
        <w:tab/>
        <w:t xml:space="preserve">Sheehan DV, Harnett-Sheehan K, Raj BA. The measurement of disability. </w:t>
      </w:r>
      <w:r w:rsidRPr="000D16D0">
        <w:rPr>
          <w:rStyle w:val="ref-journal"/>
          <w:i/>
          <w:color w:val="000000"/>
          <w:lang w:val="en-US"/>
        </w:rPr>
        <w:t xml:space="preserve">Int Clin </w:t>
      </w:r>
      <w:proofErr w:type="spellStart"/>
      <w:r w:rsidRPr="000D16D0">
        <w:rPr>
          <w:rStyle w:val="ref-journal"/>
          <w:i/>
          <w:color w:val="000000"/>
          <w:lang w:val="en-US"/>
        </w:rPr>
        <w:t>Psychopharmacol</w:t>
      </w:r>
      <w:proofErr w:type="spellEnd"/>
      <w:r w:rsidRPr="000D16D0">
        <w:rPr>
          <w:rStyle w:val="ref-journal"/>
          <w:i/>
          <w:color w:val="000000"/>
          <w:lang w:val="en-US"/>
        </w:rPr>
        <w:t>.</w:t>
      </w:r>
      <w:r w:rsidRPr="000D16D0">
        <w:rPr>
          <w:rStyle w:val="ref-journal"/>
          <w:color w:val="000000"/>
          <w:lang w:val="en-US"/>
        </w:rPr>
        <w:t xml:space="preserve"> </w:t>
      </w:r>
      <w:r w:rsidRPr="000D16D0">
        <w:rPr>
          <w:rStyle w:val="element-citation"/>
          <w:color w:val="000000"/>
          <w:lang w:val="en-US"/>
        </w:rPr>
        <w:t xml:space="preserve">1996;11(Suppl 3):89–95. </w:t>
      </w:r>
    </w:p>
    <w:p w14:paraId="6BAD1C80" w14:textId="77777777" w:rsidR="0087651E" w:rsidRDefault="0087651E" w:rsidP="0087651E">
      <w:pPr>
        <w:spacing w:after="120" w:line="480" w:lineRule="auto"/>
        <w:ind w:left="709" w:hanging="709"/>
        <w:rPr>
          <w:rStyle w:val="element-citation"/>
          <w:color w:val="000000"/>
          <w:lang w:val="fr-FR"/>
        </w:rPr>
      </w:pPr>
      <w:r>
        <w:rPr>
          <w:rFonts w:cs="Arial"/>
          <w:color w:val="000000"/>
          <w:szCs w:val="22"/>
          <w:lang w:val="en-US"/>
        </w:rPr>
        <w:t>6</w:t>
      </w:r>
      <w:r w:rsidRPr="00FA2B89">
        <w:rPr>
          <w:rFonts w:cs="Arial"/>
          <w:color w:val="000000"/>
          <w:szCs w:val="22"/>
          <w:lang w:val="en-US"/>
        </w:rPr>
        <w:t>.</w:t>
      </w:r>
      <w:r w:rsidRPr="00FA2B89">
        <w:rPr>
          <w:rFonts w:cs="Arial"/>
          <w:color w:val="000000"/>
          <w:szCs w:val="22"/>
          <w:lang w:val="en-US"/>
        </w:rPr>
        <w:tab/>
      </w:r>
      <w:r w:rsidRPr="000D16D0">
        <w:rPr>
          <w:rStyle w:val="element-citation"/>
          <w:color w:val="000000"/>
          <w:lang w:val="en-US"/>
        </w:rPr>
        <w:t xml:space="preserve">Sheehan KH, Sheehan DV. Assessing treatment effects in clinical trials with the </w:t>
      </w:r>
      <w:proofErr w:type="spellStart"/>
      <w:r w:rsidRPr="000D16D0">
        <w:rPr>
          <w:rStyle w:val="element-citation"/>
          <w:color w:val="000000"/>
          <w:lang w:val="en-US"/>
        </w:rPr>
        <w:t>Discan</w:t>
      </w:r>
      <w:proofErr w:type="spellEnd"/>
      <w:r w:rsidRPr="000D16D0">
        <w:rPr>
          <w:rStyle w:val="element-citation"/>
          <w:color w:val="000000"/>
          <w:lang w:val="en-US"/>
        </w:rPr>
        <w:t xml:space="preserve"> metric of the Sheehan Disability Scale. </w:t>
      </w:r>
      <w:r w:rsidRPr="00476A15">
        <w:rPr>
          <w:rStyle w:val="ref-journal"/>
          <w:i/>
          <w:color w:val="000000"/>
          <w:lang w:val="fr-FR"/>
        </w:rPr>
        <w:t xml:space="preserve">Int Clin </w:t>
      </w:r>
      <w:proofErr w:type="spellStart"/>
      <w:r w:rsidRPr="00476A15">
        <w:rPr>
          <w:rStyle w:val="ref-journal"/>
          <w:i/>
          <w:color w:val="000000"/>
          <w:lang w:val="fr-FR"/>
        </w:rPr>
        <w:t>Psychopharmacol</w:t>
      </w:r>
      <w:proofErr w:type="spellEnd"/>
      <w:r w:rsidRPr="00476A15">
        <w:rPr>
          <w:rStyle w:val="ref-journal"/>
          <w:i/>
          <w:color w:val="000000"/>
          <w:lang w:val="fr-FR"/>
        </w:rPr>
        <w:t xml:space="preserve">. </w:t>
      </w:r>
      <w:r w:rsidRPr="00476A15">
        <w:rPr>
          <w:rStyle w:val="element-citation"/>
          <w:color w:val="000000"/>
          <w:lang w:val="fr-FR"/>
        </w:rPr>
        <w:t>2008;</w:t>
      </w:r>
      <w:r w:rsidRPr="00476A15">
        <w:rPr>
          <w:rStyle w:val="ref-vol"/>
          <w:color w:val="000000"/>
          <w:lang w:val="fr-FR"/>
        </w:rPr>
        <w:t>23:</w:t>
      </w:r>
      <w:r w:rsidRPr="00476A15">
        <w:rPr>
          <w:rStyle w:val="element-citation"/>
          <w:color w:val="000000"/>
          <w:lang w:val="fr-FR"/>
        </w:rPr>
        <w:t>70–83.</w:t>
      </w:r>
    </w:p>
    <w:p w14:paraId="6BAD1C81" w14:textId="77777777" w:rsidR="0087651E" w:rsidRPr="008D4334" w:rsidRDefault="0087651E" w:rsidP="0087651E">
      <w:pPr>
        <w:spacing w:after="120" w:line="480" w:lineRule="auto"/>
        <w:ind w:left="709" w:hanging="709"/>
        <w:rPr>
          <w:color w:val="000000"/>
          <w:szCs w:val="22"/>
        </w:rPr>
      </w:pPr>
      <w:r w:rsidRPr="008D4334">
        <w:rPr>
          <w:rStyle w:val="element-citation"/>
          <w:color w:val="000000"/>
          <w:lang w:val="fr-FR"/>
        </w:rPr>
        <w:t>7.</w:t>
      </w:r>
      <w:r w:rsidRPr="008D4334">
        <w:rPr>
          <w:rStyle w:val="element-citation"/>
          <w:color w:val="000000"/>
          <w:lang w:val="fr-FR"/>
        </w:rPr>
        <w:tab/>
      </w:r>
      <w:r w:rsidRPr="008D4334">
        <w:rPr>
          <w:rFonts w:cs="Arial"/>
          <w:bCs/>
          <w:color w:val="000000"/>
          <w:szCs w:val="22"/>
          <w:lang w:val="fr-FR"/>
        </w:rPr>
        <w:t>Leon</w:t>
      </w:r>
      <w:r w:rsidRPr="008D4334">
        <w:rPr>
          <w:rFonts w:cs="Arial"/>
          <w:color w:val="000000"/>
          <w:szCs w:val="22"/>
          <w:lang w:val="fr-FR"/>
        </w:rPr>
        <w:t xml:space="preserve"> AC, </w:t>
      </w:r>
      <w:proofErr w:type="spellStart"/>
      <w:r w:rsidRPr="008D4334">
        <w:rPr>
          <w:rFonts w:cs="Arial"/>
          <w:color w:val="000000"/>
          <w:szCs w:val="22"/>
          <w:lang w:val="fr-FR"/>
        </w:rPr>
        <w:t>Olfson</w:t>
      </w:r>
      <w:proofErr w:type="spellEnd"/>
      <w:r w:rsidRPr="008D4334">
        <w:rPr>
          <w:rFonts w:cs="Arial"/>
          <w:color w:val="000000"/>
          <w:szCs w:val="22"/>
          <w:lang w:val="fr-FR"/>
        </w:rPr>
        <w:t xml:space="preserve"> M, Portera L, et al. </w:t>
      </w:r>
      <w:r w:rsidRPr="008D4334">
        <w:rPr>
          <w:rFonts w:cs="Arial"/>
          <w:color w:val="000000"/>
          <w:szCs w:val="22"/>
        </w:rPr>
        <w:t xml:space="preserve">Assessing psychiatric impairment in primary care with the Sheehan Disability Scale. </w:t>
      </w:r>
      <w:r w:rsidRPr="008D4334">
        <w:rPr>
          <w:rStyle w:val="jrnl"/>
          <w:rFonts w:cs="Arial"/>
          <w:i/>
          <w:color w:val="000000"/>
          <w:szCs w:val="22"/>
        </w:rPr>
        <w:t>Int J Psychiatry Med</w:t>
      </w:r>
      <w:r w:rsidRPr="008D4334">
        <w:rPr>
          <w:rFonts w:cs="Arial"/>
          <w:i/>
          <w:color w:val="000000"/>
          <w:szCs w:val="22"/>
        </w:rPr>
        <w:t>.</w:t>
      </w:r>
      <w:r w:rsidRPr="008D4334">
        <w:rPr>
          <w:rFonts w:cs="Arial"/>
          <w:color w:val="000000"/>
          <w:szCs w:val="22"/>
        </w:rPr>
        <w:t> </w:t>
      </w:r>
      <w:proofErr w:type="gramStart"/>
      <w:r w:rsidRPr="008D4334">
        <w:rPr>
          <w:rFonts w:cs="Arial"/>
          <w:bCs/>
          <w:color w:val="000000"/>
          <w:szCs w:val="22"/>
        </w:rPr>
        <w:t>1997</w:t>
      </w:r>
      <w:r w:rsidRPr="008D4334">
        <w:rPr>
          <w:rFonts w:cs="Arial"/>
          <w:color w:val="000000"/>
          <w:szCs w:val="22"/>
        </w:rPr>
        <w:t>;27:93</w:t>
      </w:r>
      <w:proofErr w:type="gramEnd"/>
      <w:r w:rsidRPr="008D4334">
        <w:rPr>
          <w:rFonts w:cs="Arial"/>
          <w:color w:val="000000"/>
          <w:szCs w:val="22"/>
        </w:rPr>
        <w:t>–105.</w:t>
      </w:r>
    </w:p>
    <w:p w14:paraId="6BAD1C82" w14:textId="77777777" w:rsidR="0087651E" w:rsidRPr="00EE534A" w:rsidRDefault="0087651E" w:rsidP="0087651E">
      <w:pPr>
        <w:spacing w:after="120" w:line="480" w:lineRule="auto"/>
        <w:ind w:left="709" w:hanging="709"/>
        <w:rPr>
          <w:rStyle w:val="element-citation"/>
          <w:color w:val="000000"/>
          <w:szCs w:val="22"/>
        </w:rPr>
      </w:pPr>
      <w:r w:rsidRPr="008D4334">
        <w:rPr>
          <w:color w:val="000000"/>
          <w:szCs w:val="22"/>
        </w:rPr>
        <w:t>8.</w:t>
      </w:r>
      <w:r w:rsidRPr="008D4334">
        <w:rPr>
          <w:color w:val="000000"/>
          <w:szCs w:val="22"/>
        </w:rPr>
        <w:tab/>
      </w:r>
      <w:r w:rsidRPr="008D4334">
        <w:t>Luciano JV, Bertsch J, Salvador-</w:t>
      </w:r>
      <w:proofErr w:type="spellStart"/>
      <w:r w:rsidRPr="008D4334">
        <w:t>Carulla</w:t>
      </w:r>
      <w:proofErr w:type="spellEnd"/>
      <w:r w:rsidRPr="008D4334">
        <w:t xml:space="preserve"> L, et al. Factor structure, internal consistency and construct validity of the Sheehan Disability Scale in a Spanish primary care sample. </w:t>
      </w:r>
      <w:r w:rsidRPr="008D4334">
        <w:rPr>
          <w:i/>
        </w:rPr>
        <w:t xml:space="preserve">J Eval Clin </w:t>
      </w:r>
      <w:proofErr w:type="spellStart"/>
      <w:r w:rsidRPr="008D4334">
        <w:rPr>
          <w:i/>
        </w:rPr>
        <w:t>Pract</w:t>
      </w:r>
      <w:proofErr w:type="spellEnd"/>
      <w:r w:rsidRPr="008D4334">
        <w:rPr>
          <w:i/>
        </w:rPr>
        <w:t>.</w:t>
      </w:r>
      <w:r w:rsidRPr="008D4334">
        <w:t> </w:t>
      </w:r>
      <w:proofErr w:type="gramStart"/>
      <w:r w:rsidRPr="008D4334">
        <w:t>2010;16:895</w:t>
      </w:r>
      <w:proofErr w:type="gramEnd"/>
      <w:r w:rsidRPr="008D4334">
        <w:t>–901.</w:t>
      </w:r>
      <w:r w:rsidRPr="00AD5047">
        <w:t xml:space="preserve"> </w:t>
      </w:r>
    </w:p>
    <w:p w14:paraId="6BAD1C83" w14:textId="77777777" w:rsidR="0087651E" w:rsidRPr="000D16D0" w:rsidRDefault="0087651E" w:rsidP="0087651E">
      <w:pPr>
        <w:spacing w:after="120" w:line="480" w:lineRule="auto"/>
        <w:ind w:left="709" w:hanging="709"/>
        <w:rPr>
          <w:lang w:val="en-US"/>
        </w:rPr>
      </w:pPr>
      <w:r w:rsidRPr="00EE534A">
        <w:rPr>
          <w:rFonts w:cs="Arial"/>
          <w:color w:val="000000"/>
          <w:szCs w:val="22"/>
        </w:rPr>
        <w:t>9.</w:t>
      </w:r>
      <w:r w:rsidRPr="00EE534A">
        <w:rPr>
          <w:rFonts w:cs="Arial"/>
          <w:color w:val="000000"/>
          <w:szCs w:val="22"/>
        </w:rPr>
        <w:tab/>
      </w:r>
      <w:proofErr w:type="spellStart"/>
      <w:r w:rsidRPr="00EE534A">
        <w:t>Ust</w:t>
      </w:r>
      <w:r w:rsidRPr="00EE534A">
        <w:rPr>
          <w:rFonts w:cs="Arial"/>
        </w:rPr>
        <w:t>ü</w:t>
      </w:r>
      <w:r w:rsidRPr="00EE534A">
        <w:t>n</w:t>
      </w:r>
      <w:proofErr w:type="spellEnd"/>
      <w:r w:rsidRPr="00EE534A">
        <w:t xml:space="preserve"> TB, </w:t>
      </w:r>
      <w:proofErr w:type="spellStart"/>
      <w:r w:rsidRPr="00EE534A">
        <w:t>Chatterji</w:t>
      </w:r>
      <w:proofErr w:type="spellEnd"/>
      <w:r w:rsidRPr="00EE534A">
        <w:t xml:space="preserve"> S, </w:t>
      </w:r>
      <w:proofErr w:type="spellStart"/>
      <w:r w:rsidRPr="00EE534A">
        <w:t>Kostanjsek</w:t>
      </w:r>
      <w:proofErr w:type="spellEnd"/>
      <w:r w:rsidRPr="00EE534A">
        <w:t xml:space="preserve"> N, et al. </w:t>
      </w:r>
      <w:r w:rsidRPr="000D16D0">
        <w:rPr>
          <w:lang w:val="en-US"/>
        </w:rPr>
        <w:t xml:space="preserve">Developing the World Health Organization Disability Assessment Schedule 2.0. </w:t>
      </w:r>
      <w:r w:rsidRPr="000D16D0">
        <w:rPr>
          <w:i/>
          <w:lang w:val="en-US"/>
        </w:rPr>
        <w:t>Bull World Health Org.</w:t>
      </w:r>
      <w:r w:rsidRPr="000D16D0">
        <w:rPr>
          <w:lang w:val="en-US"/>
        </w:rPr>
        <w:t xml:space="preserve"> </w:t>
      </w:r>
      <w:proofErr w:type="gramStart"/>
      <w:r w:rsidRPr="000D16D0">
        <w:rPr>
          <w:lang w:val="en-US"/>
        </w:rPr>
        <w:t>2010;88:815</w:t>
      </w:r>
      <w:proofErr w:type="gramEnd"/>
      <w:r w:rsidRPr="000D16D0">
        <w:rPr>
          <w:lang w:val="en-US"/>
        </w:rPr>
        <w:t>–823.</w:t>
      </w:r>
    </w:p>
    <w:p w14:paraId="6BAD1C84" w14:textId="77777777" w:rsidR="0087651E" w:rsidRPr="008D4334" w:rsidRDefault="0087651E" w:rsidP="0087651E">
      <w:pPr>
        <w:spacing w:after="120" w:line="480" w:lineRule="auto"/>
        <w:ind w:left="709" w:hanging="709"/>
        <w:rPr>
          <w:rFonts w:cs="Arial"/>
          <w:color w:val="000000"/>
          <w:szCs w:val="22"/>
          <w:lang w:val="en-US"/>
        </w:rPr>
      </w:pPr>
      <w:r>
        <w:rPr>
          <w:rStyle w:val="element-citation"/>
          <w:rFonts w:cs="Arial"/>
          <w:color w:val="000000"/>
          <w:szCs w:val="22"/>
          <w:lang w:val="en-US"/>
        </w:rPr>
        <w:t>10</w:t>
      </w:r>
      <w:r w:rsidRPr="00FA2B89">
        <w:rPr>
          <w:rStyle w:val="element-citation"/>
          <w:rFonts w:cs="Arial"/>
          <w:color w:val="000000"/>
          <w:szCs w:val="22"/>
          <w:lang w:val="en-US"/>
        </w:rPr>
        <w:t>.</w:t>
      </w:r>
      <w:r w:rsidRPr="00FA2B89">
        <w:rPr>
          <w:rStyle w:val="element-citation"/>
          <w:rFonts w:cs="Arial"/>
          <w:color w:val="000000"/>
          <w:szCs w:val="22"/>
          <w:lang w:val="en-US"/>
        </w:rPr>
        <w:tab/>
      </w:r>
      <w:proofErr w:type="spellStart"/>
      <w:r w:rsidRPr="00FA2B89">
        <w:rPr>
          <w:rFonts w:cs="Arial"/>
          <w:color w:val="000000"/>
          <w:szCs w:val="22"/>
          <w:lang w:val="en-US"/>
        </w:rPr>
        <w:t>Sjonnesen</w:t>
      </w:r>
      <w:proofErr w:type="spellEnd"/>
      <w:r w:rsidRPr="00FA2B89">
        <w:rPr>
          <w:rFonts w:cs="Arial"/>
          <w:color w:val="000000"/>
          <w:szCs w:val="22"/>
          <w:lang w:val="en-US"/>
        </w:rPr>
        <w:t xml:space="preserve"> K, Bulloch AG, Williams J, </w:t>
      </w:r>
      <w:proofErr w:type="spellStart"/>
      <w:r w:rsidRPr="00FA2B89">
        <w:rPr>
          <w:rFonts w:cs="Arial"/>
          <w:color w:val="000000"/>
          <w:szCs w:val="22"/>
          <w:lang w:val="en-US"/>
        </w:rPr>
        <w:t>Lavorato</w:t>
      </w:r>
      <w:proofErr w:type="spellEnd"/>
      <w:r w:rsidRPr="00FA2B89">
        <w:rPr>
          <w:rFonts w:cs="Arial"/>
          <w:color w:val="000000"/>
          <w:szCs w:val="22"/>
          <w:lang w:val="en-US"/>
        </w:rPr>
        <w:t xml:space="preserve"> D, Patten SB. Characterization of disability in Canadians with mental disorders using an abbreviated version of a DSM-</w:t>
      </w:r>
      <w:r w:rsidRPr="00FA2B89">
        <w:rPr>
          <w:rFonts w:cs="Arial"/>
          <w:color w:val="000000"/>
          <w:szCs w:val="22"/>
          <w:lang w:val="en-US"/>
        </w:rPr>
        <w:lastRenderedPageBreak/>
        <w:t>5 emerging measure: the 12-Item WHO Disability Assessment Schedule (</w:t>
      </w:r>
      <w:r w:rsidRPr="00FA2B89">
        <w:rPr>
          <w:rStyle w:val="highlight"/>
          <w:rFonts w:cs="Arial"/>
          <w:color w:val="000000"/>
          <w:szCs w:val="22"/>
          <w:lang w:val="en-US"/>
        </w:rPr>
        <w:t>WHODAS</w:t>
      </w:r>
      <w:r w:rsidRPr="00FA2B89">
        <w:rPr>
          <w:rFonts w:cs="Arial"/>
          <w:color w:val="000000"/>
          <w:szCs w:val="22"/>
          <w:lang w:val="en-US"/>
        </w:rPr>
        <w:t xml:space="preserve">) 2.0. </w:t>
      </w:r>
      <w:r w:rsidRPr="00FA2B89">
        <w:rPr>
          <w:rFonts w:cs="Arial"/>
          <w:i/>
          <w:color w:val="000000"/>
          <w:szCs w:val="22"/>
          <w:lang w:val="en-US"/>
        </w:rPr>
        <w:t>Can J Psychiatry.</w:t>
      </w:r>
      <w:r w:rsidRPr="00FA2B89">
        <w:rPr>
          <w:rFonts w:cs="Arial"/>
          <w:color w:val="000000"/>
          <w:szCs w:val="22"/>
          <w:lang w:val="en-US"/>
        </w:rPr>
        <w:t xml:space="preserve"> </w:t>
      </w:r>
      <w:proofErr w:type="gramStart"/>
      <w:r w:rsidRPr="00FA2B89">
        <w:rPr>
          <w:rFonts w:cs="Arial"/>
          <w:color w:val="000000"/>
          <w:szCs w:val="22"/>
          <w:lang w:val="en-US"/>
        </w:rPr>
        <w:t>2016;61:227</w:t>
      </w:r>
      <w:proofErr w:type="gramEnd"/>
      <w:r w:rsidRPr="00FA2B89">
        <w:rPr>
          <w:rFonts w:cs="Arial"/>
          <w:color w:val="000000"/>
          <w:szCs w:val="22"/>
          <w:lang w:val="en-US"/>
        </w:rPr>
        <w:t>–235</w:t>
      </w:r>
      <w:r w:rsidRPr="008D4334">
        <w:rPr>
          <w:rFonts w:cs="Arial"/>
          <w:color w:val="000000"/>
          <w:szCs w:val="22"/>
          <w:lang w:val="en-US"/>
        </w:rPr>
        <w:t xml:space="preserve">. </w:t>
      </w:r>
    </w:p>
    <w:p w14:paraId="6BAD1C85" w14:textId="77777777" w:rsidR="0087651E" w:rsidRPr="001129F7" w:rsidRDefault="0087651E" w:rsidP="0087651E">
      <w:pPr>
        <w:spacing w:after="120" w:line="480" w:lineRule="auto"/>
        <w:ind w:left="709" w:hanging="709"/>
        <w:rPr>
          <w:rFonts w:cs="Arial"/>
          <w:color w:val="000000"/>
          <w:szCs w:val="22"/>
          <w:lang w:val="en-US"/>
        </w:rPr>
      </w:pPr>
      <w:r w:rsidRPr="008D4334">
        <w:t>11.</w:t>
      </w:r>
      <w:r w:rsidRPr="008D4334">
        <w:tab/>
      </w:r>
      <w:proofErr w:type="spellStart"/>
      <w:r w:rsidRPr="008D4334">
        <w:t>U</w:t>
      </w:r>
      <w:r w:rsidRPr="008D4334">
        <w:rPr>
          <w:rFonts w:eastAsia="Calibri"/>
        </w:rPr>
        <w:t>stün</w:t>
      </w:r>
      <w:proofErr w:type="spellEnd"/>
      <w:r w:rsidRPr="008D4334">
        <w:rPr>
          <w:rFonts w:eastAsia="Calibri"/>
        </w:rPr>
        <w:t xml:space="preserve"> TB, </w:t>
      </w:r>
      <w:proofErr w:type="spellStart"/>
      <w:r w:rsidRPr="008D4334">
        <w:rPr>
          <w:rFonts w:eastAsia="Calibri"/>
        </w:rPr>
        <w:t>Kostanjsek</w:t>
      </w:r>
      <w:proofErr w:type="spellEnd"/>
      <w:r w:rsidRPr="008D4334">
        <w:rPr>
          <w:rFonts w:eastAsia="Calibri"/>
        </w:rPr>
        <w:t xml:space="preserve"> N, </w:t>
      </w:r>
      <w:proofErr w:type="spellStart"/>
      <w:r w:rsidRPr="008D4334">
        <w:rPr>
          <w:rFonts w:eastAsia="Calibri"/>
        </w:rPr>
        <w:t>Chatterji</w:t>
      </w:r>
      <w:proofErr w:type="spellEnd"/>
      <w:r w:rsidRPr="008D4334">
        <w:rPr>
          <w:rFonts w:eastAsia="Calibri"/>
        </w:rPr>
        <w:t xml:space="preserve"> S, Rehm J. </w:t>
      </w:r>
      <w:r w:rsidRPr="008D4334">
        <w:rPr>
          <w:rFonts w:eastAsia="Calibri"/>
          <w:i/>
        </w:rPr>
        <w:t>Measuring Health and Disability: Manual for WHO Disability Assessment Schedule (WHODAS 2.0).</w:t>
      </w:r>
      <w:r w:rsidRPr="008D4334">
        <w:rPr>
          <w:rFonts w:eastAsia="Calibri"/>
        </w:rPr>
        <w:t xml:space="preserve"> Geneva, Switzerland: World Health Organization; 2010.</w:t>
      </w:r>
    </w:p>
    <w:p w14:paraId="6BAD1C86" w14:textId="77777777" w:rsidR="00A02D02" w:rsidRPr="0087651E" w:rsidRDefault="00A02D02" w:rsidP="0087651E"/>
    <w:sectPr w:rsidR="00A02D02" w:rsidRPr="008765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1C89" w14:textId="77777777" w:rsidR="00FA3CFD" w:rsidRDefault="00FA3CFD" w:rsidP="007D4754">
      <w:r>
        <w:separator/>
      </w:r>
    </w:p>
  </w:endnote>
  <w:endnote w:type="continuationSeparator" w:id="0">
    <w:p w14:paraId="6BAD1C8A" w14:textId="77777777" w:rsidR="00FA3CFD" w:rsidRDefault="00FA3CFD" w:rsidP="007D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195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D1C8B" w14:textId="77777777" w:rsidR="007D4754" w:rsidRDefault="007D4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AD1C8C" w14:textId="77777777" w:rsidR="007D4754" w:rsidRDefault="007D4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1C87" w14:textId="77777777" w:rsidR="00FA3CFD" w:rsidRDefault="00FA3CFD" w:rsidP="007D4754">
      <w:r>
        <w:separator/>
      </w:r>
    </w:p>
  </w:footnote>
  <w:footnote w:type="continuationSeparator" w:id="0">
    <w:p w14:paraId="6BAD1C88" w14:textId="77777777" w:rsidR="00FA3CFD" w:rsidRDefault="00FA3CFD" w:rsidP="007D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63710"/>
    <w:multiLevelType w:val="hybridMultilevel"/>
    <w:tmpl w:val="1BDA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54"/>
    <w:rsid w:val="001B7CA0"/>
    <w:rsid w:val="001C1AD4"/>
    <w:rsid w:val="00240D41"/>
    <w:rsid w:val="007D4754"/>
    <w:rsid w:val="0087651E"/>
    <w:rsid w:val="008D4334"/>
    <w:rsid w:val="00994151"/>
    <w:rsid w:val="00A02D02"/>
    <w:rsid w:val="00CE23B8"/>
    <w:rsid w:val="00E2589B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1C0F"/>
  <w15:docId w15:val="{04A78ECC-85BA-4620-A530-61797410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75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4754"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highlight">
    <w:name w:val="highlight"/>
    <w:rsid w:val="007D4754"/>
  </w:style>
  <w:style w:type="character" w:customStyle="1" w:styleId="ref-journal">
    <w:name w:val="ref-journal"/>
    <w:rsid w:val="007D4754"/>
  </w:style>
  <w:style w:type="character" w:customStyle="1" w:styleId="ref-vol">
    <w:name w:val="ref-vol"/>
    <w:rsid w:val="007D4754"/>
  </w:style>
  <w:style w:type="character" w:customStyle="1" w:styleId="element-citation">
    <w:name w:val="element-citation"/>
    <w:rsid w:val="007D4754"/>
  </w:style>
  <w:style w:type="character" w:customStyle="1" w:styleId="ListParagraphChar">
    <w:name w:val="List Paragraph Char"/>
    <w:link w:val="ListParagraph"/>
    <w:uiPriority w:val="34"/>
    <w:rsid w:val="007D47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4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75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D4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75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54"/>
    <w:rPr>
      <w:rFonts w:ascii="Tahoma" w:eastAsia="Times New Roman" w:hAnsi="Tahoma" w:cs="Tahoma"/>
      <w:sz w:val="16"/>
      <w:szCs w:val="16"/>
    </w:rPr>
  </w:style>
  <w:style w:type="character" w:customStyle="1" w:styleId="jrnl">
    <w:name w:val="jrnl"/>
    <w:rsid w:val="0087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</dc:creator>
  <cp:lastModifiedBy>Anthemis Consulting</cp:lastModifiedBy>
  <cp:revision>5</cp:revision>
  <dcterms:created xsi:type="dcterms:W3CDTF">2019-06-19T16:19:00Z</dcterms:created>
  <dcterms:modified xsi:type="dcterms:W3CDTF">2019-11-01T12:39:00Z</dcterms:modified>
</cp:coreProperties>
</file>