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F115" w14:textId="56282E8E" w:rsidR="008E2181" w:rsidRPr="008D3D6A" w:rsidRDefault="00646D63" w:rsidP="000B31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D6A">
        <w:rPr>
          <w:rFonts w:ascii="Times New Roman" w:hAnsi="Times New Roman" w:cs="Times New Roman"/>
          <w:b/>
          <w:sz w:val="24"/>
          <w:szCs w:val="24"/>
        </w:rPr>
        <w:t>Section I</w:t>
      </w:r>
      <w:r w:rsidR="002B05FD" w:rsidRPr="008D3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181" w:rsidRPr="008D3D6A">
        <w:rPr>
          <w:rFonts w:ascii="Times New Roman" w:hAnsi="Times New Roman" w:cs="Times New Roman"/>
          <w:b/>
          <w:sz w:val="24"/>
          <w:szCs w:val="24"/>
        </w:rPr>
        <w:t xml:space="preserve">Models </w:t>
      </w:r>
      <w:r w:rsidR="00A0538D">
        <w:rPr>
          <w:rFonts w:ascii="Times New Roman" w:hAnsi="Times New Roman" w:cs="Times New Roman"/>
          <w:b/>
          <w:sz w:val="24"/>
          <w:szCs w:val="24"/>
        </w:rPr>
        <w:t xml:space="preserve">and assumptions of </w:t>
      </w:r>
      <w:r w:rsidR="0084199F">
        <w:rPr>
          <w:rFonts w:ascii="Times New Roman" w:hAnsi="Times New Roman" w:cs="Times New Roman"/>
          <w:b/>
          <w:sz w:val="24"/>
          <w:szCs w:val="24"/>
        </w:rPr>
        <w:t>the c</w:t>
      </w:r>
      <w:r w:rsidR="00A0538D">
        <w:rPr>
          <w:rFonts w:ascii="Times New Roman" w:hAnsi="Times New Roman" w:cs="Times New Roman"/>
          <w:b/>
          <w:sz w:val="24"/>
          <w:szCs w:val="24"/>
        </w:rPr>
        <w:t>omparative interrupted time series analysis</w:t>
      </w:r>
      <w:r w:rsidR="00CA5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89BEBF" w14:textId="5B6A6124" w:rsidR="00D80D75" w:rsidRPr="00E60D5F" w:rsidRDefault="00D80D75" w:rsidP="0000048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60D5F">
        <w:rPr>
          <w:rFonts w:ascii="Times New Roman" w:hAnsi="Times New Roman" w:cs="Times New Roman"/>
          <w:sz w:val="20"/>
          <w:szCs w:val="20"/>
        </w:rPr>
        <w:t>The daily incidence of positive tests for COVID-19</w:t>
      </w:r>
      <w:r w:rsidR="007B3823">
        <w:rPr>
          <w:rFonts w:ascii="Times New Roman" w:hAnsi="Times New Roman" w:cs="Times New Roman"/>
          <w:sz w:val="20"/>
          <w:szCs w:val="20"/>
        </w:rPr>
        <w:t>, our outcome variable,</w:t>
      </w:r>
      <w:r w:rsidRPr="00E60D5F">
        <w:rPr>
          <w:rFonts w:ascii="Times New Roman" w:hAnsi="Times New Roman" w:cs="Times New Roman"/>
          <w:sz w:val="20"/>
          <w:szCs w:val="20"/>
        </w:rPr>
        <w:t xml:space="preserve"> was modeled using</w:t>
      </w:r>
      <w:r w:rsidR="008F2EB1" w:rsidRPr="00E60D5F">
        <w:rPr>
          <w:rFonts w:ascii="Times New Roman" w:hAnsi="Times New Roman" w:cs="Times New Roman"/>
          <w:sz w:val="20"/>
          <w:szCs w:val="20"/>
        </w:rPr>
        <w:t xml:space="preserve"> hierarchical</w:t>
      </w:r>
      <w:r w:rsidRPr="00E60D5F">
        <w:rPr>
          <w:rFonts w:ascii="Times New Roman" w:hAnsi="Times New Roman" w:cs="Times New Roman"/>
          <w:sz w:val="20"/>
          <w:szCs w:val="20"/>
        </w:rPr>
        <w:t xml:space="preserve"> negative binomial regression</w:t>
      </w:r>
      <w:r w:rsidR="00557EBA" w:rsidRPr="00E60D5F">
        <w:rPr>
          <w:rFonts w:ascii="Times New Roman" w:hAnsi="Times New Roman" w:cs="Times New Roman"/>
          <w:sz w:val="20"/>
          <w:szCs w:val="20"/>
        </w:rPr>
        <w:t xml:space="preserve"> models</w:t>
      </w:r>
      <w:r w:rsidRPr="00E60D5F">
        <w:rPr>
          <w:rFonts w:ascii="Times New Roman" w:hAnsi="Times New Roman" w:cs="Times New Roman"/>
          <w:sz w:val="20"/>
          <w:szCs w:val="20"/>
        </w:rPr>
        <w:t xml:space="preserve">, </w:t>
      </w:r>
      <w:r w:rsidR="00024976" w:rsidRPr="00E60D5F">
        <w:rPr>
          <w:rFonts w:ascii="Times New Roman" w:hAnsi="Times New Roman" w:cs="Times New Roman"/>
          <w:sz w:val="20"/>
          <w:szCs w:val="20"/>
        </w:rPr>
        <w:t xml:space="preserve">and county population size was the rate denominator. </w:t>
      </w:r>
      <w:r w:rsidR="004C6AAD" w:rsidRPr="00E60D5F">
        <w:rPr>
          <w:rFonts w:ascii="Times New Roman" w:hAnsi="Times New Roman" w:cs="Times New Roman"/>
          <w:sz w:val="20"/>
          <w:szCs w:val="20"/>
        </w:rPr>
        <w:t xml:space="preserve">Given the relatively large number of covariates, </w:t>
      </w:r>
      <w:r w:rsidR="00024976" w:rsidRPr="00E60D5F">
        <w:rPr>
          <w:rFonts w:ascii="Times New Roman" w:hAnsi="Times New Roman" w:cs="Times New Roman"/>
          <w:sz w:val="20"/>
          <w:szCs w:val="20"/>
        </w:rPr>
        <w:t xml:space="preserve">we used </w:t>
      </w:r>
      <w:r w:rsidR="0000048B" w:rsidRPr="00E60D5F">
        <w:rPr>
          <w:rFonts w:ascii="Times New Roman" w:hAnsi="Times New Roman" w:cs="Times New Roman"/>
          <w:sz w:val="20"/>
          <w:szCs w:val="20"/>
        </w:rPr>
        <w:t xml:space="preserve">Bayesian information criterion (BIC) </w:t>
      </w:r>
      <w:r w:rsidR="00510357" w:rsidRPr="00E60D5F">
        <w:rPr>
          <w:rFonts w:ascii="Times New Roman" w:hAnsi="Times New Roman" w:cs="Times New Roman"/>
          <w:sz w:val="20"/>
          <w:szCs w:val="20"/>
        </w:rPr>
        <w:t>to select</w:t>
      </w:r>
      <w:r w:rsidR="00557EBA" w:rsidRPr="00E60D5F">
        <w:rPr>
          <w:rFonts w:ascii="Times New Roman" w:hAnsi="Times New Roman" w:cs="Times New Roman"/>
          <w:sz w:val="20"/>
          <w:szCs w:val="20"/>
        </w:rPr>
        <w:t xml:space="preserve"> </w:t>
      </w:r>
      <w:r w:rsidR="001E0C2C" w:rsidRPr="00E60D5F">
        <w:rPr>
          <w:rFonts w:ascii="Times New Roman" w:hAnsi="Times New Roman" w:cs="Times New Roman"/>
          <w:sz w:val="20"/>
          <w:szCs w:val="20"/>
        </w:rPr>
        <w:t xml:space="preserve">a </w:t>
      </w:r>
      <w:r w:rsidR="00557EBA" w:rsidRPr="00E60D5F">
        <w:rPr>
          <w:rFonts w:ascii="Times New Roman" w:hAnsi="Times New Roman" w:cs="Times New Roman"/>
          <w:sz w:val="20"/>
          <w:szCs w:val="20"/>
        </w:rPr>
        <w:t xml:space="preserve">parsimonious </w:t>
      </w:r>
      <w:r w:rsidR="00024976" w:rsidRPr="00E60D5F">
        <w:rPr>
          <w:rFonts w:ascii="Times New Roman" w:hAnsi="Times New Roman" w:cs="Times New Roman"/>
          <w:sz w:val="20"/>
          <w:szCs w:val="20"/>
        </w:rPr>
        <w:t>model.</w:t>
      </w:r>
      <w:r w:rsidR="00510357" w:rsidRPr="00E60D5F">
        <w:rPr>
          <w:rFonts w:ascii="Times New Roman" w:hAnsi="Times New Roman" w:cs="Times New Roman"/>
          <w:sz w:val="20"/>
          <w:szCs w:val="20"/>
        </w:rPr>
        <w:t xml:space="preserve"> </w:t>
      </w:r>
      <w:r w:rsidR="00024976" w:rsidRPr="00E60D5F">
        <w:rPr>
          <w:rFonts w:ascii="Times New Roman" w:hAnsi="Times New Roman" w:cs="Times New Roman"/>
          <w:sz w:val="20"/>
          <w:szCs w:val="20"/>
        </w:rPr>
        <w:t>T</w:t>
      </w:r>
      <w:r w:rsidRPr="00E60D5F">
        <w:rPr>
          <w:rFonts w:ascii="Times New Roman" w:hAnsi="Times New Roman" w:cs="Times New Roman"/>
          <w:sz w:val="20"/>
          <w:szCs w:val="20"/>
        </w:rPr>
        <w:t xml:space="preserve">he </w:t>
      </w:r>
      <w:r w:rsidR="00792808" w:rsidRPr="00E60D5F">
        <w:rPr>
          <w:rFonts w:ascii="Times New Roman" w:hAnsi="Times New Roman" w:cs="Times New Roman"/>
          <w:sz w:val="20"/>
          <w:szCs w:val="20"/>
        </w:rPr>
        <w:t xml:space="preserve">Distressed Communities Index (DCI) </w:t>
      </w:r>
      <w:r w:rsidR="004C6AAD" w:rsidRPr="00E60D5F">
        <w:rPr>
          <w:rFonts w:ascii="Times New Roman" w:hAnsi="Times New Roman" w:cs="Times New Roman"/>
          <w:sz w:val="20"/>
          <w:szCs w:val="20"/>
        </w:rPr>
        <w:t xml:space="preserve">was excluded from </w:t>
      </w:r>
      <w:r w:rsidR="001E0C2C" w:rsidRPr="00E60D5F">
        <w:rPr>
          <w:rFonts w:ascii="Times New Roman" w:hAnsi="Times New Roman" w:cs="Times New Roman"/>
          <w:sz w:val="20"/>
          <w:szCs w:val="20"/>
        </w:rPr>
        <w:t xml:space="preserve">final </w:t>
      </w:r>
      <w:r w:rsidR="004C6AAD" w:rsidRPr="00E60D5F">
        <w:rPr>
          <w:rFonts w:ascii="Times New Roman" w:hAnsi="Times New Roman" w:cs="Times New Roman"/>
          <w:sz w:val="20"/>
          <w:szCs w:val="20"/>
        </w:rPr>
        <w:t>models, as t</w:t>
      </w:r>
      <w:r w:rsidR="00732D95" w:rsidRPr="00E60D5F">
        <w:rPr>
          <w:rFonts w:ascii="Times New Roman" w:hAnsi="Times New Roman" w:cs="Times New Roman"/>
          <w:sz w:val="20"/>
          <w:szCs w:val="20"/>
        </w:rPr>
        <w:t xml:space="preserve">his covariate </w:t>
      </w:r>
      <w:r w:rsidR="00792808" w:rsidRPr="00E60D5F">
        <w:rPr>
          <w:rFonts w:ascii="Times New Roman" w:hAnsi="Times New Roman" w:cs="Times New Roman"/>
          <w:sz w:val="20"/>
          <w:szCs w:val="20"/>
        </w:rPr>
        <w:t xml:space="preserve">led </w:t>
      </w:r>
      <w:r w:rsidR="00732D95" w:rsidRPr="00E60D5F">
        <w:rPr>
          <w:rFonts w:ascii="Times New Roman" w:hAnsi="Times New Roman" w:cs="Times New Roman"/>
          <w:sz w:val="20"/>
          <w:szCs w:val="20"/>
        </w:rPr>
        <w:t>to a larger B</w:t>
      </w:r>
      <w:r w:rsidR="00124A58" w:rsidRPr="00E60D5F">
        <w:rPr>
          <w:rFonts w:ascii="Times New Roman" w:hAnsi="Times New Roman" w:cs="Times New Roman"/>
          <w:sz w:val="20"/>
          <w:szCs w:val="20"/>
        </w:rPr>
        <w:t xml:space="preserve">IC in all </w:t>
      </w:r>
      <w:r w:rsidR="00510357" w:rsidRPr="00E60D5F">
        <w:rPr>
          <w:rFonts w:ascii="Times New Roman" w:hAnsi="Times New Roman" w:cs="Times New Roman"/>
          <w:sz w:val="20"/>
          <w:szCs w:val="20"/>
        </w:rPr>
        <w:t xml:space="preserve">main and sensitivity analyses. </w:t>
      </w:r>
    </w:p>
    <w:p w14:paraId="516772A3" w14:textId="77777777" w:rsidR="00C1368A" w:rsidRPr="00E60D5F" w:rsidRDefault="007C3C56" w:rsidP="00510357">
      <w:pPr>
        <w:spacing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60D5F">
        <w:rPr>
          <w:rFonts w:ascii="Times New Roman" w:hAnsi="Times New Roman" w:cs="Times New Roman"/>
          <w:sz w:val="20"/>
          <w:szCs w:val="20"/>
        </w:rPr>
        <w:t>Models for daily incidence of positive tests for COVID-19</w:t>
      </w:r>
      <w:r w:rsidR="004239EC" w:rsidRPr="00E60D5F">
        <w:rPr>
          <w:rFonts w:ascii="Times New Roman" w:hAnsi="Times New Roman" w:cs="Times New Roman"/>
          <w:sz w:val="20"/>
          <w:szCs w:val="20"/>
        </w:rPr>
        <w:t>:</w:t>
      </w:r>
    </w:p>
    <w:p w14:paraId="08A5BB79" w14:textId="236D68A1" w:rsidR="00516601" w:rsidRPr="00E60D5F" w:rsidRDefault="00416F14" w:rsidP="00516601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ln(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fName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population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ij</m:t>
                          </m:r>
                        </m:sub>
                      </m:sSub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time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phase+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time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×phase+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closure</m:t>
          </m:r>
        </m:oMath>
      </m:oMathPara>
    </w:p>
    <w:p w14:paraId="5915C5C8" w14:textId="210E3C50" w:rsidR="00516601" w:rsidRPr="00E60D5F" w:rsidRDefault="007C3C56" w:rsidP="00516601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×closure+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closure×phase+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closure×phase×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age18+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state_order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state_phase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="00516601" w:rsidRPr="00E60D5F">
        <w:rPr>
          <w:rFonts w:ascii="Times New Roman" w:eastAsiaTheme="minorEastAsia" w:hAnsi="Times New Roman" w:cs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state_order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state_phase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</w:p>
    <w:p w14:paraId="335165AB" w14:textId="187BD0BE" w:rsidR="007C3C56" w:rsidRPr="00E60D5F" w:rsidRDefault="00516601" w:rsidP="007975CA">
      <w:pPr>
        <w:pStyle w:val="ListParagraph"/>
        <w:spacing w:line="36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5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state_order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time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6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state_phase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time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γ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7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state_order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state_phase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time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j</m:t>
              </m:r>
            </m:sub>
          </m:sSub>
          <m:r>
            <w:rPr>
              <w:rFonts w:ascii="Cambria Math" w:eastAsiaTheme="minorEastAsia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i(j)</m:t>
              </m:r>
            </m:sub>
          </m:sSub>
        </m:oMath>
      </m:oMathPara>
    </w:p>
    <w:p w14:paraId="54B62D0F" w14:textId="353D2766" w:rsidR="007C3C56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:</m:t>
        </m:r>
      </m:oMath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daily number of positive tests for COVID-19 in county</w:t>
      </w:r>
      <w:r w:rsidR="00BE6C9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BE6C95" w:rsidRPr="007D5788">
        <w:rPr>
          <w:rFonts w:ascii="Times New Roman" w:eastAsiaTheme="minorEastAsia" w:hAnsi="Times New Roman" w:cs="Times New Roman"/>
          <w:i/>
          <w:sz w:val="20"/>
          <w:szCs w:val="20"/>
        </w:rPr>
        <w:t>i</w:t>
      </w:r>
      <w:r w:rsidR="00D36A0F" w:rsidRPr="00E60D5F">
        <w:rPr>
          <w:rFonts w:ascii="Times New Roman" w:eastAsiaTheme="minorEastAsia" w:hAnsi="Times New Roman" w:cs="Times New Roman"/>
          <w:i/>
          <w:sz w:val="20"/>
          <w:szCs w:val="20"/>
        </w:rPr>
        <w:t xml:space="preserve"> in state j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6BEB6D6A" w14:textId="4DA720D5" w:rsidR="007C3C56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model intercept, indicating the log count of </w:t>
      </w:r>
      <w:r w:rsidR="007C3C56" w:rsidRPr="00E60D5F">
        <w:rPr>
          <w:rFonts w:ascii="Times New Roman" w:hAnsi="Times New Roman" w:cs="Times New Roman"/>
          <w:sz w:val="20"/>
          <w:szCs w:val="20"/>
        </w:rPr>
        <w:t xml:space="preserve">daily positive tests in 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>control counties</w:t>
      </w:r>
      <w:r w:rsidR="0089111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at states without state-level orders 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>20 days before their “quasi-</w:t>
      </w:r>
      <w:r w:rsidR="00127774" w:rsidRPr="00E60D5F">
        <w:rPr>
          <w:rFonts w:ascii="Times New Roman" w:eastAsiaTheme="minorEastAsia" w:hAnsi="Times New Roman" w:cs="Times New Roman"/>
          <w:sz w:val="20"/>
          <w:szCs w:val="20"/>
        </w:rPr>
        <w:t>intervention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>”;</w:t>
      </w:r>
    </w:p>
    <w:p w14:paraId="41D17AF6" w14:textId="3AF82E6F" w:rsidR="007C3C56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: time effect </w:t>
      </w:r>
      <w:r w:rsidR="00854B34" w:rsidRPr="00E60D5F">
        <w:rPr>
          <w:rFonts w:ascii="Times New Roman" w:hAnsi="Times New Roman" w:cs="Times New Roman"/>
          <w:sz w:val="20"/>
          <w:szCs w:val="20"/>
        </w:rPr>
        <w:t xml:space="preserve">in 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>control counties before their “quasi-</w:t>
      </w:r>
      <w:r w:rsidR="0012777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intervention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>”;</w:t>
      </w:r>
    </w:p>
    <w:p w14:paraId="1C670829" w14:textId="3F8DD157" w:rsidR="00854B34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E33B5" w:rsidRPr="00E60D5F">
        <w:rPr>
          <w:rFonts w:ascii="Times New Roman" w:eastAsiaTheme="minorEastAsia" w:hAnsi="Times New Roman" w:cs="Times New Roman"/>
          <w:sz w:val="20"/>
          <w:szCs w:val="20"/>
        </w:rPr>
        <w:t>intercept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change in control counties after their “quasi-</w:t>
      </w:r>
      <w:r w:rsidR="0012777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intervention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>”;</w:t>
      </w:r>
    </w:p>
    <w:p w14:paraId="37B0C9BD" w14:textId="07F3F8D6" w:rsidR="00854B34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time effect </w:t>
      </w:r>
      <w:r w:rsidR="00854B34" w:rsidRPr="00E60D5F">
        <w:rPr>
          <w:rFonts w:ascii="Times New Roman" w:hAnsi="Times New Roman" w:cs="Times New Roman"/>
          <w:sz w:val="20"/>
          <w:szCs w:val="20"/>
        </w:rPr>
        <w:t xml:space="preserve">in 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>control counties after their “quasi-</w:t>
      </w:r>
      <w:r w:rsidR="0012777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intervention</w:t>
      </w:r>
      <w:r w:rsidR="00854B34" w:rsidRPr="00E60D5F">
        <w:rPr>
          <w:rFonts w:ascii="Times New Roman" w:eastAsiaTheme="minorEastAsia" w:hAnsi="Times New Roman" w:cs="Times New Roman"/>
          <w:sz w:val="20"/>
          <w:szCs w:val="20"/>
        </w:rPr>
        <w:t>”;</w:t>
      </w:r>
    </w:p>
    <w:p w14:paraId="14381E05" w14:textId="77777777" w:rsidR="00854B34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8E2181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E33B5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intercept </w:t>
      </w:r>
      <w:r w:rsidR="008E2181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difference in </w:t>
      </w:r>
      <w:r w:rsidR="00163E4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anchor closure </w:t>
      </w:r>
      <w:r w:rsidR="008E2181" w:rsidRPr="00E60D5F">
        <w:rPr>
          <w:rFonts w:ascii="Times New Roman" w:eastAsiaTheme="minorEastAsia" w:hAnsi="Times New Roman" w:cs="Times New Roman"/>
          <w:sz w:val="20"/>
          <w:szCs w:val="20"/>
        </w:rPr>
        <w:t>counties</w:t>
      </w:r>
      <w:r w:rsidR="00AE33B5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relative to control counties</w:t>
      </w:r>
      <w:r w:rsidR="00163E44" w:rsidRPr="00E60D5F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47E46ECC" w14:textId="7A7889CB" w:rsidR="00163E44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163E44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time effect </w:t>
      </w:r>
      <w:r w:rsidR="00163E44" w:rsidRPr="00E60D5F">
        <w:rPr>
          <w:rFonts w:ascii="Times New Roman" w:hAnsi="Times New Roman" w:cs="Times New Roman"/>
          <w:sz w:val="20"/>
          <w:szCs w:val="20"/>
        </w:rPr>
        <w:t xml:space="preserve">in </w:t>
      </w:r>
      <w:r w:rsidR="00163E44" w:rsidRPr="00E60D5F">
        <w:rPr>
          <w:rFonts w:ascii="Times New Roman" w:eastAsiaTheme="minorEastAsia" w:hAnsi="Times New Roman" w:cs="Times New Roman"/>
          <w:sz w:val="20"/>
          <w:szCs w:val="20"/>
        </w:rPr>
        <w:t>anchor closure counties before their closure</w:t>
      </w:r>
      <w:r w:rsidR="00AE33B5" w:rsidRPr="00E60D5F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217B5ECE" w14:textId="1532CC93" w:rsidR="00DB0B4C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intercept change in anchor closure counties after their closure;</w:t>
      </w:r>
    </w:p>
    <w:p w14:paraId="14F0BE62" w14:textId="64BBB887" w:rsidR="00DB0B4C" w:rsidRPr="00E60D5F" w:rsidRDefault="00416F14" w:rsidP="00DB0B4C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time effect </w:t>
      </w:r>
      <w:r w:rsidR="00DB0B4C" w:rsidRPr="00E60D5F">
        <w:rPr>
          <w:rFonts w:ascii="Times New Roman" w:hAnsi="Times New Roman" w:cs="Times New Roman"/>
          <w:sz w:val="20"/>
          <w:szCs w:val="20"/>
        </w:rPr>
        <w:t xml:space="preserve">in </w:t>
      </w:r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>anchor closure counties after their</w:t>
      </w:r>
      <w:r w:rsidR="003C176D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>closure;</w:t>
      </w:r>
    </w:p>
    <w:p w14:paraId="72C47C42" w14:textId="77777777" w:rsidR="007C3C56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>: effect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of </w:t>
      </w:r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percent </w:t>
      </w:r>
      <w:r w:rsidR="007C3C56" w:rsidRPr="00E60D5F">
        <w:rPr>
          <w:rFonts w:ascii="Times New Roman" w:eastAsiaTheme="minorEastAsia" w:hAnsi="Times New Roman" w:cs="Times New Roman"/>
          <w:sz w:val="20"/>
          <w:szCs w:val="20"/>
        </w:rPr>
        <w:t>population under 18 years old;</w:t>
      </w:r>
    </w:p>
    <w:p w14:paraId="76DFD4D4" w14:textId="5DAF4C60" w:rsidR="00DB0B4C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DB0B4C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intercept difference among states with state-level orders at baseline;</w:t>
      </w:r>
    </w:p>
    <w:p w14:paraId="03F4B5BE" w14:textId="44A7E58E" w:rsidR="004708A1" w:rsidRPr="00E60D5F" w:rsidRDefault="00416F14" w:rsidP="004708A1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89111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intercept change in control states after their “quasi-state-level orders”;</w:t>
      </w:r>
    </w:p>
    <w:p w14:paraId="5DECDCB7" w14:textId="367E6D0F" w:rsidR="007975CA" w:rsidRPr="00E60D5F" w:rsidRDefault="00416F14" w:rsidP="0079768C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89111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intercept change in states after their state-level orders;</w:t>
      </w:r>
    </w:p>
    <w:p w14:paraId="62DC3624" w14:textId="319B9BE4" w:rsidR="008E2181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7975CA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time effect in states with state-level orders before their orders;</w:t>
      </w:r>
    </w:p>
    <w:p w14:paraId="3515DEDE" w14:textId="6AAA8911" w:rsidR="007975CA" w:rsidRPr="00E60D5F" w:rsidRDefault="00416F14" w:rsidP="0079768C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F5368F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time effect in control states after their “quasi-state-level orders;</w:t>
      </w:r>
    </w:p>
    <w:p w14:paraId="2313B1AF" w14:textId="3E4474C4" w:rsidR="00185650" w:rsidRPr="00E60D5F" w:rsidRDefault="00416F14" w:rsidP="007C3C5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185650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79768C" w:rsidRPr="00E60D5F">
        <w:rPr>
          <w:rFonts w:ascii="Times New Roman" w:eastAsiaTheme="minorEastAsia" w:hAnsi="Times New Roman" w:cs="Times New Roman"/>
          <w:sz w:val="20"/>
          <w:szCs w:val="20"/>
        </w:rPr>
        <w:t>time effect in states with state-level orders after their orders;</w:t>
      </w:r>
    </w:p>
    <w:p w14:paraId="63A34976" w14:textId="6EA650D6" w:rsidR="00702538" w:rsidRPr="00E60D5F" w:rsidRDefault="00416F14" w:rsidP="0018565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70253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239EC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45BE" w:rsidRPr="00E60D5F">
        <w:rPr>
          <w:rFonts w:ascii="Times New Roman" w:eastAsiaTheme="minorEastAsia" w:hAnsi="Times New Roman" w:cs="Times New Roman"/>
          <w:sz w:val="20"/>
          <w:szCs w:val="20"/>
        </w:rPr>
        <w:t>random effect for state</w:t>
      </w:r>
      <w:r w:rsidR="004645BE" w:rsidRPr="00E60D5F">
        <w:rPr>
          <w:rFonts w:ascii="Times New Roman" w:eastAsiaTheme="minorEastAsia" w:hAnsi="Times New Roman" w:cs="Times New Roman"/>
          <w:i/>
          <w:sz w:val="20"/>
          <w:szCs w:val="20"/>
        </w:rPr>
        <w:t xml:space="preserve"> j</w:t>
      </w:r>
      <w:r w:rsidR="00702538" w:rsidRPr="00E60D5F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0A461727" w14:textId="3DE1FFE0" w:rsidR="00702538" w:rsidRPr="00E60D5F" w:rsidRDefault="00416F14" w:rsidP="0018565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i(j)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</m:oMath>
      <w:r w:rsidR="0070253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45BE" w:rsidRPr="00E60D5F">
        <w:rPr>
          <w:rFonts w:ascii="Times New Roman" w:eastAsiaTheme="minorEastAsia" w:hAnsi="Times New Roman" w:cs="Times New Roman"/>
          <w:sz w:val="20"/>
          <w:szCs w:val="20"/>
        </w:rPr>
        <w:t>random effect for county</w:t>
      </w:r>
      <w:r w:rsidR="004645BE" w:rsidRPr="00E60D5F">
        <w:rPr>
          <w:rFonts w:ascii="Times New Roman" w:eastAsiaTheme="minorEastAsia" w:hAnsi="Times New Roman" w:cs="Times New Roman"/>
          <w:i/>
          <w:sz w:val="20"/>
          <w:szCs w:val="20"/>
        </w:rPr>
        <w:t xml:space="preserve"> i</w:t>
      </w:r>
      <w:r w:rsidR="00702538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 nested in state</w:t>
      </w:r>
      <w:r w:rsidR="00702538" w:rsidRPr="00E60D5F">
        <w:rPr>
          <w:rFonts w:ascii="Times New Roman" w:eastAsiaTheme="minorEastAsia" w:hAnsi="Times New Roman" w:cs="Times New Roman"/>
          <w:i/>
          <w:sz w:val="20"/>
          <w:szCs w:val="20"/>
        </w:rPr>
        <w:t xml:space="preserve"> j</w:t>
      </w:r>
      <w:r w:rsidR="00702538" w:rsidRPr="00E60D5F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14:paraId="3DF2DA22" w14:textId="5A6BFB1B" w:rsidR="00185650" w:rsidRDefault="00185650" w:rsidP="0018565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17C6927" w14:textId="77777777" w:rsidR="00EE541B" w:rsidRDefault="00EE5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D42F63A" w14:textId="12EAC129" w:rsidR="007D1B8A" w:rsidRPr="00B438E6" w:rsidRDefault="007D1B8A" w:rsidP="00EE541B">
      <w:pPr>
        <w:rPr>
          <w:rFonts w:ascii="Times New Roman" w:eastAsiaTheme="minorEastAsia" w:hAnsi="Times New Roman" w:cs="Times New Roman"/>
          <w:sz w:val="20"/>
          <w:szCs w:val="20"/>
        </w:rPr>
      </w:pPr>
      <w:r w:rsidRPr="00B438E6">
        <w:rPr>
          <w:rFonts w:ascii="Times New Roman" w:hAnsi="Times New Roman" w:cs="Times New Roman"/>
          <w:i/>
          <w:sz w:val="20"/>
          <w:szCs w:val="20"/>
        </w:rPr>
        <w:lastRenderedPageBreak/>
        <w:t>Closure</w:t>
      </w:r>
      <w:r>
        <w:rPr>
          <w:rFonts w:ascii="Times New Roman" w:hAnsi="Times New Roman" w:cs="Times New Roman"/>
          <w:sz w:val="20"/>
          <w:szCs w:val="20"/>
        </w:rPr>
        <w:t xml:space="preserve"> is an indicator variable denoting </w:t>
      </w:r>
      <w:r w:rsidRPr="00E60D5F">
        <w:rPr>
          <w:rFonts w:ascii="Times New Roman" w:eastAsiaTheme="minorEastAsia" w:hAnsi="Times New Roman" w:cs="Times New Roman"/>
          <w:sz w:val="20"/>
          <w:szCs w:val="20"/>
        </w:rPr>
        <w:t>anchor closure counties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(=1) and control counties (=0). </w:t>
      </w:r>
      <w:r w:rsidRPr="00B438E6">
        <w:rPr>
          <w:rFonts w:ascii="Times New Roman" w:hAnsi="Times New Roman" w:cs="Times New Roman"/>
          <w:i/>
          <w:sz w:val="20"/>
          <w:szCs w:val="20"/>
        </w:rPr>
        <w:t>Phase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2252">
        <w:rPr>
          <w:rFonts w:ascii="Times New Roman" w:hAnsi="Times New Roman" w:cs="Times New Roman"/>
          <w:sz w:val="20"/>
          <w:szCs w:val="20"/>
        </w:rPr>
        <w:t xml:space="preserve">designates </w:t>
      </w:r>
      <w:r w:rsidR="00014509">
        <w:rPr>
          <w:rFonts w:ascii="Times New Roman" w:hAnsi="Times New Roman" w:cs="Times New Roman"/>
          <w:sz w:val="20"/>
          <w:szCs w:val="20"/>
        </w:rPr>
        <w:t xml:space="preserve">if a day is after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closure or “quasi-intervention”: </w:t>
      </w:r>
      <w:r>
        <w:rPr>
          <w:rFonts w:ascii="Times New Roman" w:eastAsiaTheme="minorEastAsia" w:hAnsi="Times New Roman" w:cs="Times New Roman"/>
          <w:sz w:val="20"/>
          <w:szCs w:val="20"/>
        </w:rPr>
        <w:t>p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hase = 1 </w:t>
      </w:r>
      <w:r w:rsidR="00202252">
        <w:rPr>
          <w:rFonts w:ascii="Times New Roman" w:hAnsi="Times New Roman" w:cs="Times New Roman"/>
          <w:sz w:val="20"/>
          <w:szCs w:val="20"/>
        </w:rPr>
        <w:t>indicates</w:t>
      </w:r>
      <w:r w:rsidR="00202252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that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it is after closure for </w:t>
      </w:r>
      <w:r w:rsidRPr="00E60D5F">
        <w:rPr>
          <w:rFonts w:ascii="Times New Roman" w:eastAsiaTheme="minorEastAsia" w:hAnsi="Times New Roman" w:cs="Times New Roman"/>
          <w:sz w:val="20"/>
          <w:szCs w:val="20"/>
        </w:rPr>
        <w:t>anchor closure counties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or </w:t>
      </w:r>
      <w:r>
        <w:rPr>
          <w:rFonts w:ascii="Times New Roman" w:eastAsiaTheme="minorEastAsia" w:hAnsi="Times New Roman" w:cs="Times New Roman"/>
          <w:sz w:val="20"/>
          <w:szCs w:val="20"/>
        </w:rPr>
        <w:t>after “quasi-intervention”</w:t>
      </w:r>
      <w:r w:rsidRPr="007D1B8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for control counties.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</m:oMath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represent</w:t>
      </w:r>
      <w:r w:rsidR="00202252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C5770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temporal trend before any closure,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describes </w:t>
      </w:r>
      <w:r w:rsidR="006C5770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202252">
        <w:rPr>
          <w:rFonts w:ascii="Times New Roman" w:eastAsiaTheme="minorEastAsia" w:hAnsi="Times New Roman" w:cs="Times New Roman"/>
          <w:sz w:val="20"/>
          <w:szCs w:val="20"/>
        </w:rPr>
        <w:t xml:space="preserve">temporal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>trend after anchor closure or  “quasi-intervention”.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age18</m:t>
        </m:r>
      </m:oMath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denotes </w:t>
      </w:r>
      <w:r w:rsidR="0065216F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014509" w:rsidRPr="00E60D5F">
        <w:rPr>
          <w:rFonts w:ascii="Times New Roman" w:eastAsiaTheme="minorEastAsia" w:hAnsi="Times New Roman" w:cs="Times New Roman"/>
          <w:sz w:val="20"/>
          <w:szCs w:val="20"/>
        </w:rPr>
        <w:t xml:space="preserve">percent </w:t>
      </w:r>
      <w:r w:rsidR="0065216F">
        <w:rPr>
          <w:rFonts w:ascii="Times New Roman" w:eastAsiaTheme="minorEastAsia" w:hAnsi="Times New Roman" w:cs="Times New Roman"/>
          <w:sz w:val="20"/>
          <w:szCs w:val="20"/>
        </w:rPr>
        <w:t xml:space="preserve">of the county </w:t>
      </w:r>
      <w:r w:rsidR="00014509" w:rsidRPr="00E60D5F">
        <w:rPr>
          <w:rFonts w:ascii="Times New Roman" w:eastAsiaTheme="minorEastAsia" w:hAnsi="Times New Roman" w:cs="Times New Roman"/>
          <w:sz w:val="20"/>
          <w:szCs w:val="20"/>
        </w:rPr>
        <w:t>population under 18 years old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state_order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="0065216F">
        <w:rPr>
          <w:rFonts w:ascii="Times New Roman" w:eastAsiaTheme="minorEastAsia" w:hAnsi="Times New Roman" w:cs="Times New Roman"/>
          <w:sz w:val="20"/>
          <w:szCs w:val="20"/>
        </w:rPr>
        <w:t>,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state_phase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j</m:t>
            </m:r>
          </m:sub>
        </m:sSub>
      </m:oMath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represent</w:t>
      </w:r>
      <w:r w:rsidR="0065216F">
        <w:rPr>
          <w:rFonts w:ascii="Times New Roman" w:eastAsiaTheme="minorEastAsia" w:hAnsi="Times New Roman" w:cs="Times New Roman"/>
          <w:sz w:val="20"/>
          <w:szCs w:val="20"/>
        </w:rPr>
        <w:t>s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02252">
        <w:rPr>
          <w:rFonts w:ascii="Times New Roman" w:eastAsiaTheme="minorEastAsia" w:hAnsi="Times New Roman" w:cs="Times New Roman"/>
          <w:sz w:val="20"/>
          <w:szCs w:val="20"/>
        </w:rPr>
        <w:t xml:space="preserve">state-level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>order and phase status, and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</m:oMath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 describes </w:t>
      </w:r>
      <w:r w:rsidR="0065216F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202252">
        <w:rPr>
          <w:rFonts w:ascii="Times New Roman" w:eastAsiaTheme="minorEastAsia" w:hAnsi="Times New Roman" w:cs="Times New Roman"/>
          <w:sz w:val="20"/>
          <w:szCs w:val="20"/>
        </w:rPr>
        <w:t xml:space="preserve">temporal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trend after </w:t>
      </w:r>
      <w:r w:rsidR="0065216F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 xml:space="preserve">state-level </w:t>
      </w:r>
      <w:r w:rsidR="00D75384">
        <w:rPr>
          <w:rFonts w:ascii="Times New Roman" w:eastAsiaTheme="minorEastAsia" w:hAnsi="Times New Roman" w:cs="Times New Roman"/>
          <w:sz w:val="20"/>
          <w:szCs w:val="20"/>
        </w:rPr>
        <w:t>order</w:t>
      </w:r>
      <w:r w:rsidR="00014509">
        <w:rPr>
          <w:rFonts w:ascii="Times New Roman" w:eastAsiaTheme="minorEastAsia" w:hAnsi="Times New Roman" w:cs="Times New Roman"/>
          <w:sz w:val="20"/>
          <w:szCs w:val="20"/>
        </w:rPr>
        <w:t>.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</m:oMath>
    </w:p>
    <w:p w14:paraId="482AB627" w14:textId="6ECEA21F" w:rsidR="004A0CEA" w:rsidRDefault="00EE541B" w:rsidP="00EE541B">
      <w:pPr>
        <w:rPr>
          <w:rFonts w:ascii="Times New Roman" w:eastAsiaTheme="minorEastAsia" w:hAnsi="Times New Roman" w:cs="Times New Roman"/>
          <w:sz w:val="20"/>
          <w:szCs w:val="20"/>
        </w:rPr>
      </w:pPr>
      <w:r w:rsidRPr="00E91883">
        <w:rPr>
          <w:rFonts w:ascii="Times New Roman" w:hAnsi="Times New Roman" w:cs="Times New Roman"/>
          <w:sz w:val="20"/>
          <w:szCs w:val="20"/>
        </w:rPr>
        <w:t xml:space="preserve">This comparative interrupted times series model includes </w:t>
      </w:r>
      <w:r w:rsidR="00E91883">
        <w:rPr>
          <w:rFonts w:ascii="Times New Roman" w:hAnsi="Times New Roman" w:cs="Times New Roman"/>
          <w:sz w:val="20"/>
          <w:szCs w:val="20"/>
        </w:rPr>
        <w:t>several</w:t>
      </w:r>
      <w:r w:rsidRPr="00E91883">
        <w:rPr>
          <w:rFonts w:ascii="Times New Roman" w:hAnsi="Times New Roman" w:cs="Times New Roman"/>
          <w:sz w:val="20"/>
          <w:szCs w:val="20"/>
        </w:rPr>
        <w:t xml:space="preserve"> assumptions. </w:t>
      </w:r>
      <w:r w:rsidR="00E91883">
        <w:rPr>
          <w:rFonts w:ascii="Times New Roman" w:hAnsi="Times New Roman" w:cs="Times New Roman"/>
          <w:sz w:val="20"/>
          <w:szCs w:val="20"/>
        </w:rPr>
        <w:t>T</w:t>
      </w:r>
      <w:r w:rsidRPr="00E91883">
        <w:rPr>
          <w:rFonts w:ascii="Times New Roman" w:hAnsi="Times New Roman" w:cs="Times New Roman"/>
          <w:sz w:val="20"/>
          <w:szCs w:val="20"/>
        </w:rPr>
        <w:t>ime trends in the pre- and post- periods for the control</w:t>
      </w:r>
      <w:r w:rsidRPr="00240553">
        <w:rPr>
          <w:rFonts w:ascii="Times New Roman" w:hAnsi="Times New Roman" w:cs="Times New Roman"/>
          <w:sz w:val="20"/>
          <w:szCs w:val="20"/>
        </w:rPr>
        <w:t xml:space="preserve"> </w:t>
      </w:r>
      <w:r w:rsidR="00CA52C7">
        <w:rPr>
          <w:rFonts w:ascii="Times New Roman" w:hAnsi="Times New Roman" w:cs="Times New Roman"/>
          <w:sz w:val="20"/>
          <w:szCs w:val="20"/>
        </w:rPr>
        <w:t xml:space="preserve">counties </w:t>
      </w:r>
      <w:r w:rsidRPr="00240553">
        <w:rPr>
          <w:rFonts w:ascii="Times New Roman" w:hAnsi="Times New Roman" w:cs="Times New Roman"/>
          <w:sz w:val="20"/>
          <w:szCs w:val="20"/>
        </w:rPr>
        <w:t xml:space="preserve">and counties </w:t>
      </w:r>
      <w:r>
        <w:rPr>
          <w:rFonts w:ascii="Times New Roman" w:hAnsi="Times New Roman" w:cs="Times New Roman"/>
          <w:sz w:val="20"/>
          <w:szCs w:val="20"/>
        </w:rPr>
        <w:t xml:space="preserve">with </w:t>
      </w:r>
      <w:r w:rsidRPr="00240553">
        <w:rPr>
          <w:rFonts w:ascii="Times New Roman" w:hAnsi="Times New Roman" w:cs="Times New Roman"/>
          <w:sz w:val="20"/>
          <w:szCs w:val="20"/>
        </w:rPr>
        <w:t>anchor closure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240553">
        <w:rPr>
          <w:rFonts w:ascii="Times New Roman" w:hAnsi="Times New Roman" w:cs="Times New Roman"/>
          <w:sz w:val="20"/>
          <w:szCs w:val="20"/>
        </w:rPr>
        <w:t>can be estimated as</w:t>
      </w:r>
      <w:r w:rsidR="00E91883">
        <w:rPr>
          <w:rFonts w:ascii="Times New Roman" w:hAnsi="Times New Roman" w:cs="Times New Roman"/>
          <w:sz w:val="20"/>
          <w:szCs w:val="20"/>
        </w:rPr>
        <w:t xml:space="preserve"> </w:t>
      </w:r>
      <w:r w:rsidRPr="00240553">
        <w:rPr>
          <w:rFonts w:ascii="Times New Roman" w:hAnsi="Times New Roman" w:cs="Times New Roman"/>
          <w:sz w:val="20"/>
          <w:szCs w:val="20"/>
        </w:rPr>
        <w:t>linear combination</w:t>
      </w:r>
      <w:r w:rsidR="006B42E7">
        <w:rPr>
          <w:rFonts w:ascii="Times New Roman" w:hAnsi="Times New Roman" w:cs="Times New Roman"/>
          <w:sz w:val="20"/>
          <w:szCs w:val="20"/>
        </w:rPr>
        <w:t>s</w:t>
      </w:r>
      <w:r w:rsidRPr="00240553">
        <w:rPr>
          <w:rFonts w:ascii="Times New Roman" w:hAnsi="Times New Roman" w:cs="Times New Roman"/>
          <w:sz w:val="20"/>
          <w:szCs w:val="20"/>
        </w:rPr>
        <w:t xml:space="preserve"> of parameters</w:t>
      </w:r>
      <w:r>
        <w:rPr>
          <w:rFonts w:ascii="Times New Roman" w:hAnsi="Times New Roman" w:cs="Times New Roman"/>
          <w:sz w:val="20"/>
          <w:szCs w:val="20"/>
        </w:rPr>
        <w:t xml:space="preserve"> (Figure S1)</w:t>
      </w:r>
      <w:r w:rsidRPr="0024055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240553">
        <w:rPr>
          <w:rFonts w:ascii="Times New Roman" w:hAnsi="Times New Roman" w:cs="Times New Roman"/>
          <w:sz w:val="20"/>
          <w:szCs w:val="20"/>
        </w:rPr>
        <w:t xml:space="preserve"> outcome</w:t>
      </w:r>
      <w:r>
        <w:rPr>
          <w:rFonts w:ascii="Times New Roman" w:hAnsi="Times New Roman" w:cs="Times New Roman"/>
          <w:sz w:val="20"/>
          <w:szCs w:val="20"/>
        </w:rPr>
        <w:t xml:space="preserve"> variable</w:t>
      </w:r>
      <w:r w:rsidRPr="00240553">
        <w:rPr>
          <w:rFonts w:ascii="Times New Roman" w:hAnsi="Times New Roman" w:cs="Times New Roman"/>
          <w:sz w:val="20"/>
          <w:szCs w:val="20"/>
        </w:rPr>
        <w:t xml:space="preserve"> is on logarithmic scale</w:t>
      </w:r>
      <w:r w:rsidR="00AF07A6">
        <w:rPr>
          <w:rFonts w:ascii="Times New Roman" w:hAnsi="Times New Roman" w:cs="Times New Roman"/>
          <w:sz w:val="20"/>
          <w:szCs w:val="20"/>
        </w:rPr>
        <w:t>,</w:t>
      </w:r>
      <w:r w:rsidR="00BE6C95">
        <w:rPr>
          <w:rFonts w:ascii="Times New Roman" w:hAnsi="Times New Roman" w:cs="Times New Roman"/>
          <w:sz w:val="20"/>
          <w:szCs w:val="20"/>
        </w:rPr>
        <w:t xml:space="preserve"> calculated as: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ln(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ij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fName>
          <m:e>
            <m:r>
              <w:rPr>
                <w:rFonts w:ascii="Cambria Math" w:hAnsi="Cambria Math" w:cs="Times New Roman"/>
                <w:sz w:val="20"/>
                <w:szCs w:val="20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population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ij</m:t>
                        </m:r>
                      </m:sub>
                    </m:sSub>
                  </m:e>
                </m:d>
              </m:e>
            </m:func>
          </m:e>
        </m:func>
        <m:r>
          <w:rPr>
            <w:rFonts w:ascii="Cambria Math" w:hAnsi="Cambria Math" w:cs="Times New Roman"/>
            <w:sz w:val="20"/>
            <w:szCs w:val="20"/>
          </w:rPr>
          <m:t>=In(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population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BE6C95">
        <w:rPr>
          <w:rFonts w:ascii="Times New Roman" w:eastAsiaTheme="minorEastAsia" w:hAnsi="Times New Roman" w:cs="Times New Roman"/>
          <w:sz w:val="20"/>
          <w:szCs w:val="20"/>
        </w:rPr>
        <w:t xml:space="preserve">, representing </w:t>
      </w:r>
      <w:r w:rsidR="00BE6C95" w:rsidRPr="00E60D5F">
        <w:rPr>
          <w:rFonts w:ascii="Times New Roman" w:hAnsi="Times New Roman" w:cs="Times New Roman"/>
          <w:sz w:val="20"/>
          <w:szCs w:val="20"/>
        </w:rPr>
        <w:t>daily incidence of positive tests for COVID-19</w:t>
      </w:r>
      <w:r w:rsidRPr="00240553">
        <w:rPr>
          <w:rFonts w:ascii="Times New Roman" w:hAnsi="Times New Roman" w:cs="Times New Roman"/>
          <w:sz w:val="20"/>
          <w:szCs w:val="20"/>
        </w:rPr>
        <w:t>. Under this assumption,</w:t>
      </w:r>
      <w:r w:rsidR="00F44A01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 parameters </w:t>
      </w:r>
      <w:r w:rsidR="005775D1">
        <w:rPr>
          <w:rFonts w:ascii="Times New Roman" w:hAnsi="Times New Roman" w:cs="Times New Roman"/>
          <w:sz w:val="20"/>
          <w:szCs w:val="20"/>
        </w:rPr>
        <w:t>in the model</w:t>
      </w:r>
      <w:r>
        <w:rPr>
          <w:rFonts w:ascii="Times New Roman" w:hAnsi="Times New Roman" w:cs="Times New Roman"/>
          <w:sz w:val="20"/>
          <w:szCs w:val="20"/>
        </w:rPr>
        <w:t xml:space="preserve"> were estimated</w:t>
      </w:r>
      <w:r w:rsidR="005775D1">
        <w:rPr>
          <w:rFonts w:ascii="Times New Roman" w:hAnsi="Times New Roman" w:cs="Times New Roman"/>
          <w:sz w:val="20"/>
          <w:szCs w:val="20"/>
        </w:rPr>
        <w:t xml:space="preserve"> and time trends were represented using </w:t>
      </w:r>
      <w:r w:rsidR="005775D1" w:rsidRPr="00240553">
        <w:rPr>
          <w:rFonts w:ascii="Times New Roman" w:hAnsi="Times New Roman" w:cs="Times New Roman"/>
          <w:sz w:val="20"/>
          <w:szCs w:val="20"/>
        </w:rPr>
        <w:t>linear combination</w:t>
      </w:r>
      <w:r w:rsidR="005775D1">
        <w:rPr>
          <w:rFonts w:ascii="Times New Roman" w:hAnsi="Times New Roman" w:cs="Times New Roman"/>
          <w:sz w:val="20"/>
          <w:szCs w:val="20"/>
        </w:rPr>
        <w:t>s</w:t>
      </w:r>
      <w:r w:rsidR="005775D1" w:rsidRPr="00240553">
        <w:rPr>
          <w:rFonts w:ascii="Times New Roman" w:hAnsi="Times New Roman" w:cs="Times New Roman"/>
          <w:sz w:val="20"/>
          <w:szCs w:val="20"/>
        </w:rPr>
        <w:t xml:space="preserve"> of </w:t>
      </w:r>
      <w:r w:rsidR="005775D1">
        <w:rPr>
          <w:rFonts w:ascii="Times New Roman" w:hAnsi="Times New Roman" w:cs="Times New Roman"/>
          <w:sz w:val="20"/>
          <w:szCs w:val="20"/>
        </w:rPr>
        <w:t xml:space="preserve">estimated </w:t>
      </w:r>
      <w:r w:rsidR="005775D1" w:rsidRPr="00240553">
        <w:rPr>
          <w:rFonts w:ascii="Times New Roman" w:hAnsi="Times New Roman" w:cs="Times New Roman"/>
          <w:sz w:val="20"/>
          <w:szCs w:val="20"/>
        </w:rPr>
        <w:t>parameters</w:t>
      </w:r>
      <w:r w:rsidR="00CB24D4">
        <w:rPr>
          <w:rFonts w:ascii="Times New Roman" w:hAnsi="Times New Roman" w:cs="Times New Roman"/>
          <w:sz w:val="20"/>
          <w:szCs w:val="20"/>
        </w:rPr>
        <w:t xml:space="preserve">: </w:t>
      </w:r>
      <w:r w:rsidR="000D12B6">
        <w:rPr>
          <w:rFonts w:ascii="Times New Roman" w:hAnsi="Times New Roman" w:cs="Times New Roman"/>
          <w:sz w:val="20"/>
          <w:szCs w:val="20"/>
        </w:rPr>
        <w:t xml:space="preserve">(1) log of </w:t>
      </w:r>
      <w:r w:rsidR="000D12B6" w:rsidRPr="00E60D5F">
        <w:rPr>
          <w:rFonts w:ascii="Times New Roman" w:hAnsi="Times New Roman" w:cs="Times New Roman"/>
          <w:sz w:val="20"/>
          <w:szCs w:val="20"/>
        </w:rPr>
        <w:t xml:space="preserve">incidence </w:t>
      </w:r>
      <w:r w:rsidR="000D12B6">
        <w:rPr>
          <w:rFonts w:ascii="Times New Roman" w:hAnsi="Times New Roman" w:cs="Times New Roman"/>
          <w:sz w:val="20"/>
          <w:szCs w:val="20"/>
        </w:rPr>
        <w:t xml:space="preserve">trend in control counties before </w:t>
      </w:r>
      <w:r w:rsidR="00E91883">
        <w:rPr>
          <w:rFonts w:ascii="Times New Roman" w:hAnsi="Times New Roman" w:cs="Times New Roman"/>
          <w:sz w:val="20"/>
          <w:szCs w:val="20"/>
        </w:rPr>
        <w:t xml:space="preserve">the </w:t>
      </w:r>
      <w:r w:rsidR="000D12B6">
        <w:rPr>
          <w:rFonts w:ascii="Times New Roman" w:hAnsi="Times New Roman" w:cs="Times New Roman"/>
          <w:sz w:val="20"/>
          <w:szCs w:val="20"/>
        </w:rPr>
        <w:t>quasi-</w:t>
      </w:r>
      <w:r w:rsidR="00E91883">
        <w:rPr>
          <w:rFonts w:ascii="Times New Roman" w:hAnsi="Times New Roman" w:cs="Times New Roman"/>
          <w:sz w:val="20"/>
          <w:szCs w:val="20"/>
        </w:rPr>
        <w:t>intervention date</w:t>
      </w:r>
      <w:r w:rsidR="000D12B6" w:rsidRPr="00E60D5F">
        <w:rPr>
          <w:rFonts w:ascii="Times New Roman" w:hAnsi="Times New Roman" w:cs="Times New Roman"/>
          <w:sz w:val="20"/>
          <w:szCs w:val="20"/>
        </w:rPr>
        <w:t xml:space="preserve"> </w:t>
      </w:r>
      <w:r w:rsidR="000D12B6">
        <w:rPr>
          <w:rFonts w:ascii="Times New Roman" w:hAnsi="Times New Roman" w:cs="Times New Roman"/>
          <w:sz w:val="20"/>
          <w:szCs w:val="20"/>
        </w:rPr>
        <w:t>(</w:t>
      </w:r>
      <w:r w:rsidR="00CB24D4">
        <w:rPr>
          <w:rFonts w:ascii="Times New Roman" w:hAnsi="Times New Roman" w:cs="Times New Roman"/>
          <w:sz w:val="20"/>
          <w:szCs w:val="20"/>
        </w:rPr>
        <w:t xml:space="preserve">blue </w:t>
      </w:r>
      <w:r w:rsidR="00C3396D">
        <w:rPr>
          <w:rFonts w:ascii="Times New Roman" w:hAnsi="Times New Roman" w:cs="Times New Roman"/>
          <w:sz w:val="20"/>
          <w:szCs w:val="20"/>
        </w:rPr>
        <w:t>dots</w:t>
      </w:r>
      <w:r w:rsidR="00CB24D4">
        <w:rPr>
          <w:rFonts w:ascii="Times New Roman" w:hAnsi="Times New Roman" w:cs="Times New Roman"/>
          <w:sz w:val="20"/>
          <w:szCs w:val="20"/>
        </w:rPr>
        <w:t xml:space="preserve"> from day -20 to day </w:t>
      </w:r>
      <w:r w:rsidR="005775D1">
        <w:rPr>
          <w:rFonts w:ascii="Times New Roman" w:hAnsi="Times New Roman" w:cs="Times New Roman"/>
          <w:sz w:val="20"/>
          <w:szCs w:val="20"/>
        </w:rPr>
        <w:t>-1</w:t>
      </w:r>
      <w:r w:rsidR="00062B09">
        <w:rPr>
          <w:rFonts w:ascii="Times New Roman" w:hAnsi="Times New Roman" w:cs="Times New Roman"/>
          <w:sz w:val="20"/>
          <w:szCs w:val="20"/>
        </w:rPr>
        <w:t xml:space="preserve"> in Figure S1</w:t>
      </w:r>
      <w:r w:rsidR="000D12B6">
        <w:rPr>
          <w:rFonts w:ascii="Times New Roman" w:hAnsi="Times New Roman" w:cs="Times New Roman"/>
          <w:sz w:val="20"/>
          <w:szCs w:val="20"/>
        </w:rPr>
        <w:t xml:space="preserve">) using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</m:oMath>
      <w:r w:rsidR="000D12B6">
        <w:rPr>
          <w:rFonts w:ascii="Times New Roman" w:hAnsi="Times New Roman" w:cs="Times New Roman"/>
          <w:sz w:val="20"/>
          <w:szCs w:val="20"/>
        </w:rPr>
        <w:t>; (2)</w:t>
      </w:r>
      <w:r w:rsidR="000D12B6" w:rsidRPr="000D12B6">
        <w:rPr>
          <w:rFonts w:ascii="Times New Roman" w:hAnsi="Times New Roman" w:cs="Times New Roman"/>
          <w:sz w:val="20"/>
          <w:szCs w:val="20"/>
        </w:rPr>
        <w:t xml:space="preserve"> </w:t>
      </w:r>
      <w:r w:rsidR="000D12B6">
        <w:rPr>
          <w:rFonts w:ascii="Times New Roman" w:hAnsi="Times New Roman" w:cs="Times New Roman"/>
          <w:sz w:val="20"/>
          <w:szCs w:val="20"/>
        </w:rPr>
        <w:t xml:space="preserve">log of </w:t>
      </w:r>
      <w:r w:rsidR="000D12B6" w:rsidRPr="00E60D5F">
        <w:rPr>
          <w:rFonts w:ascii="Times New Roman" w:hAnsi="Times New Roman" w:cs="Times New Roman"/>
          <w:sz w:val="20"/>
          <w:szCs w:val="20"/>
        </w:rPr>
        <w:t xml:space="preserve">incidence </w:t>
      </w:r>
      <w:r w:rsidR="000D12B6">
        <w:rPr>
          <w:rFonts w:ascii="Times New Roman" w:hAnsi="Times New Roman" w:cs="Times New Roman"/>
          <w:sz w:val="20"/>
          <w:szCs w:val="20"/>
        </w:rPr>
        <w:t xml:space="preserve">trend in control counties after </w:t>
      </w:r>
      <w:r w:rsidR="00E91883">
        <w:rPr>
          <w:rFonts w:ascii="Times New Roman" w:hAnsi="Times New Roman" w:cs="Times New Roman"/>
          <w:sz w:val="20"/>
          <w:szCs w:val="20"/>
        </w:rPr>
        <w:t xml:space="preserve">the </w:t>
      </w:r>
      <w:r w:rsidR="000D12B6">
        <w:rPr>
          <w:rFonts w:ascii="Times New Roman" w:hAnsi="Times New Roman" w:cs="Times New Roman"/>
          <w:sz w:val="20"/>
          <w:szCs w:val="20"/>
        </w:rPr>
        <w:t>quasi-</w:t>
      </w:r>
      <w:r w:rsidR="00E91883">
        <w:rPr>
          <w:rFonts w:ascii="Times New Roman" w:hAnsi="Times New Roman" w:cs="Times New Roman"/>
          <w:sz w:val="20"/>
          <w:szCs w:val="20"/>
        </w:rPr>
        <w:t>intervention date</w:t>
      </w:r>
      <w:r w:rsidR="000D12B6" w:rsidRPr="00E60D5F">
        <w:rPr>
          <w:rFonts w:ascii="Times New Roman" w:hAnsi="Times New Roman" w:cs="Times New Roman"/>
          <w:sz w:val="20"/>
          <w:szCs w:val="20"/>
        </w:rPr>
        <w:t xml:space="preserve"> </w:t>
      </w:r>
      <w:r w:rsidR="000D12B6">
        <w:rPr>
          <w:rFonts w:ascii="Times New Roman" w:hAnsi="Times New Roman" w:cs="Times New Roman"/>
          <w:sz w:val="20"/>
          <w:szCs w:val="20"/>
        </w:rPr>
        <w:t>(blue</w:t>
      </w:r>
      <w:r w:rsidR="00C3396D">
        <w:rPr>
          <w:rFonts w:ascii="Times New Roman" w:hAnsi="Times New Roman" w:cs="Times New Roman"/>
          <w:sz w:val="20"/>
          <w:szCs w:val="20"/>
        </w:rPr>
        <w:t xml:space="preserve"> dots</w:t>
      </w:r>
      <w:r w:rsidR="000D12B6">
        <w:rPr>
          <w:rFonts w:ascii="Times New Roman" w:hAnsi="Times New Roman" w:cs="Times New Roman"/>
          <w:sz w:val="20"/>
          <w:szCs w:val="20"/>
        </w:rPr>
        <w:t xml:space="preserve"> from day 0 to day 40)</w:t>
      </w:r>
      <w:r w:rsidR="00531D7E">
        <w:rPr>
          <w:rFonts w:ascii="Times New Roman" w:hAnsi="Times New Roman" w:cs="Times New Roman"/>
          <w:sz w:val="20"/>
          <w:szCs w:val="20"/>
        </w:rPr>
        <w:t xml:space="preserve"> using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0D12B6">
        <w:rPr>
          <w:rFonts w:ascii="Times New Roman" w:hAnsi="Times New Roman" w:cs="Times New Roman"/>
          <w:sz w:val="20"/>
          <w:szCs w:val="20"/>
        </w:rPr>
        <w:t xml:space="preserve">; (3) </w:t>
      </w:r>
      <w:r w:rsidR="00531D7E">
        <w:rPr>
          <w:rFonts w:ascii="Times New Roman" w:hAnsi="Times New Roman" w:cs="Times New Roman"/>
          <w:sz w:val="20"/>
          <w:szCs w:val="20"/>
        </w:rPr>
        <w:t xml:space="preserve">log of </w:t>
      </w:r>
      <w:r w:rsidR="00531D7E" w:rsidRPr="00E60D5F">
        <w:rPr>
          <w:rFonts w:ascii="Times New Roman" w:hAnsi="Times New Roman" w:cs="Times New Roman"/>
          <w:sz w:val="20"/>
          <w:szCs w:val="20"/>
        </w:rPr>
        <w:t xml:space="preserve">incidence </w:t>
      </w:r>
      <w:r w:rsidR="00531D7E">
        <w:rPr>
          <w:rFonts w:ascii="Times New Roman" w:hAnsi="Times New Roman" w:cs="Times New Roman"/>
          <w:sz w:val="20"/>
          <w:szCs w:val="20"/>
        </w:rPr>
        <w:t xml:space="preserve">trend in counties with </w:t>
      </w:r>
      <w:r w:rsidR="00E91883">
        <w:rPr>
          <w:rFonts w:ascii="Times New Roman" w:hAnsi="Times New Roman" w:cs="Times New Roman"/>
          <w:sz w:val="20"/>
          <w:szCs w:val="20"/>
        </w:rPr>
        <w:t xml:space="preserve">an </w:t>
      </w:r>
      <w:r w:rsidR="00531D7E">
        <w:rPr>
          <w:rFonts w:ascii="Times New Roman" w:hAnsi="Times New Roman" w:cs="Times New Roman"/>
          <w:sz w:val="20"/>
          <w:szCs w:val="20"/>
        </w:rPr>
        <w:t xml:space="preserve">anchor closure before </w:t>
      </w:r>
      <w:r w:rsidR="00E91883">
        <w:rPr>
          <w:rFonts w:ascii="Times New Roman" w:hAnsi="Times New Roman" w:cs="Times New Roman"/>
          <w:sz w:val="20"/>
          <w:szCs w:val="20"/>
        </w:rPr>
        <w:t xml:space="preserve">the </w:t>
      </w:r>
      <w:r w:rsidR="00531D7E">
        <w:rPr>
          <w:rFonts w:ascii="Times New Roman" w:hAnsi="Times New Roman" w:cs="Times New Roman"/>
          <w:sz w:val="20"/>
          <w:szCs w:val="20"/>
        </w:rPr>
        <w:t xml:space="preserve">closure (black </w:t>
      </w:r>
      <w:r w:rsidR="00C3396D">
        <w:rPr>
          <w:rFonts w:ascii="Times New Roman" w:hAnsi="Times New Roman" w:cs="Times New Roman"/>
          <w:sz w:val="20"/>
          <w:szCs w:val="20"/>
        </w:rPr>
        <w:t>dots</w:t>
      </w:r>
      <w:r w:rsidR="00531D7E">
        <w:rPr>
          <w:rFonts w:ascii="Times New Roman" w:hAnsi="Times New Roman" w:cs="Times New Roman"/>
          <w:sz w:val="20"/>
          <w:szCs w:val="20"/>
        </w:rPr>
        <w:t xml:space="preserve"> from day -20 to day </w:t>
      </w:r>
      <w:r w:rsidR="005775D1">
        <w:rPr>
          <w:rFonts w:ascii="Times New Roman" w:hAnsi="Times New Roman" w:cs="Times New Roman"/>
          <w:sz w:val="20"/>
          <w:szCs w:val="20"/>
        </w:rPr>
        <w:t>-1</w:t>
      </w:r>
      <w:r w:rsidR="00531D7E">
        <w:rPr>
          <w:rFonts w:ascii="Times New Roman" w:hAnsi="Times New Roman" w:cs="Times New Roman"/>
          <w:sz w:val="20"/>
          <w:szCs w:val="20"/>
        </w:rPr>
        <w:t xml:space="preserve">) using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</m:oMath>
      <w:r w:rsidR="00531D7E">
        <w:rPr>
          <w:rFonts w:ascii="Times New Roman" w:hAnsi="Times New Roman" w:cs="Times New Roman"/>
          <w:sz w:val="20"/>
          <w:szCs w:val="20"/>
        </w:rPr>
        <w:t>; (4)</w:t>
      </w:r>
      <w:r w:rsidR="00531D7E" w:rsidRPr="00531D7E">
        <w:rPr>
          <w:rFonts w:ascii="Times New Roman" w:hAnsi="Times New Roman" w:cs="Times New Roman"/>
          <w:sz w:val="20"/>
          <w:szCs w:val="20"/>
        </w:rPr>
        <w:t xml:space="preserve"> </w:t>
      </w:r>
      <w:r w:rsidR="00531D7E">
        <w:rPr>
          <w:rFonts w:ascii="Times New Roman" w:hAnsi="Times New Roman" w:cs="Times New Roman"/>
          <w:sz w:val="20"/>
          <w:szCs w:val="20"/>
        </w:rPr>
        <w:t xml:space="preserve">log of </w:t>
      </w:r>
      <w:r w:rsidR="00531D7E" w:rsidRPr="00E60D5F">
        <w:rPr>
          <w:rFonts w:ascii="Times New Roman" w:hAnsi="Times New Roman" w:cs="Times New Roman"/>
          <w:sz w:val="20"/>
          <w:szCs w:val="20"/>
        </w:rPr>
        <w:t xml:space="preserve">incidence </w:t>
      </w:r>
      <w:r w:rsidR="00531D7E">
        <w:rPr>
          <w:rFonts w:ascii="Times New Roman" w:hAnsi="Times New Roman" w:cs="Times New Roman"/>
          <w:sz w:val="20"/>
          <w:szCs w:val="20"/>
        </w:rPr>
        <w:t xml:space="preserve">trend in counties with </w:t>
      </w:r>
      <w:r w:rsidR="00E91883">
        <w:rPr>
          <w:rFonts w:ascii="Times New Roman" w:hAnsi="Times New Roman" w:cs="Times New Roman"/>
          <w:sz w:val="20"/>
          <w:szCs w:val="20"/>
        </w:rPr>
        <w:t xml:space="preserve">an </w:t>
      </w:r>
      <w:r w:rsidR="00531D7E">
        <w:rPr>
          <w:rFonts w:ascii="Times New Roman" w:hAnsi="Times New Roman" w:cs="Times New Roman"/>
          <w:sz w:val="20"/>
          <w:szCs w:val="20"/>
        </w:rPr>
        <w:t xml:space="preserve">anchor closure after </w:t>
      </w:r>
      <w:r w:rsidR="00E91883">
        <w:rPr>
          <w:rFonts w:ascii="Times New Roman" w:hAnsi="Times New Roman" w:cs="Times New Roman"/>
          <w:sz w:val="20"/>
          <w:szCs w:val="20"/>
        </w:rPr>
        <w:t xml:space="preserve">the </w:t>
      </w:r>
      <w:r w:rsidR="00531D7E">
        <w:rPr>
          <w:rFonts w:ascii="Times New Roman" w:hAnsi="Times New Roman" w:cs="Times New Roman"/>
          <w:sz w:val="20"/>
          <w:szCs w:val="20"/>
        </w:rPr>
        <w:t xml:space="preserve">closure (black </w:t>
      </w:r>
      <w:r w:rsidR="00C3396D">
        <w:rPr>
          <w:rFonts w:ascii="Times New Roman" w:hAnsi="Times New Roman" w:cs="Times New Roman"/>
          <w:sz w:val="20"/>
          <w:szCs w:val="20"/>
        </w:rPr>
        <w:t>dots</w:t>
      </w:r>
      <w:r w:rsidR="00531D7E">
        <w:rPr>
          <w:rFonts w:ascii="Times New Roman" w:hAnsi="Times New Roman" w:cs="Times New Roman"/>
          <w:sz w:val="20"/>
          <w:szCs w:val="20"/>
        </w:rPr>
        <w:t xml:space="preserve"> from day 0 to day 40) using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5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7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531D7E">
        <w:rPr>
          <w:rFonts w:ascii="Times New Roman" w:hAnsi="Times New Roman" w:cs="Times New Roman"/>
          <w:sz w:val="20"/>
          <w:szCs w:val="20"/>
        </w:rPr>
        <w:t>; (5)</w:t>
      </w:r>
      <w:r w:rsidR="00A0294D">
        <w:rPr>
          <w:rFonts w:ascii="Times New Roman" w:hAnsi="Times New Roman" w:cs="Times New Roman"/>
          <w:sz w:val="20"/>
          <w:szCs w:val="20"/>
        </w:rPr>
        <w:t xml:space="preserve"> log of </w:t>
      </w:r>
      <w:r w:rsidR="00A0294D" w:rsidRPr="00E60D5F">
        <w:rPr>
          <w:rFonts w:ascii="Times New Roman" w:hAnsi="Times New Roman" w:cs="Times New Roman"/>
          <w:sz w:val="20"/>
          <w:szCs w:val="20"/>
        </w:rPr>
        <w:t xml:space="preserve">incidence </w:t>
      </w:r>
      <w:r w:rsidR="00A0294D">
        <w:rPr>
          <w:rFonts w:ascii="Times New Roman" w:hAnsi="Times New Roman" w:cs="Times New Roman"/>
          <w:sz w:val="20"/>
          <w:szCs w:val="20"/>
        </w:rPr>
        <w:t xml:space="preserve">trend in counties with </w:t>
      </w:r>
      <w:r w:rsidR="00E91883">
        <w:rPr>
          <w:rFonts w:ascii="Times New Roman" w:hAnsi="Times New Roman" w:cs="Times New Roman"/>
          <w:sz w:val="20"/>
          <w:szCs w:val="20"/>
        </w:rPr>
        <w:t xml:space="preserve">an </w:t>
      </w:r>
      <w:r w:rsidR="00A0294D">
        <w:rPr>
          <w:rFonts w:ascii="Times New Roman" w:hAnsi="Times New Roman" w:cs="Times New Roman"/>
          <w:sz w:val="20"/>
          <w:szCs w:val="20"/>
        </w:rPr>
        <w:t>anchor closure</w:t>
      </w:r>
      <w:r w:rsidR="00A0294D" w:rsidRPr="00240553" w:rsidDel="00EE541B">
        <w:rPr>
          <w:rFonts w:ascii="Times New Roman" w:hAnsi="Times New Roman" w:cs="Times New Roman"/>
          <w:sz w:val="20"/>
          <w:szCs w:val="20"/>
        </w:rPr>
        <w:t xml:space="preserve"> </w:t>
      </w:r>
      <w:r w:rsidR="00A0294D">
        <w:rPr>
          <w:rFonts w:ascii="Times New Roman" w:hAnsi="Times New Roman" w:cs="Times New Roman"/>
          <w:sz w:val="20"/>
          <w:szCs w:val="20"/>
        </w:rPr>
        <w:t xml:space="preserve">under </w:t>
      </w:r>
      <w:r w:rsidR="00E91883">
        <w:rPr>
          <w:rFonts w:ascii="Times New Roman" w:hAnsi="Times New Roman" w:cs="Times New Roman"/>
          <w:sz w:val="20"/>
          <w:szCs w:val="20"/>
        </w:rPr>
        <w:t xml:space="preserve">the </w:t>
      </w:r>
      <w:r w:rsidR="00A0294D">
        <w:rPr>
          <w:rFonts w:ascii="Times New Roman" w:hAnsi="Times New Roman" w:cs="Times New Roman"/>
          <w:sz w:val="20"/>
          <w:szCs w:val="20"/>
        </w:rPr>
        <w:t xml:space="preserve">counterfactual </w:t>
      </w:r>
      <w:r w:rsidR="00825C96">
        <w:rPr>
          <w:rFonts w:ascii="Times New Roman" w:hAnsi="Times New Roman" w:cs="Times New Roman"/>
          <w:sz w:val="20"/>
          <w:szCs w:val="20"/>
        </w:rPr>
        <w:t xml:space="preserve">(red </w:t>
      </w:r>
      <w:r w:rsidR="00C3396D">
        <w:rPr>
          <w:rFonts w:ascii="Times New Roman" w:hAnsi="Times New Roman" w:cs="Times New Roman"/>
          <w:sz w:val="20"/>
          <w:szCs w:val="20"/>
        </w:rPr>
        <w:t>circles</w:t>
      </w:r>
      <w:r w:rsidR="00825C96">
        <w:rPr>
          <w:rFonts w:ascii="Times New Roman" w:hAnsi="Times New Roman" w:cs="Times New Roman"/>
          <w:sz w:val="20"/>
          <w:szCs w:val="20"/>
        </w:rPr>
        <w:t xml:space="preserve"> from day 0 to day 40) </w:t>
      </w:r>
      <w:r w:rsidR="00A0294D">
        <w:rPr>
          <w:rFonts w:ascii="Times New Roman" w:hAnsi="Times New Roman" w:cs="Times New Roman"/>
          <w:sz w:val="20"/>
          <w:szCs w:val="20"/>
        </w:rPr>
        <w:t xml:space="preserve">using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5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0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+β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time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</m:t>
            </m:r>
          </m:sub>
        </m:sSub>
      </m:oMath>
      <w:r w:rsidR="00A0294D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825C96">
        <w:rPr>
          <w:rFonts w:ascii="Times New Roman" w:eastAsiaTheme="minorEastAsia" w:hAnsi="Times New Roman" w:cs="Times New Roman"/>
          <w:sz w:val="20"/>
          <w:szCs w:val="20"/>
        </w:rPr>
        <w:t>Since</w:t>
      </w:r>
      <w:r w:rsidR="00E91883">
        <w:rPr>
          <w:rFonts w:ascii="Times New Roman" w:eastAsiaTheme="minorEastAsia" w:hAnsi="Times New Roman" w:cs="Times New Roman"/>
          <w:sz w:val="20"/>
          <w:szCs w:val="20"/>
        </w:rPr>
        <w:t xml:space="preserve"> the</w:t>
      </w:r>
      <w:r w:rsidR="00825C9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2E7E">
        <w:rPr>
          <w:rFonts w:ascii="Times New Roman" w:eastAsiaTheme="minorEastAsia" w:hAnsi="Times New Roman" w:cs="Times New Roman"/>
          <w:sz w:val="20"/>
          <w:szCs w:val="20"/>
        </w:rPr>
        <w:t xml:space="preserve">red </w:t>
      </w:r>
      <w:r w:rsidR="00C3396D">
        <w:rPr>
          <w:rFonts w:ascii="Times New Roman" w:eastAsiaTheme="minorEastAsia" w:hAnsi="Times New Roman" w:cs="Times New Roman"/>
          <w:sz w:val="20"/>
          <w:szCs w:val="20"/>
        </w:rPr>
        <w:t>circles were</w:t>
      </w:r>
      <w:r w:rsidR="00462E7E">
        <w:rPr>
          <w:rFonts w:ascii="Times New Roman" w:eastAsiaTheme="minorEastAsia" w:hAnsi="Times New Roman" w:cs="Times New Roman"/>
          <w:sz w:val="20"/>
          <w:szCs w:val="20"/>
        </w:rPr>
        <w:t xml:space="preserve"> under </w:t>
      </w:r>
      <w:r w:rsidR="00462E7E">
        <w:rPr>
          <w:rFonts w:ascii="Times New Roman" w:hAnsi="Times New Roman" w:cs="Times New Roman"/>
          <w:sz w:val="20"/>
          <w:szCs w:val="20"/>
        </w:rPr>
        <w:t xml:space="preserve">counterfactual, </w:t>
      </w:r>
      <w:r w:rsidR="00C3396D">
        <w:rPr>
          <w:rFonts w:ascii="Times New Roman" w:hAnsi="Times New Roman" w:cs="Times New Roman"/>
          <w:sz w:val="20"/>
          <w:szCs w:val="20"/>
        </w:rPr>
        <w:t xml:space="preserve">their </w:t>
      </w:r>
      <w:r w:rsidR="00462E7E">
        <w:rPr>
          <w:rFonts w:ascii="Times New Roman" w:hAnsi="Times New Roman" w:cs="Times New Roman"/>
          <w:sz w:val="20"/>
          <w:szCs w:val="20"/>
        </w:rPr>
        <w:t>estimate</w:t>
      </w:r>
      <w:r w:rsidR="00C3396D">
        <w:rPr>
          <w:rFonts w:ascii="Times New Roman" w:hAnsi="Times New Roman" w:cs="Times New Roman"/>
          <w:sz w:val="20"/>
          <w:szCs w:val="20"/>
        </w:rPr>
        <w:t>s</w:t>
      </w:r>
      <w:r w:rsidR="00462E7E">
        <w:rPr>
          <w:rFonts w:ascii="Times New Roman" w:hAnsi="Times New Roman" w:cs="Times New Roman"/>
          <w:sz w:val="20"/>
          <w:szCs w:val="20"/>
        </w:rPr>
        <w:t xml:space="preserve"> w</w:t>
      </w:r>
      <w:r w:rsidR="00C3396D">
        <w:rPr>
          <w:rFonts w:ascii="Times New Roman" w:hAnsi="Times New Roman" w:cs="Times New Roman"/>
          <w:sz w:val="20"/>
          <w:szCs w:val="20"/>
        </w:rPr>
        <w:t>ere</w:t>
      </w:r>
      <w:r w:rsidR="00462E7E">
        <w:rPr>
          <w:rFonts w:ascii="Times New Roman" w:hAnsi="Times New Roman" w:cs="Times New Roman"/>
          <w:sz w:val="20"/>
          <w:szCs w:val="20"/>
        </w:rPr>
        <w:t xml:space="preserve"> the same except for leaving out time effect of anchor closure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)</m:t>
        </m:r>
      </m:oMath>
      <w:r w:rsidR="00462E7E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r w:rsidR="004A0CEA" w:rsidRPr="00F44A01">
        <w:rPr>
          <w:rFonts w:ascii="Times New Roman" w:hAnsi="Times New Roman" w:cs="Times New Roman"/>
          <w:sz w:val="20"/>
          <w:szCs w:val="20"/>
        </w:rPr>
        <w:t>Note that we are not comparing point estimates on a single day. Our</w:t>
      </w:r>
      <w:r w:rsidR="004A0CEA">
        <w:rPr>
          <w:rFonts w:ascii="Times New Roman" w:hAnsi="Times New Roman" w:cs="Times New Roman"/>
          <w:sz w:val="20"/>
          <w:szCs w:val="20"/>
        </w:rPr>
        <w:t xml:space="preserve"> model estimated the difference</w:t>
      </w:r>
      <w:r w:rsidR="004A0CEA" w:rsidRPr="00F44A01">
        <w:rPr>
          <w:rFonts w:ascii="Times New Roman" w:hAnsi="Times New Roman" w:cs="Times New Roman"/>
          <w:sz w:val="20"/>
          <w:szCs w:val="20"/>
        </w:rPr>
        <w:t xml:space="preserve"> in slopes of the </w:t>
      </w:r>
      <w:r w:rsidR="004A0CEA">
        <w:rPr>
          <w:rFonts w:ascii="Times New Roman" w:hAnsi="Times New Roman" w:cs="Times New Roman"/>
          <w:sz w:val="20"/>
          <w:szCs w:val="20"/>
        </w:rPr>
        <w:t xml:space="preserve">red and black </w:t>
      </w:r>
      <w:r w:rsidR="004A0CEA" w:rsidRPr="00F44A01">
        <w:rPr>
          <w:rFonts w:ascii="Times New Roman" w:hAnsi="Times New Roman" w:cs="Times New Roman"/>
          <w:sz w:val="20"/>
          <w:szCs w:val="20"/>
        </w:rPr>
        <w:t>lines over the 40 days</w:t>
      </w:r>
      <w:r w:rsidR="004A0CEA">
        <w:rPr>
          <w:rFonts w:ascii="Times New Roman" w:hAnsi="Times New Roman" w:cs="Times New Roman"/>
          <w:sz w:val="20"/>
          <w:szCs w:val="20"/>
        </w:rPr>
        <w:t xml:space="preserve">, which was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7</m:t>
            </m:r>
          </m:sub>
        </m:sSub>
      </m:oMath>
      <w:r w:rsidR="00AF07A6">
        <w:rPr>
          <w:rFonts w:ascii="Times New Roman" w:eastAsiaTheme="minorEastAsia" w:hAnsi="Times New Roman" w:cs="Times New Roman"/>
          <w:sz w:val="20"/>
          <w:szCs w:val="20"/>
        </w:rPr>
        <w:t xml:space="preserve"> (Figure S1)</w:t>
      </w:r>
      <w:r w:rsidR="004A0CEA" w:rsidRPr="00F44A01">
        <w:rPr>
          <w:rFonts w:ascii="Times New Roman" w:hAnsi="Times New Roman" w:cs="Times New Roman"/>
          <w:sz w:val="20"/>
          <w:szCs w:val="20"/>
        </w:rPr>
        <w:t>.</w:t>
      </w:r>
    </w:p>
    <w:p w14:paraId="42CD47FC" w14:textId="3A6A88C8" w:rsidR="00EE541B" w:rsidRDefault="00EE541B" w:rsidP="00EE541B">
      <w:pPr>
        <w:rPr>
          <w:rFonts w:ascii="Times New Roman" w:hAnsi="Times New Roman" w:cs="Times New Roman"/>
          <w:sz w:val="20"/>
          <w:szCs w:val="20"/>
        </w:rPr>
      </w:pPr>
    </w:p>
    <w:p w14:paraId="00757493" w14:textId="2EFAA768" w:rsidR="00CA5146" w:rsidRDefault="00CA5146" w:rsidP="00CA514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Figure S1. A study frame of </w:t>
      </w:r>
      <w:r w:rsidR="00102387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>
        <w:rPr>
          <w:rFonts w:ascii="Times New Roman" w:eastAsiaTheme="minorEastAsia" w:hAnsi="Times New Roman" w:cs="Times New Roman"/>
          <w:sz w:val="20"/>
          <w:szCs w:val="20"/>
        </w:rPr>
        <w:t>comparative interrupted time series analysis</w:t>
      </w:r>
    </w:p>
    <w:p w14:paraId="5D5D0A4D" w14:textId="3523761E" w:rsidR="00102387" w:rsidRPr="00B438E6" w:rsidRDefault="00A0538D" w:rsidP="00B438E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B7093E3" wp14:editId="48E63C76">
            <wp:extent cx="5920812" cy="40614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82" cy="406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A70F36" w14:textId="0029C451" w:rsidR="00305485" w:rsidRPr="008D3D6A" w:rsidRDefault="00646D63" w:rsidP="002B05FD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D3D6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Section II</w:t>
      </w:r>
      <w:r w:rsidR="002B05FD" w:rsidRPr="008D3D6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575240" w:rsidRPr="008D3D6A">
        <w:rPr>
          <w:rFonts w:ascii="Times New Roman" w:eastAsiaTheme="minorEastAsia" w:hAnsi="Times New Roman" w:cs="Times New Roman"/>
          <w:b/>
          <w:sz w:val="24"/>
          <w:szCs w:val="24"/>
        </w:rPr>
        <w:t>Results from Main Analysis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30"/>
        <w:gridCol w:w="1930"/>
        <w:gridCol w:w="856"/>
      </w:tblGrid>
      <w:tr w:rsidR="00294304" w:rsidRPr="00E60D5F" w14:paraId="070D0263" w14:textId="77777777" w:rsidTr="003B7919">
        <w:trPr>
          <w:trHeight w:val="288"/>
        </w:trPr>
        <w:tc>
          <w:tcPr>
            <w:tcW w:w="24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1AF" w14:textId="77777777" w:rsidR="00294304" w:rsidRPr="00E60D5F" w:rsidRDefault="00294304" w:rsidP="00C1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Main Analysis</w:t>
            </w:r>
          </w:p>
        </w:tc>
        <w:tc>
          <w:tcPr>
            <w:tcW w:w="1031" w:type="pct"/>
            <w:tcBorders>
              <w:top w:val="single" w:sz="12" w:space="0" w:color="auto"/>
              <w:bottom w:val="single" w:sz="4" w:space="0" w:color="auto"/>
            </w:tcBorders>
          </w:tcPr>
          <w:p w14:paraId="092C4869" w14:textId="0BDBBCDC" w:rsidR="00294304" w:rsidRPr="00E60D5F" w:rsidRDefault="003B7919" w:rsidP="003B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  <w:r w:rsidR="00DB2805"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="00294304"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oefficient</w:t>
            </w:r>
          </w:p>
        </w:tc>
        <w:tc>
          <w:tcPr>
            <w:tcW w:w="10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2F5" w14:textId="3AD8ACB5" w:rsidR="00294304" w:rsidRPr="00E60D5F" w:rsidRDefault="00294304" w:rsidP="003B7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Exponential of coefficient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FC9" w14:textId="77777777" w:rsidR="00294304" w:rsidRPr="00E60D5F" w:rsidRDefault="00294304" w:rsidP="00C1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294304" w:rsidRPr="00E60D5F" w14:paraId="641F87D9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4491" w14:textId="12FA4A29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time effect </w:t>
            </w:r>
            <w:r w:rsidR="00294304" w:rsidRPr="00E60D5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>control counties before their “quasi-closure”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810" w14:textId="490B40BB" w:rsidR="00294304" w:rsidRPr="00E60D5F" w:rsidRDefault="00DB2805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35C9" w14:textId="02E29334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21F5" w14:textId="34974957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0.840</w:t>
            </w:r>
          </w:p>
        </w:tc>
      </w:tr>
      <w:tr w:rsidR="00294304" w:rsidRPr="00E60D5F" w14:paraId="64E5B685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737D" w14:textId="0576445C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change in control counties after their “quasi-intervention”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4C0" w14:textId="435F3D0E" w:rsidR="00294304" w:rsidRPr="00E60D5F" w:rsidRDefault="00DB2805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-0.0156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4C37" w14:textId="3414942B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B098" w14:textId="2EE75901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</w:t>
            </w:r>
          </w:p>
        </w:tc>
      </w:tr>
      <w:tr w:rsidR="00294304" w:rsidRPr="00E60D5F" w14:paraId="63EDB9B8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FD88" w14:textId="2AD92555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</w:t>
            </w:r>
            <w:r w:rsidR="00294304" w:rsidRPr="00E60D5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>control counties after their “quasi-intervention”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828" w14:textId="0A0EA6F4" w:rsidR="00294304" w:rsidRPr="00E60D5F" w:rsidRDefault="00DB2805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35DA" w14:textId="4E13E608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D82B" w14:textId="72BDA700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294304" w:rsidRPr="00E60D5F" w14:paraId="3B27FE37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85A" w14:textId="7B11D963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difference in anchor closure counties relative to control counties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A57" w14:textId="4E2E793C" w:rsidR="00294304" w:rsidRPr="00E60D5F" w:rsidRDefault="00DB2805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5CBC" w14:textId="1F7BEBE9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828D" w14:textId="609A4409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</w:t>
            </w:r>
          </w:p>
        </w:tc>
      </w:tr>
      <w:tr w:rsidR="00294304" w:rsidRPr="00E60D5F" w14:paraId="35A886C2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05728" w14:textId="48F33BF9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</w:t>
            </w:r>
            <w:r w:rsidR="00294304" w:rsidRPr="00E60D5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>anchor closure counties before their closure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E93" w14:textId="4B7476FA" w:rsidR="00294304" w:rsidRPr="00E60D5F" w:rsidRDefault="00DB2805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4C1C" w14:textId="1AFD6D80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98F2" w14:textId="27A01227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294304" w:rsidRPr="00E60D5F" w14:paraId="4C157BCA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8A49" w14:textId="4F9F6D0E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change in anchor closure counties after their closure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7EB" w14:textId="1C17B88B" w:rsidR="00294304" w:rsidRPr="00E60D5F" w:rsidRDefault="00242E37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0.4199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C2C6" w14:textId="4F2A9449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FEDE" w14:textId="49854DF2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294304" w:rsidRPr="00E60D5F" w14:paraId="735DA7A6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AD902" w14:textId="308667E9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</w:t>
            </w:r>
            <w:r w:rsidR="00294304" w:rsidRPr="00E60D5F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>anchor closure counties after their closure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C83" w14:textId="40FD439C" w:rsidR="00294304" w:rsidRPr="00E60D5F" w:rsidRDefault="00242E37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-0.0709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FA41FC2" w14:textId="7D75FC36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1D09" w14:textId="5A9C4207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294304" w:rsidRPr="00E60D5F" w14:paraId="14CDC396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9326" w14:textId="3E7CC138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>: effect of percent population under 18 years old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1F1" w14:textId="3087CC53" w:rsidR="00294304" w:rsidRPr="00E60D5F" w:rsidRDefault="00064487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FEC8" w14:textId="353BF209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20BD" w14:textId="0E435D96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294304" w:rsidRPr="00E60D5F" w14:paraId="73F66659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0D83" w14:textId="43B1DD43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difference among states with state-level orders at baseline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226" w14:textId="214602E5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0.8962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1841" w14:textId="24DA401E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6242" w14:textId="4FB07892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</w:tr>
      <w:tr w:rsidR="00294304" w:rsidRPr="00E60D5F" w14:paraId="5BDD0701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6595" w14:textId="31CCD23B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change in control states after their “quasi-state-level orders”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C93" w14:textId="041BAB56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-0.0325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EBB4" w14:textId="4E59FEEF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4BC8" w14:textId="38E9FFBB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</w:tr>
      <w:tr w:rsidR="00294304" w:rsidRPr="00E60D5F" w14:paraId="4943E8B9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98EA" w14:textId="255F290A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intercept change in states after their state-level orders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90A" w14:textId="6FA294CF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23E5" w14:textId="2E0786DE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EEB1" w14:textId="2FE72B70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294304" w:rsidRPr="00E60D5F" w14:paraId="5E2F4199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3D4AD" w14:textId="3E87D0A6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in states with state-level orders before their orders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D0C" w14:textId="3AAE1D1E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D806" w14:textId="7EA66F07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3C97" w14:textId="3A49F89A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</w:tr>
      <w:tr w:rsidR="00294304" w:rsidRPr="00E60D5F" w14:paraId="26E56EEE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47521" w14:textId="1F3637E0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in control states after their “quasi-state-level orders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8A6" w14:textId="1702BC92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812" w14:textId="264478CB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5F4A" w14:textId="79FF331E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</w:tr>
      <w:tr w:rsidR="00294304" w:rsidRPr="00E60D5F" w14:paraId="36A1601E" w14:textId="77777777" w:rsidTr="003B7919">
        <w:trPr>
          <w:trHeight w:val="288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5A28" w14:textId="6A1DE16B" w:rsidR="00294304" w:rsidRPr="00E60D5F" w:rsidRDefault="00416F14" w:rsidP="00EE78B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γ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:</m:t>
              </m:r>
            </m:oMath>
            <w:r w:rsidR="00294304" w:rsidRPr="00E60D5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time effect in states with state-level orders after their orders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98D" w14:textId="153B74A9" w:rsidR="00294304" w:rsidRPr="00E60D5F" w:rsidRDefault="000B5C3A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-0.0446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8521" w14:textId="00EA74ED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F93D" w14:textId="2472C2EE" w:rsidR="00294304" w:rsidRPr="00E60D5F" w:rsidRDefault="00294304" w:rsidP="00E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</w:tr>
    </w:tbl>
    <w:p w14:paraId="4C07472D" w14:textId="24B4E01B" w:rsidR="00305485" w:rsidRPr="00E60D5F" w:rsidRDefault="00305485" w:rsidP="001C5164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78C7251" w14:textId="12DE3F42" w:rsidR="00B37E45" w:rsidRPr="00E60D5F" w:rsidRDefault="00986042" w:rsidP="00F87985">
      <w:pPr>
        <w:pStyle w:val="CommentText"/>
        <w:rPr>
          <w:rFonts w:ascii="Times New Roman" w:hAnsi="Times New Roman" w:cs="Times New Roman"/>
        </w:rPr>
      </w:pPr>
      <w:r w:rsidRPr="00E60D5F">
        <w:rPr>
          <w:rFonts w:ascii="Times New Roman" w:hAnsi="Times New Roman" w:cs="Times New Roman"/>
        </w:rPr>
        <w:t xml:space="preserve">The highlighted cell </w:t>
      </w:r>
      <w:r w:rsidR="006F2871" w:rsidRPr="00E60D5F">
        <w:rPr>
          <w:rFonts w:ascii="Times New Roman" w:hAnsi="Times New Roman" w:cs="Times New Roman"/>
        </w:rPr>
        <w:t xml:space="preserve">is </w:t>
      </w:r>
      <w:r w:rsidR="00B37E45" w:rsidRPr="00E60D5F">
        <w:rPr>
          <w:rFonts w:ascii="Times New Roman" w:hAnsi="Times New Roman" w:cs="Times New Roman"/>
        </w:rPr>
        <w:t xml:space="preserve">the </w:t>
      </w:r>
      <w:r w:rsidRPr="00E60D5F">
        <w:rPr>
          <w:rFonts w:ascii="Times New Roman" w:hAnsi="Times New Roman" w:cs="Times New Roman"/>
        </w:rPr>
        <w:t xml:space="preserve">key </w:t>
      </w:r>
      <w:r w:rsidR="00B37E45" w:rsidRPr="00E60D5F">
        <w:rPr>
          <w:rFonts w:ascii="Times New Roman" w:hAnsi="Times New Roman" w:cs="Times New Roman"/>
        </w:rPr>
        <w:t>outcome</w:t>
      </w:r>
      <w:r w:rsidRPr="00E60D5F">
        <w:rPr>
          <w:rFonts w:ascii="Times New Roman" w:hAnsi="Times New Roman" w:cs="Times New Roman"/>
        </w:rPr>
        <w:t xml:space="preserve">. </w:t>
      </w:r>
      <w:r w:rsidR="008A1703" w:rsidRPr="00E60D5F">
        <w:rPr>
          <w:rFonts w:ascii="Times New Roman" w:hAnsi="Times New Roman" w:cs="Times New Roman"/>
        </w:rPr>
        <w:t xml:space="preserve">The effect of </w:t>
      </w:r>
      <w:r w:rsidR="00F90A47" w:rsidRPr="00E60D5F">
        <w:rPr>
          <w:rFonts w:ascii="Times New Roman" w:hAnsi="Times New Roman" w:cs="Times New Roman"/>
        </w:rPr>
        <w:t xml:space="preserve">Anchor Closure was </w:t>
      </w:r>
      <m:oMath>
        <m:r>
          <w:rPr>
            <w:rFonts w:ascii="Cambria Math" w:hAnsi="Cambria Math" w:cs="Times New Roman"/>
          </w:rPr>
          <m:t>exponential (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</w:rPr>
              <m:t>7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F90A47" w:rsidRPr="00E60D5F">
        <w:rPr>
          <w:rFonts w:ascii="Times New Roman" w:eastAsiaTheme="minorEastAsia" w:hAnsi="Times New Roman" w:cs="Times New Roman"/>
        </w:rPr>
        <w:t>.</w:t>
      </w:r>
      <w:r w:rsidR="00F90A47" w:rsidRPr="00E60D5F">
        <w:rPr>
          <w:rFonts w:ascii="Times New Roman" w:hAnsi="Times New Roman" w:cs="Times New Roman"/>
        </w:rPr>
        <w:t xml:space="preserve"> </w:t>
      </w:r>
      <w:r w:rsidR="000748C2" w:rsidRPr="00E60D5F">
        <w:rPr>
          <w:rFonts w:ascii="Times New Roman" w:hAnsi="Times New Roman" w:cs="Times New Roman"/>
        </w:rPr>
        <w:t>I</w:t>
      </w:r>
      <w:r w:rsidRPr="00E60D5F">
        <w:rPr>
          <w:rFonts w:ascii="Times New Roman" w:hAnsi="Times New Roman" w:cs="Times New Roman"/>
        </w:rPr>
        <w:t xml:space="preserve">n </w:t>
      </w:r>
      <w:r w:rsidR="00D43EEF" w:rsidRPr="00E60D5F">
        <w:rPr>
          <w:rFonts w:ascii="Times New Roman" w:hAnsi="Times New Roman" w:cs="Times New Roman"/>
        </w:rPr>
        <w:t>a county with an Anchor Closure</w:t>
      </w:r>
      <w:r w:rsidR="00544A91" w:rsidRPr="00E60D5F">
        <w:rPr>
          <w:rFonts w:ascii="Times New Roman" w:hAnsi="Times New Roman" w:cs="Times New Roman"/>
        </w:rPr>
        <w:t>,</w:t>
      </w:r>
      <w:r w:rsidRPr="00E60D5F">
        <w:rPr>
          <w:rFonts w:ascii="Times New Roman" w:hAnsi="Times New Roman" w:cs="Times New Roman"/>
        </w:rPr>
        <w:t xml:space="preserve"> the</w:t>
      </w:r>
      <w:r w:rsidR="00F87985" w:rsidRPr="00E60D5F">
        <w:rPr>
          <w:rFonts w:ascii="Times New Roman" w:hAnsi="Times New Roman" w:cs="Times New Roman"/>
        </w:rPr>
        <w:t xml:space="preserve"> incidence on </w:t>
      </w:r>
      <w:r w:rsidRPr="00E60D5F">
        <w:rPr>
          <w:rFonts w:ascii="Times New Roman" w:hAnsi="Times New Roman" w:cs="Times New Roman"/>
        </w:rPr>
        <w:t>D</w:t>
      </w:r>
      <w:r w:rsidR="00F87985" w:rsidRPr="00E60D5F">
        <w:rPr>
          <w:rFonts w:ascii="Times New Roman" w:hAnsi="Times New Roman" w:cs="Times New Roman"/>
        </w:rPr>
        <w:t xml:space="preserve">ay </w:t>
      </w:r>
      <w:r w:rsidR="00B14110">
        <w:rPr>
          <w:rFonts w:ascii="Times New Roman" w:hAnsi="Times New Roman" w:cs="Times New Roman"/>
        </w:rPr>
        <w:t>n</w:t>
      </w:r>
      <w:r w:rsidR="00B14110" w:rsidRPr="00E60D5F">
        <w:rPr>
          <w:rFonts w:ascii="Times New Roman" w:hAnsi="Times New Roman" w:cs="Times New Roman"/>
        </w:rPr>
        <w:t xml:space="preserve"> </w:t>
      </w:r>
      <w:r w:rsidRPr="00E60D5F">
        <w:rPr>
          <w:rFonts w:ascii="Times New Roman" w:hAnsi="Times New Roman" w:cs="Times New Roman"/>
        </w:rPr>
        <w:t xml:space="preserve">(the day of Anchor Closure) </w:t>
      </w:r>
      <w:r w:rsidR="00F87985" w:rsidRPr="00E60D5F">
        <w:rPr>
          <w:rFonts w:ascii="Times New Roman" w:hAnsi="Times New Roman" w:cs="Times New Roman"/>
        </w:rPr>
        <w:t>is 0.23469</w:t>
      </w:r>
      <w:r w:rsidR="00D43EEF" w:rsidRPr="00E60D5F">
        <w:rPr>
          <w:rFonts w:ascii="Times New Roman" w:hAnsi="Times New Roman" w:cs="Times New Roman"/>
        </w:rPr>
        <w:t>, and t</w:t>
      </w:r>
      <w:r w:rsidRPr="00E60D5F">
        <w:rPr>
          <w:rFonts w:ascii="Times New Roman" w:hAnsi="Times New Roman" w:cs="Times New Roman"/>
        </w:rPr>
        <w:t>he</w:t>
      </w:r>
      <w:r w:rsidR="00F87985" w:rsidRPr="00E60D5F">
        <w:rPr>
          <w:rFonts w:ascii="Times New Roman" w:hAnsi="Times New Roman" w:cs="Times New Roman"/>
        </w:rPr>
        <w:t xml:space="preserve"> incidence on </w:t>
      </w:r>
      <w:r w:rsidRPr="00E60D5F">
        <w:rPr>
          <w:rFonts w:ascii="Times New Roman" w:hAnsi="Times New Roman" w:cs="Times New Roman"/>
        </w:rPr>
        <w:t xml:space="preserve">Day </w:t>
      </w:r>
      <w:r w:rsidR="00B14110">
        <w:rPr>
          <w:rFonts w:ascii="Times New Roman" w:hAnsi="Times New Roman" w:cs="Times New Roman"/>
        </w:rPr>
        <w:t>n+1</w:t>
      </w:r>
      <w:r w:rsidR="00B14110" w:rsidRPr="00E60D5F">
        <w:rPr>
          <w:rFonts w:ascii="Times New Roman" w:hAnsi="Times New Roman" w:cs="Times New Roman"/>
        </w:rPr>
        <w:t xml:space="preserve"> </w:t>
      </w:r>
      <w:r w:rsidR="00F87985" w:rsidRPr="00E60D5F">
        <w:rPr>
          <w:rFonts w:ascii="Times New Roman" w:hAnsi="Times New Roman" w:cs="Times New Roman"/>
        </w:rPr>
        <w:t>is 0.24325</w:t>
      </w:r>
      <w:r w:rsidRPr="00E60D5F">
        <w:rPr>
          <w:rFonts w:ascii="Times New Roman" w:hAnsi="Times New Roman" w:cs="Times New Roman"/>
        </w:rPr>
        <w:t xml:space="preserve">. The </w:t>
      </w:r>
      <w:r w:rsidR="00D43EEF" w:rsidRPr="00E60D5F">
        <w:rPr>
          <w:rFonts w:ascii="Times New Roman" w:hAnsi="Times New Roman" w:cs="Times New Roman"/>
        </w:rPr>
        <w:t xml:space="preserve">growth rate (incidence of Day </w:t>
      </w:r>
      <w:r w:rsidR="00B14110">
        <w:rPr>
          <w:rFonts w:ascii="Times New Roman" w:hAnsi="Times New Roman" w:cs="Times New Roman"/>
        </w:rPr>
        <w:t>n+1</w:t>
      </w:r>
      <w:r w:rsidR="00D43EEF" w:rsidRPr="00E60D5F">
        <w:rPr>
          <w:rFonts w:ascii="Times New Roman" w:hAnsi="Times New Roman" w:cs="Times New Roman"/>
        </w:rPr>
        <w:t xml:space="preserve">/ incidence of Day </w:t>
      </w:r>
      <w:r w:rsidR="00B14110">
        <w:rPr>
          <w:rFonts w:ascii="Times New Roman" w:hAnsi="Times New Roman" w:cs="Times New Roman"/>
        </w:rPr>
        <w:t>n</w:t>
      </w:r>
      <w:r w:rsidR="00D43EEF" w:rsidRPr="00E60D5F">
        <w:rPr>
          <w:rFonts w:ascii="Times New Roman" w:hAnsi="Times New Roman" w:cs="Times New Roman"/>
        </w:rPr>
        <w:t>)</w:t>
      </w:r>
      <w:r w:rsidRPr="00E60D5F">
        <w:rPr>
          <w:rFonts w:ascii="Times New Roman" w:hAnsi="Times New Roman" w:cs="Times New Roman"/>
        </w:rPr>
        <w:t xml:space="preserve"> is</w:t>
      </w:r>
      <w:r w:rsidR="00F87985" w:rsidRPr="00E60D5F">
        <w:rPr>
          <w:rFonts w:ascii="Times New Roman" w:hAnsi="Times New Roman" w:cs="Times New Roman"/>
        </w:rPr>
        <w:t xml:space="preserve"> 1.0364. </w:t>
      </w:r>
      <w:r w:rsidR="008A1703" w:rsidRPr="00E60D5F">
        <w:rPr>
          <w:rFonts w:ascii="Times New Roman" w:hAnsi="Times New Roman" w:cs="Times New Roman"/>
        </w:rPr>
        <w:t xml:space="preserve">In the absence of </w:t>
      </w:r>
      <w:r w:rsidR="0098231C" w:rsidRPr="00E60D5F">
        <w:rPr>
          <w:rFonts w:ascii="Times New Roman" w:hAnsi="Times New Roman" w:cs="Times New Roman"/>
        </w:rPr>
        <w:t>Anchor Closure</w:t>
      </w:r>
      <w:r w:rsidR="00F87985" w:rsidRPr="00E60D5F">
        <w:rPr>
          <w:rFonts w:ascii="Times New Roman" w:hAnsi="Times New Roman" w:cs="Times New Roman"/>
        </w:rPr>
        <w:t xml:space="preserve">, the incidence on day </w:t>
      </w:r>
      <w:r w:rsidR="00B14110">
        <w:rPr>
          <w:rFonts w:ascii="Times New Roman" w:hAnsi="Times New Roman" w:cs="Times New Roman"/>
        </w:rPr>
        <w:t>n</w:t>
      </w:r>
      <w:r w:rsidR="00B14110" w:rsidRPr="00E60D5F">
        <w:rPr>
          <w:rFonts w:ascii="Times New Roman" w:hAnsi="Times New Roman" w:cs="Times New Roman"/>
        </w:rPr>
        <w:t xml:space="preserve"> </w:t>
      </w:r>
      <w:r w:rsidR="00F87985" w:rsidRPr="00E60D5F">
        <w:rPr>
          <w:rFonts w:ascii="Times New Roman" w:hAnsi="Times New Roman" w:cs="Times New Roman"/>
        </w:rPr>
        <w:t xml:space="preserve">is 0.23469, </w:t>
      </w:r>
      <w:r w:rsidRPr="00E60D5F">
        <w:rPr>
          <w:rFonts w:ascii="Times New Roman" w:hAnsi="Times New Roman" w:cs="Times New Roman"/>
        </w:rPr>
        <w:t xml:space="preserve">and the incidence on Day </w:t>
      </w:r>
      <w:r w:rsidR="00B14110">
        <w:rPr>
          <w:rFonts w:ascii="Times New Roman" w:hAnsi="Times New Roman" w:cs="Times New Roman"/>
        </w:rPr>
        <w:t>n+1</w:t>
      </w:r>
      <w:r w:rsidR="00B14110" w:rsidRPr="00E60D5F">
        <w:rPr>
          <w:rFonts w:ascii="Times New Roman" w:hAnsi="Times New Roman" w:cs="Times New Roman"/>
        </w:rPr>
        <w:t xml:space="preserve"> </w:t>
      </w:r>
      <w:r w:rsidR="00F87985" w:rsidRPr="00E60D5F">
        <w:rPr>
          <w:rFonts w:ascii="Times New Roman" w:hAnsi="Times New Roman" w:cs="Times New Roman"/>
        </w:rPr>
        <w:t xml:space="preserve">is 0.26111, </w:t>
      </w:r>
      <w:r w:rsidRPr="00E60D5F">
        <w:rPr>
          <w:rFonts w:ascii="Times New Roman" w:hAnsi="Times New Roman" w:cs="Times New Roman"/>
        </w:rPr>
        <w:t>for a</w:t>
      </w:r>
      <w:r w:rsidR="008A1703" w:rsidRPr="00E60D5F">
        <w:rPr>
          <w:rFonts w:ascii="Times New Roman" w:hAnsi="Times New Roman" w:cs="Times New Roman"/>
        </w:rPr>
        <w:t xml:space="preserve"> growth rate </w:t>
      </w:r>
      <w:r w:rsidRPr="00E60D5F">
        <w:rPr>
          <w:rFonts w:ascii="Times New Roman" w:hAnsi="Times New Roman" w:cs="Times New Roman"/>
        </w:rPr>
        <w:t>of</w:t>
      </w:r>
      <w:r w:rsidR="00F87985" w:rsidRPr="00E60D5F">
        <w:rPr>
          <w:rFonts w:ascii="Times New Roman" w:hAnsi="Times New Roman" w:cs="Times New Roman"/>
        </w:rPr>
        <w:t xml:space="preserve"> 1.1126. </w:t>
      </w:r>
      <w:r w:rsidR="00B37E45" w:rsidRPr="00E60D5F">
        <w:rPr>
          <w:rFonts w:ascii="Times New Roman" w:hAnsi="Times New Roman" w:cs="Times New Roman"/>
        </w:rPr>
        <w:t xml:space="preserve">The ratio of the two </w:t>
      </w:r>
      <w:r w:rsidR="008A1703" w:rsidRPr="00E60D5F">
        <w:rPr>
          <w:rFonts w:ascii="Times New Roman" w:hAnsi="Times New Roman" w:cs="Times New Roman"/>
        </w:rPr>
        <w:t>growth rate</w:t>
      </w:r>
      <w:r w:rsidR="00405B7D" w:rsidRPr="00E60D5F">
        <w:rPr>
          <w:rFonts w:ascii="Times New Roman" w:hAnsi="Times New Roman" w:cs="Times New Roman"/>
        </w:rPr>
        <w:t>s</w:t>
      </w:r>
      <w:r w:rsidR="00B37E45" w:rsidRPr="00E60D5F">
        <w:rPr>
          <w:rFonts w:ascii="Times New Roman" w:hAnsi="Times New Roman" w:cs="Times New Roman"/>
        </w:rPr>
        <w:t xml:space="preserve"> is </w:t>
      </w:r>
      <w:r w:rsidR="00B37E45" w:rsidRPr="00E60D5F">
        <w:rPr>
          <w:rFonts w:ascii="Times New Roman" w:hAnsi="Times New Roman" w:cs="Times New Roman"/>
          <w:shd w:val="clear" w:color="auto" w:fill="D0CECE" w:themeFill="background2" w:themeFillShade="E6"/>
        </w:rPr>
        <w:t>0.93</w:t>
      </w:r>
      <w:r w:rsidR="00544A91" w:rsidRPr="00E60D5F">
        <w:rPr>
          <w:rFonts w:ascii="Times New Roman" w:hAnsi="Times New Roman" w:cs="Times New Roman"/>
        </w:rPr>
        <w:t xml:space="preserve">. In other words, </w:t>
      </w:r>
      <w:r w:rsidR="000748C2" w:rsidRPr="00E60D5F">
        <w:rPr>
          <w:rFonts w:ascii="Times New Roman" w:hAnsi="Times New Roman" w:cs="Times New Roman"/>
        </w:rPr>
        <w:t xml:space="preserve">the model predicted that </w:t>
      </w:r>
      <w:r w:rsidR="00B37E45" w:rsidRPr="00E60D5F">
        <w:rPr>
          <w:rFonts w:ascii="Times New Roman" w:hAnsi="Times New Roman" w:cs="Times New Roman"/>
        </w:rPr>
        <w:t xml:space="preserve">the adjusted daily incidence </w:t>
      </w:r>
      <w:r w:rsidR="006F2871" w:rsidRPr="00E60D5F">
        <w:rPr>
          <w:rFonts w:ascii="Times New Roman" w:hAnsi="Times New Roman" w:cs="Times New Roman"/>
        </w:rPr>
        <w:t>after Anchor Closure</w:t>
      </w:r>
      <w:r w:rsidR="00F90A47" w:rsidRPr="00E60D5F">
        <w:rPr>
          <w:rFonts w:ascii="Times New Roman" w:hAnsi="Times New Roman" w:cs="Times New Roman"/>
        </w:rPr>
        <w:t xml:space="preserve"> is </w:t>
      </w:r>
      <w:r w:rsidR="00F90A47" w:rsidRPr="00E60D5F">
        <w:rPr>
          <w:rFonts w:ascii="Times New Roman" w:hAnsi="Times New Roman" w:cs="Times New Roman"/>
          <w:highlight w:val="lightGray"/>
        </w:rPr>
        <w:t>0.93</w:t>
      </w:r>
      <w:r w:rsidR="00F90A47" w:rsidRPr="00E60D5F">
        <w:rPr>
          <w:rFonts w:ascii="Times New Roman" w:hAnsi="Times New Roman" w:cs="Times New Roman"/>
        </w:rPr>
        <w:t xml:space="preserve"> times lower than </w:t>
      </w:r>
      <w:r w:rsidR="00405B7D" w:rsidRPr="00E60D5F">
        <w:rPr>
          <w:rFonts w:ascii="Times New Roman" w:hAnsi="Times New Roman" w:cs="Times New Roman"/>
        </w:rPr>
        <w:t xml:space="preserve">in </w:t>
      </w:r>
      <w:r w:rsidR="000748C2" w:rsidRPr="00E60D5F">
        <w:rPr>
          <w:rFonts w:ascii="Times New Roman" w:hAnsi="Times New Roman" w:cs="Times New Roman"/>
        </w:rPr>
        <w:t>the absence of closure</w:t>
      </w:r>
      <w:r w:rsidR="006F2871" w:rsidRPr="00E60D5F">
        <w:rPr>
          <w:rFonts w:ascii="Times New Roman" w:hAnsi="Times New Roman" w:cs="Times New Roman"/>
        </w:rPr>
        <w:t xml:space="preserve">, after controlling for trends in control counties. </w:t>
      </w:r>
    </w:p>
    <w:p w14:paraId="7BF50CC8" w14:textId="77777777" w:rsidR="002D6842" w:rsidRPr="00E60D5F" w:rsidRDefault="002D6842" w:rsidP="001C5164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5C4498B" w14:textId="77777777" w:rsidR="00D83A84" w:rsidRPr="00E60D5F" w:rsidRDefault="00D83A84" w:rsidP="002B05F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8854F5B" w14:textId="59F34E0F" w:rsidR="00155111" w:rsidRDefault="00155111" w:rsidP="002B05F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6068876" w14:textId="23AE101A" w:rsidR="004917EB" w:rsidRDefault="004917EB" w:rsidP="002B05F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7AC8B3C" w14:textId="61667C2C" w:rsidR="004917EB" w:rsidRDefault="004917EB" w:rsidP="002B05F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18E3A5F" w14:textId="77777777" w:rsidR="004917EB" w:rsidRPr="008D3D6A" w:rsidRDefault="004917EB" w:rsidP="002B05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26E93" w14:textId="0CC684E7" w:rsidR="008E2181" w:rsidRPr="008D3D6A" w:rsidRDefault="00646D63" w:rsidP="002B05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D6A">
        <w:rPr>
          <w:rFonts w:ascii="Times New Roman" w:hAnsi="Times New Roman" w:cs="Times New Roman"/>
          <w:b/>
          <w:sz w:val="24"/>
          <w:szCs w:val="24"/>
        </w:rPr>
        <w:lastRenderedPageBreak/>
        <w:t>Section III</w:t>
      </w:r>
      <w:r w:rsidR="002B05FD" w:rsidRPr="008D3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181" w:rsidRPr="008D3D6A">
        <w:rPr>
          <w:rFonts w:ascii="Times New Roman" w:hAnsi="Times New Roman" w:cs="Times New Roman"/>
          <w:b/>
          <w:sz w:val="24"/>
          <w:szCs w:val="24"/>
        </w:rPr>
        <w:t>Results from sensitivity</w:t>
      </w:r>
      <w:r w:rsidR="00166C02" w:rsidRPr="008D3D6A">
        <w:rPr>
          <w:rFonts w:ascii="Times New Roman" w:hAnsi="Times New Roman" w:cs="Times New Roman"/>
          <w:b/>
          <w:sz w:val="24"/>
          <w:szCs w:val="24"/>
        </w:rPr>
        <w:t xml:space="preserve"> analyses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0"/>
        <w:gridCol w:w="2250"/>
        <w:gridCol w:w="1080"/>
      </w:tblGrid>
      <w:tr w:rsidR="00166C02" w:rsidRPr="00E60D5F" w14:paraId="27EF78F9" w14:textId="77777777" w:rsidTr="001B050D">
        <w:trPr>
          <w:trHeight w:val="288"/>
        </w:trPr>
        <w:tc>
          <w:tcPr>
            <w:tcW w:w="322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E673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Sensitivity analyses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BCF1" w14:textId="6720870E" w:rsidR="00166C02" w:rsidRPr="00E60D5F" w:rsidRDefault="00CC7750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Anchor closure associated relative </w:t>
            </w:r>
            <w:r w:rsidR="00AD2427"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change in </w:t>
            </w: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daily </w:t>
            </w:r>
            <w:r w:rsidR="00AD2427"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incidenc</w:t>
            </w: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 </w:t>
            </w:r>
            <w:r w:rsidR="001C5164" w:rsidRPr="00E60D5F">
              <w:rPr>
                <w:rFonts w:ascii="Times New Roman" w:hAnsi="Times New Roman" w:cs="Times New Roman"/>
                <w:b/>
                <w:sz w:val="20"/>
                <w:szCs w:val="20"/>
              </w:rPr>
              <w:t>of positive tests for COVID-19</w:t>
            </w:r>
            <w:r w:rsidR="00AD2427"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4A5C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166C02" w:rsidRPr="00E60D5F" w14:paraId="6C5416E1" w14:textId="77777777" w:rsidTr="001B050D">
        <w:trPr>
          <w:trHeight w:val="288"/>
        </w:trPr>
        <w:tc>
          <w:tcPr>
            <w:tcW w:w="3221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C239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 1a, assuming any type of anchor closure (</w:t>
            </w: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short, long, partial, and full</w:t>
            </w: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 would have effect after 7-days of closure</w:t>
            </w:r>
          </w:p>
        </w:tc>
        <w:tc>
          <w:tcPr>
            <w:tcW w:w="1202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7CF6A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577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CCCA8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66C02" w:rsidRPr="00E60D5F" w14:paraId="56759871" w14:textId="77777777" w:rsidTr="001B050D">
        <w:trPr>
          <w:trHeight w:val="288"/>
        </w:trPr>
        <w:tc>
          <w:tcPr>
            <w:tcW w:w="3221" w:type="pct"/>
            <w:shd w:val="clear" w:color="auto" w:fill="auto"/>
            <w:noWrap/>
            <w:vAlign w:val="bottom"/>
            <w:hideMark/>
          </w:tcPr>
          <w:p w14:paraId="70FEAB60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 1b, assuming any type of anchor closure would have effect after 14-days of closure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7501629B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130C154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66C02" w:rsidRPr="00E60D5F" w14:paraId="380BB57A" w14:textId="77777777" w:rsidTr="001B050D">
        <w:trPr>
          <w:trHeight w:val="288"/>
        </w:trPr>
        <w:tc>
          <w:tcPr>
            <w:tcW w:w="3221" w:type="pct"/>
            <w:shd w:val="clear" w:color="auto" w:fill="auto"/>
            <w:noWrap/>
            <w:vAlign w:val="bottom"/>
            <w:hideMark/>
          </w:tcPr>
          <w:p w14:paraId="78661A96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</w:t>
            </w: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2a, assuming long-term closure (&gt;21 days, 3 weeks) </w:t>
            </w: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would have effect after anchor closure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0016F025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B077477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166C02" w:rsidRPr="00E60D5F" w14:paraId="627E0E1F" w14:textId="77777777" w:rsidTr="001B050D">
        <w:trPr>
          <w:trHeight w:val="288"/>
        </w:trPr>
        <w:tc>
          <w:tcPr>
            <w:tcW w:w="3221" w:type="pct"/>
            <w:shd w:val="clear" w:color="auto" w:fill="auto"/>
            <w:noWrap/>
            <w:vAlign w:val="bottom"/>
            <w:hideMark/>
          </w:tcPr>
          <w:p w14:paraId="343DCBF4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</w:t>
            </w: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2a, assuming short-term closure (&lt;=21 days, 3 weeks) </w:t>
            </w: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would have effect after anchor closure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41C60D9B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604D576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  <w:tr w:rsidR="00166C02" w:rsidRPr="00E60D5F" w14:paraId="50A0CBCC" w14:textId="77777777" w:rsidTr="001B050D">
        <w:trPr>
          <w:trHeight w:val="288"/>
        </w:trPr>
        <w:tc>
          <w:tcPr>
            <w:tcW w:w="3221" w:type="pct"/>
            <w:shd w:val="clear" w:color="auto" w:fill="auto"/>
            <w:noWrap/>
            <w:vAlign w:val="bottom"/>
            <w:hideMark/>
          </w:tcPr>
          <w:p w14:paraId="18F09793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</w:t>
            </w: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3a, assuming full closure </w:t>
            </w: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would have effect after anchor closure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60F3B3D9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04776AF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</w:tr>
      <w:tr w:rsidR="00166C02" w:rsidRPr="00E60D5F" w14:paraId="3C842402" w14:textId="77777777" w:rsidTr="001B050D">
        <w:trPr>
          <w:trHeight w:val="288"/>
        </w:trPr>
        <w:tc>
          <w:tcPr>
            <w:tcW w:w="3221" w:type="pct"/>
            <w:shd w:val="clear" w:color="auto" w:fill="auto"/>
            <w:noWrap/>
            <w:vAlign w:val="bottom"/>
            <w:hideMark/>
          </w:tcPr>
          <w:p w14:paraId="43B7421A" w14:textId="77777777" w:rsidR="00166C02" w:rsidRPr="00E60D5F" w:rsidRDefault="00166C02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Sensitivity</w:t>
            </w: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3b,assuming partial closure </w:t>
            </w:r>
            <w:r w:rsidRPr="00E60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would have effect after anchor closure</w:t>
            </w:r>
          </w:p>
        </w:tc>
        <w:tc>
          <w:tcPr>
            <w:tcW w:w="1202" w:type="pct"/>
            <w:shd w:val="clear" w:color="auto" w:fill="auto"/>
            <w:noWrap/>
            <w:vAlign w:val="bottom"/>
            <w:hideMark/>
          </w:tcPr>
          <w:p w14:paraId="686FC45F" w14:textId="77777777" w:rsidR="00166C02" w:rsidRPr="00E60D5F" w:rsidRDefault="004239EC" w:rsidP="00A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2CD640E" w14:textId="77777777" w:rsidR="00166C02" w:rsidRPr="00E60D5F" w:rsidRDefault="004239EC" w:rsidP="00166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</w:tbl>
    <w:p w14:paraId="51B374E8" w14:textId="2CBFBFC6" w:rsidR="007C3C56" w:rsidRDefault="007C3C56">
      <w:pPr>
        <w:rPr>
          <w:rFonts w:ascii="Times New Roman" w:hAnsi="Times New Roman" w:cs="Times New Roman"/>
          <w:sz w:val="20"/>
          <w:szCs w:val="20"/>
        </w:rPr>
      </w:pPr>
    </w:p>
    <w:p w14:paraId="4E2816B6" w14:textId="7D84A217" w:rsidR="007B3823" w:rsidRPr="008D3D6A" w:rsidRDefault="007B3823" w:rsidP="007B38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AC5C7" w14:textId="4F38A7EF" w:rsidR="00240553" w:rsidRPr="00E60D5F" w:rsidRDefault="00240553" w:rsidP="00EE541B">
      <w:pPr>
        <w:rPr>
          <w:rFonts w:ascii="Times New Roman" w:hAnsi="Times New Roman" w:cs="Times New Roman"/>
          <w:sz w:val="20"/>
          <w:szCs w:val="20"/>
        </w:rPr>
      </w:pPr>
    </w:p>
    <w:sectPr w:rsidR="00240553" w:rsidRPr="00E60D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D4C6" w14:textId="77777777" w:rsidR="00416F14" w:rsidRDefault="00416F14" w:rsidP="000B30D7">
      <w:pPr>
        <w:spacing w:after="0" w:line="240" w:lineRule="auto"/>
      </w:pPr>
      <w:r>
        <w:separator/>
      </w:r>
    </w:p>
  </w:endnote>
  <w:endnote w:type="continuationSeparator" w:id="0">
    <w:p w14:paraId="78E11C3C" w14:textId="77777777" w:rsidR="00416F14" w:rsidRDefault="00416F14" w:rsidP="000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050269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0BA86" w14:textId="357267E8" w:rsidR="00014509" w:rsidRPr="00434FAA" w:rsidRDefault="00014509">
        <w:pPr>
          <w:pStyle w:val="Footer"/>
          <w:jc w:val="center"/>
          <w:rPr>
            <w:rFonts w:ascii="Times New Roman" w:hAnsi="Times New Roman" w:cs="Times New Roman"/>
          </w:rPr>
        </w:pPr>
        <w:r w:rsidRPr="00434FAA">
          <w:rPr>
            <w:rFonts w:ascii="Times New Roman" w:hAnsi="Times New Roman" w:cs="Times New Roman"/>
          </w:rPr>
          <w:fldChar w:fldCharType="begin"/>
        </w:r>
        <w:r w:rsidRPr="00434FAA">
          <w:rPr>
            <w:rFonts w:ascii="Times New Roman" w:hAnsi="Times New Roman" w:cs="Times New Roman"/>
          </w:rPr>
          <w:instrText xml:space="preserve"> PAGE   \* MERGEFORMAT </w:instrText>
        </w:r>
        <w:r w:rsidRPr="00434FAA">
          <w:rPr>
            <w:rFonts w:ascii="Times New Roman" w:hAnsi="Times New Roman" w:cs="Times New Roman"/>
          </w:rPr>
          <w:fldChar w:fldCharType="separate"/>
        </w:r>
        <w:r w:rsidR="006C5770">
          <w:rPr>
            <w:rFonts w:ascii="Times New Roman" w:hAnsi="Times New Roman" w:cs="Times New Roman"/>
            <w:noProof/>
          </w:rPr>
          <w:t>2</w:t>
        </w:r>
        <w:r w:rsidRPr="00434FA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2777B7" w14:textId="77777777" w:rsidR="00014509" w:rsidRDefault="00014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5F79" w14:textId="77777777" w:rsidR="00416F14" w:rsidRDefault="00416F14" w:rsidP="000B30D7">
      <w:pPr>
        <w:spacing w:after="0" w:line="240" w:lineRule="auto"/>
      </w:pPr>
      <w:r>
        <w:separator/>
      </w:r>
    </w:p>
  </w:footnote>
  <w:footnote w:type="continuationSeparator" w:id="0">
    <w:p w14:paraId="5074AA4C" w14:textId="77777777" w:rsidR="00416F14" w:rsidRDefault="00416F14" w:rsidP="000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11E8"/>
    <w:multiLevelType w:val="hybridMultilevel"/>
    <w:tmpl w:val="716A6A7E"/>
    <w:lvl w:ilvl="0" w:tplc="BDE80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56"/>
    <w:rsid w:val="0000048B"/>
    <w:rsid w:val="0000108F"/>
    <w:rsid w:val="00006112"/>
    <w:rsid w:val="0001285D"/>
    <w:rsid w:val="000135C2"/>
    <w:rsid w:val="00014509"/>
    <w:rsid w:val="0002067E"/>
    <w:rsid w:val="00024976"/>
    <w:rsid w:val="00062B09"/>
    <w:rsid w:val="00064487"/>
    <w:rsid w:val="00071E46"/>
    <w:rsid w:val="000748C2"/>
    <w:rsid w:val="000A43D8"/>
    <w:rsid w:val="000B30D7"/>
    <w:rsid w:val="000B31FF"/>
    <w:rsid w:val="000B5C3A"/>
    <w:rsid w:val="000B7117"/>
    <w:rsid w:val="000D12B6"/>
    <w:rsid w:val="000F11BD"/>
    <w:rsid w:val="000F5AF4"/>
    <w:rsid w:val="0010048D"/>
    <w:rsid w:val="00102387"/>
    <w:rsid w:val="001052CE"/>
    <w:rsid w:val="00110F68"/>
    <w:rsid w:val="00124A58"/>
    <w:rsid w:val="0012650D"/>
    <w:rsid w:val="00127774"/>
    <w:rsid w:val="0014553B"/>
    <w:rsid w:val="0015124F"/>
    <w:rsid w:val="00154DF2"/>
    <w:rsid w:val="00155111"/>
    <w:rsid w:val="00163E44"/>
    <w:rsid w:val="00166C02"/>
    <w:rsid w:val="00167ACE"/>
    <w:rsid w:val="00183AEB"/>
    <w:rsid w:val="00185650"/>
    <w:rsid w:val="001863AA"/>
    <w:rsid w:val="001B050D"/>
    <w:rsid w:val="001C222E"/>
    <w:rsid w:val="001C5164"/>
    <w:rsid w:val="001E0B1E"/>
    <w:rsid w:val="001E0C2C"/>
    <w:rsid w:val="001E6CF8"/>
    <w:rsid w:val="00202252"/>
    <w:rsid w:val="00207E70"/>
    <w:rsid w:val="00215982"/>
    <w:rsid w:val="00240553"/>
    <w:rsid w:val="00242E37"/>
    <w:rsid w:val="00294304"/>
    <w:rsid w:val="002B05FD"/>
    <w:rsid w:val="002B5094"/>
    <w:rsid w:val="002D6842"/>
    <w:rsid w:val="00305485"/>
    <w:rsid w:val="00347D5C"/>
    <w:rsid w:val="00366891"/>
    <w:rsid w:val="00371AB2"/>
    <w:rsid w:val="003B7919"/>
    <w:rsid w:val="003B7D8C"/>
    <w:rsid w:val="003C176D"/>
    <w:rsid w:val="003C779C"/>
    <w:rsid w:val="003D3809"/>
    <w:rsid w:val="003F5456"/>
    <w:rsid w:val="00405B7D"/>
    <w:rsid w:val="00416F14"/>
    <w:rsid w:val="004225BF"/>
    <w:rsid w:val="004236E1"/>
    <w:rsid w:val="004239EC"/>
    <w:rsid w:val="00434FAA"/>
    <w:rsid w:val="0044123B"/>
    <w:rsid w:val="00460D22"/>
    <w:rsid w:val="00462E7E"/>
    <w:rsid w:val="004645BE"/>
    <w:rsid w:val="004708A1"/>
    <w:rsid w:val="00486892"/>
    <w:rsid w:val="004917EB"/>
    <w:rsid w:val="00497882"/>
    <w:rsid w:val="004A0CEA"/>
    <w:rsid w:val="004C6AAD"/>
    <w:rsid w:val="00510357"/>
    <w:rsid w:val="00516601"/>
    <w:rsid w:val="00516AD7"/>
    <w:rsid w:val="00531D7E"/>
    <w:rsid w:val="005368A4"/>
    <w:rsid w:val="00544A91"/>
    <w:rsid w:val="00553457"/>
    <w:rsid w:val="00557EBA"/>
    <w:rsid w:val="00564303"/>
    <w:rsid w:val="00571559"/>
    <w:rsid w:val="00575240"/>
    <w:rsid w:val="005775D1"/>
    <w:rsid w:val="0058727B"/>
    <w:rsid w:val="005972DC"/>
    <w:rsid w:val="005B4C18"/>
    <w:rsid w:val="005C2077"/>
    <w:rsid w:val="005D16BF"/>
    <w:rsid w:val="005D1A8B"/>
    <w:rsid w:val="005D7647"/>
    <w:rsid w:val="005E1E93"/>
    <w:rsid w:val="005F7C1F"/>
    <w:rsid w:val="00616D5F"/>
    <w:rsid w:val="00646D63"/>
    <w:rsid w:val="00650FAF"/>
    <w:rsid w:val="0065216F"/>
    <w:rsid w:val="00652872"/>
    <w:rsid w:val="00671A2E"/>
    <w:rsid w:val="006B11DF"/>
    <w:rsid w:val="006B42E7"/>
    <w:rsid w:val="006C5770"/>
    <w:rsid w:val="006F2871"/>
    <w:rsid w:val="00702538"/>
    <w:rsid w:val="00710834"/>
    <w:rsid w:val="00732D95"/>
    <w:rsid w:val="00762DB8"/>
    <w:rsid w:val="007812AB"/>
    <w:rsid w:val="00784317"/>
    <w:rsid w:val="00792808"/>
    <w:rsid w:val="007975CA"/>
    <w:rsid w:val="0079768C"/>
    <w:rsid w:val="007B3823"/>
    <w:rsid w:val="007C3C56"/>
    <w:rsid w:val="007D1A33"/>
    <w:rsid w:val="007D1B8A"/>
    <w:rsid w:val="007D5788"/>
    <w:rsid w:val="007D69D7"/>
    <w:rsid w:val="007E6B69"/>
    <w:rsid w:val="007F597B"/>
    <w:rsid w:val="00812E09"/>
    <w:rsid w:val="008148F9"/>
    <w:rsid w:val="00825C96"/>
    <w:rsid w:val="0084199F"/>
    <w:rsid w:val="00854B34"/>
    <w:rsid w:val="008614D9"/>
    <w:rsid w:val="00870FE4"/>
    <w:rsid w:val="00891118"/>
    <w:rsid w:val="008A1703"/>
    <w:rsid w:val="008A6310"/>
    <w:rsid w:val="008D3D6A"/>
    <w:rsid w:val="008E2181"/>
    <w:rsid w:val="008F2EB1"/>
    <w:rsid w:val="009108EB"/>
    <w:rsid w:val="00960B54"/>
    <w:rsid w:val="0097076B"/>
    <w:rsid w:val="0097094B"/>
    <w:rsid w:val="00971804"/>
    <w:rsid w:val="0098231C"/>
    <w:rsid w:val="00986042"/>
    <w:rsid w:val="009A3E4A"/>
    <w:rsid w:val="009B5401"/>
    <w:rsid w:val="00A0294D"/>
    <w:rsid w:val="00A04910"/>
    <w:rsid w:val="00A0538D"/>
    <w:rsid w:val="00A07634"/>
    <w:rsid w:val="00A17AD2"/>
    <w:rsid w:val="00A2202E"/>
    <w:rsid w:val="00A24F3C"/>
    <w:rsid w:val="00A30E66"/>
    <w:rsid w:val="00A564DB"/>
    <w:rsid w:val="00A7581B"/>
    <w:rsid w:val="00AA3C58"/>
    <w:rsid w:val="00AD1D39"/>
    <w:rsid w:val="00AD2427"/>
    <w:rsid w:val="00AE33B5"/>
    <w:rsid w:val="00AF07A6"/>
    <w:rsid w:val="00B14110"/>
    <w:rsid w:val="00B255F1"/>
    <w:rsid w:val="00B37E45"/>
    <w:rsid w:val="00B438E6"/>
    <w:rsid w:val="00B57846"/>
    <w:rsid w:val="00B64CB0"/>
    <w:rsid w:val="00B74AB2"/>
    <w:rsid w:val="00B804D6"/>
    <w:rsid w:val="00B835DA"/>
    <w:rsid w:val="00BB7659"/>
    <w:rsid w:val="00BC515B"/>
    <w:rsid w:val="00BE6C95"/>
    <w:rsid w:val="00C07AAB"/>
    <w:rsid w:val="00C1368A"/>
    <w:rsid w:val="00C3396D"/>
    <w:rsid w:val="00C551D6"/>
    <w:rsid w:val="00CA5146"/>
    <w:rsid w:val="00CA52C7"/>
    <w:rsid w:val="00CB24D4"/>
    <w:rsid w:val="00CC7750"/>
    <w:rsid w:val="00D36A0F"/>
    <w:rsid w:val="00D43EEF"/>
    <w:rsid w:val="00D451D7"/>
    <w:rsid w:val="00D75384"/>
    <w:rsid w:val="00D80D75"/>
    <w:rsid w:val="00D83A84"/>
    <w:rsid w:val="00DB0B4C"/>
    <w:rsid w:val="00DB2805"/>
    <w:rsid w:val="00DC5F8E"/>
    <w:rsid w:val="00DF58AA"/>
    <w:rsid w:val="00E40112"/>
    <w:rsid w:val="00E60D5F"/>
    <w:rsid w:val="00E67C7F"/>
    <w:rsid w:val="00E73BC6"/>
    <w:rsid w:val="00E91883"/>
    <w:rsid w:val="00E9477E"/>
    <w:rsid w:val="00ED01B8"/>
    <w:rsid w:val="00EE541B"/>
    <w:rsid w:val="00EE78B8"/>
    <w:rsid w:val="00F06654"/>
    <w:rsid w:val="00F36A99"/>
    <w:rsid w:val="00F44A01"/>
    <w:rsid w:val="00F5368F"/>
    <w:rsid w:val="00F73F8C"/>
    <w:rsid w:val="00F87985"/>
    <w:rsid w:val="00F90A47"/>
    <w:rsid w:val="00FE08EB"/>
    <w:rsid w:val="00FE26B8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6FEF"/>
  <w15:chartTrackingRefBased/>
  <w15:docId w15:val="{1978B5A6-26A8-4179-8ABC-38C04ED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C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3C5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5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D7"/>
  </w:style>
  <w:style w:type="paragraph" w:styleId="Footer">
    <w:name w:val="footer"/>
    <w:basedOn w:val="Normal"/>
    <w:link w:val="FooterChar"/>
    <w:uiPriority w:val="99"/>
    <w:unhideWhenUsed/>
    <w:rsid w:val="000B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Tian</dc:creator>
  <cp:keywords/>
  <dc:description/>
  <cp:lastModifiedBy>Farley, Diane Claire</cp:lastModifiedBy>
  <cp:revision>5</cp:revision>
  <dcterms:created xsi:type="dcterms:W3CDTF">2021-07-29T23:19:00Z</dcterms:created>
  <dcterms:modified xsi:type="dcterms:W3CDTF">2021-07-30T11:42:00Z</dcterms:modified>
</cp:coreProperties>
</file>