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21216" w14:textId="2D63BF70" w:rsidR="003A2508" w:rsidRPr="00EA2433" w:rsidRDefault="00095FDC" w:rsidP="003A2508">
      <w:pPr>
        <w:rPr>
          <w:i/>
          <w:iCs/>
        </w:rPr>
      </w:pPr>
      <w:r>
        <w:rPr>
          <w:rFonts w:cs="Calibri"/>
          <w:color w:val="000000"/>
        </w:rPr>
        <w:t xml:space="preserve">Supplemental </w:t>
      </w:r>
      <w:r w:rsidR="00CA3929">
        <w:rPr>
          <w:rFonts w:cs="Calibri"/>
          <w:color w:val="000000"/>
        </w:rPr>
        <w:t xml:space="preserve">Appendix </w:t>
      </w:r>
      <w:r w:rsidR="003A2508" w:rsidRPr="00EA2433">
        <w:rPr>
          <w:rFonts w:cs="Calibri"/>
          <w:color w:val="000000"/>
        </w:rPr>
        <w:t xml:space="preserve">Table </w:t>
      </w:r>
      <w:r w:rsidR="00D70DF5">
        <w:rPr>
          <w:rFonts w:cs="Calibri"/>
          <w:color w:val="000000"/>
        </w:rPr>
        <w:t>A</w:t>
      </w:r>
      <w:r w:rsidR="0017190E">
        <w:rPr>
          <w:rFonts w:cs="Calibri"/>
          <w:color w:val="000000"/>
        </w:rPr>
        <w:t>2</w:t>
      </w:r>
      <w:r w:rsidR="003A2508" w:rsidRPr="00EA2433">
        <w:rPr>
          <w:rFonts w:cs="Calibri"/>
          <w:color w:val="000000"/>
        </w:rPr>
        <w:t xml:space="preserve">: US COVID-19 </w:t>
      </w:r>
      <w:r w:rsidR="00D70DF5">
        <w:rPr>
          <w:rFonts w:cs="Calibri"/>
          <w:color w:val="000000"/>
        </w:rPr>
        <w:t xml:space="preserve">death </w:t>
      </w:r>
      <w:r w:rsidR="003A2508">
        <w:rPr>
          <w:rFonts w:cs="Calibri"/>
          <w:color w:val="000000"/>
        </w:rPr>
        <w:t>rate ratios</w:t>
      </w:r>
      <w:r w:rsidR="003A2508" w:rsidRPr="00EA2433">
        <w:rPr>
          <w:rFonts w:cs="Calibri"/>
          <w:color w:val="000000"/>
        </w:rPr>
        <w:t xml:space="preserve"> by county characteristics as of </w:t>
      </w:r>
      <w:r w:rsidR="003A2508">
        <w:rPr>
          <w:rFonts w:cs="Calibri"/>
          <w:color w:val="000000"/>
        </w:rPr>
        <w:t xml:space="preserve">May 5, </w:t>
      </w:r>
      <w:r w:rsidR="003A2508" w:rsidRPr="00EA2433">
        <w:rPr>
          <w:rFonts w:cs="Calibri"/>
          <w:color w:val="000000"/>
        </w:rPr>
        <w:t>2020</w:t>
      </w:r>
      <w:r w:rsidR="00D70DF5">
        <w:rPr>
          <w:rFonts w:cs="Calibri"/>
          <w:color w:val="000000"/>
        </w:rPr>
        <w:t>, age-adjusted using the indirect method</w:t>
      </w:r>
      <w:r w:rsidR="00D70DF5" w:rsidRPr="00D70DF5">
        <w:rPr>
          <w:rFonts w:cs="Calibri"/>
          <w:color w:val="000000"/>
          <w:vertAlign w:val="superscript"/>
        </w:rPr>
        <w:t>*</w:t>
      </w:r>
      <w:r w:rsidR="003A2508">
        <w:rPr>
          <w:rFonts w:cs="Calibri"/>
          <w:color w:val="000000"/>
        </w:rPr>
        <w:t xml:space="preserve"> (3 142 counties, 68 656 deaths, 322 903 030 population)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2250"/>
        <w:gridCol w:w="900"/>
        <w:gridCol w:w="990"/>
        <w:gridCol w:w="3330"/>
      </w:tblGrid>
      <w:tr w:rsidR="00D70DF5" w:rsidRPr="00CF7E0E" w14:paraId="52409E34" w14:textId="77777777" w:rsidTr="00D70DF5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CB78D" w14:textId="77777777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</w:p>
          <w:p w14:paraId="5EAA62BB" w14:textId="77777777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 w:rsidRPr="00CF7E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A76DA" w14:textId="593105B2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Rate ratio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E57A5" w14:textId="4A9BF561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5359A" w14:textId="257C9313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</w:p>
        </w:tc>
      </w:tr>
      <w:tr w:rsidR="00D70DF5" w:rsidRPr="00CF7E0E" w14:paraId="50B84471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10BA" w14:textId="785B6C71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poverty (categories)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6F43" w14:textId="77777777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1FF4" w14:textId="77777777" w:rsidR="00D70DF5" w:rsidRPr="00CF7E0E" w:rsidRDefault="00D70DF5" w:rsidP="00D70DF5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9979" w14:textId="77777777" w:rsidR="00D70DF5" w:rsidRPr="00CF7E0E" w:rsidRDefault="00D70DF5" w:rsidP="00D70DF5">
            <w:pPr>
              <w:rPr>
                <w:sz w:val="16"/>
                <w:szCs w:val="16"/>
              </w:rPr>
            </w:pPr>
          </w:p>
        </w:tc>
      </w:tr>
      <w:tr w:rsidR="00D70DF5" w:rsidRPr="00CF7E0E" w14:paraId="564B9D35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93E5" w14:textId="78C6475B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0-4.9%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80CD" w14:textId="1403D510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EC53" w14:textId="241FD3F6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FA4D" w14:textId="74134B79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</w:p>
        </w:tc>
      </w:tr>
      <w:tr w:rsidR="00D70DF5" w:rsidRPr="00CF7E0E" w14:paraId="38A810A8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DD63" w14:textId="675E3CD2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5-9.9%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DE5B" w14:textId="0F1938B9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162A" w14:textId="3987A4CF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(0.94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F936" w14:textId="266A524D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1.06)</w:t>
            </w:r>
          </w:p>
        </w:tc>
      </w:tr>
      <w:tr w:rsidR="00D70DF5" w:rsidRPr="00CF7E0E" w14:paraId="28A008E9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E09D" w14:textId="6554520A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10-14.9%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A9E0" w14:textId="0EC54512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AAC0" w14:textId="72BFCD8D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(0.62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6051" w14:textId="2AED3548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0.70)</w:t>
            </w:r>
          </w:p>
        </w:tc>
      </w:tr>
      <w:tr w:rsidR="00D70DF5" w:rsidRPr="00CF7E0E" w14:paraId="1D4E924F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969B" w14:textId="50C025D2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15-19.9%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887C" w14:textId="6E3A5B7D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BE2A" w14:textId="3203340F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(0.61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FED1" w14:textId="71F58815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0.</w:t>
            </w:r>
            <w:r w:rsidR="00527FE6">
              <w:rPr>
                <w:color w:val="000000"/>
                <w:sz w:val="16"/>
                <w:szCs w:val="16"/>
              </w:rPr>
              <w:t>70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D70DF5" w:rsidRPr="00CF7E0E" w14:paraId="0A566712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FAA0D" w14:textId="594342DB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BAE43" w14:textId="3EAF1F71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E548" w14:textId="09EC3668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(1.6</w:t>
            </w:r>
            <w:r w:rsidR="00527F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0C3B1" w14:textId="7AFAD08C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1.90)</w:t>
            </w:r>
          </w:p>
        </w:tc>
      </w:tr>
      <w:tr w:rsidR="00D70DF5" w:rsidRPr="00CF7E0E" w14:paraId="0CB140E2" w14:textId="77777777" w:rsidTr="00D70DF5">
        <w:trPr>
          <w:trHeight w:val="288"/>
        </w:trPr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93CE0" w14:textId="641C12CA" w:rsidR="00D70DF5" w:rsidRPr="00CF7E0E" w:rsidRDefault="00D70DF5" w:rsidP="00D70DF5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Index of Concentration at the Extremes (high income white households versus low income black households)</w:t>
            </w:r>
          </w:p>
        </w:tc>
      </w:tr>
      <w:tr w:rsidR="00D70DF5" w:rsidRPr="00CF7E0E" w14:paraId="52E4BDB2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6E66" w14:textId="22CBFCAD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Q1: [-0.522,0.</w:t>
            </w:r>
            <w:proofErr w:type="gramStart"/>
            <w:r>
              <w:rPr>
                <w:color w:val="000000"/>
                <w:sz w:val="16"/>
                <w:szCs w:val="16"/>
              </w:rPr>
              <w:t>114]</w:t>
            </w:r>
            <w:r>
              <w:rPr>
                <w:color w:val="000000"/>
                <w:sz w:val="16"/>
                <w:szCs w:val="16"/>
                <w:vertAlign w:val="superscript"/>
              </w:rPr>
              <w:t>†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2987" w14:textId="24CE0A0A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FE27" w14:textId="0720E040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(1.02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FD66" w14:textId="3D0EEE88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1.06)</w:t>
            </w:r>
          </w:p>
        </w:tc>
      </w:tr>
      <w:tr w:rsidR="00D70DF5" w:rsidRPr="00CF7E0E" w14:paraId="15B9BF88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2983" w14:textId="6B5CC672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Q2: (0.114,0.159]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43E1" w14:textId="7038817A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FEE8" w14:textId="2BF0C10D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(0.53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E0E5" w14:textId="5F912802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0.55)</w:t>
            </w:r>
          </w:p>
        </w:tc>
      </w:tr>
      <w:tr w:rsidR="00D70DF5" w:rsidRPr="00CF7E0E" w14:paraId="6307DF3B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7530" w14:textId="71078013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Q3: (0.159,0.205]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6F6F" w14:textId="0FABF252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A342" w14:textId="747E233A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(0.31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DBB6" w14:textId="5EF0EDA9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0.33)</w:t>
            </w:r>
          </w:p>
        </w:tc>
      </w:tr>
      <w:tr w:rsidR="00D70DF5" w:rsidRPr="00CF7E0E" w14:paraId="000D2D24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C5A8" w14:textId="609CD3C5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Q4: (0.205,0.283]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951A" w14:textId="531EF9FB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BC79" w14:textId="60C38467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(0.48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2003" w14:textId="79686DC3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0.51)</w:t>
            </w:r>
          </w:p>
        </w:tc>
      </w:tr>
      <w:tr w:rsidR="00D70DF5" w:rsidRPr="00CF7E0E" w14:paraId="027B6C1D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97CA5" w14:textId="78C56A9B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Q5: (0.283,0.536]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F931E" w14:textId="00D157C9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BD0D7" w14:textId="6F8691E7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7A1F2" w14:textId="18983971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</w:p>
        </w:tc>
      </w:tr>
      <w:tr w:rsidR="00D70DF5" w:rsidRPr="00CF7E0E" w14:paraId="2BD99AC7" w14:textId="77777777" w:rsidTr="00D70DF5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4E61" w14:textId="1317ACE4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crowding (quintiles)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C1C6" w14:textId="77777777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8DF0" w14:textId="0E50653F" w:rsidR="00D70DF5" w:rsidRPr="00CF7E0E" w:rsidRDefault="00D70DF5" w:rsidP="00D70DF5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1532" w14:textId="77777777" w:rsidR="00D70DF5" w:rsidRPr="00CF7E0E" w:rsidRDefault="00D70DF5" w:rsidP="00D70DF5">
            <w:pPr>
              <w:rPr>
                <w:sz w:val="16"/>
                <w:szCs w:val="16"/>
              </w:rPr>
            </w:pPr>
          </w:p>
        </w:tc>
      </w:tr>
      <w:tr w:rsidR="00D70DF5" w:rsidRPr="00CF7E0E" w14:paraId="4C1BA0EA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9C8F" w14:textId="2FF16E27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Q1: [0%, 1.47%]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F2BD" w14:textId="512768C5" w:rsidR="00D70DF5" w:rsidRPr="00CF7E0E" w:rsidRDefault="00527FE6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1FDF" w14:textId="72026CF6" w:rsidR="00D70DF5" w:rsidRPr="00CF7E0E" w:rsidRDefault="00527FE6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4E03" w14:textId="621B1705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</w:p>
        </w:tc>
      </w:tr>
      <w:tr w:rsidR="00D70DF5" w:rsidRPr="00CF7E0E" w14:paraId="01D6C155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07C6" w14:textId="3CE921BA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Q2: (1.47%, 2.12%]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1DCF" w14:textId="120DDF9B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50BC" w14:textId="1A5CE4A1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2186" w14:textId="560CF386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1.33)</w:t>
            </w:r>
          </w:p>
        </w:tc>
      </w:tr>
      <w:tr w:rsidR="00D70DF5" w:rsidRPr="00CF7E0E" w14:paraId="2CDF500F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8F01" w14:textId="4A1911A8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Q3: (2.12%, 3.06%]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EAE3" w14:textId="793AD968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E8EB" w14:textId="3B4FD4F7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7322" w14:textId="27933A19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1.9</w:t>
            </w:r>
            <w:r w:rsidR="00527FE6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D70DF5" w:rsidRPr="00CF7E0E" w14:paraId="0F155F9A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0BB2" w14:textId="6420A77C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Q4: (3.06%, 4.91%]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60A3" w14:textId="77131F06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372A" w14:textId="3C326659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(1.62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1A1A" w14:textId="6A910467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1.71)</w:t>
            </w:r>
          </w:p>
        </w:tc>
      </w:tr>
      <w:tr w:rsidR="00D70DF5" w:rsidRPr="00CF7E0E" w14:paraId="6DCB8CD0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5895" w14:textId="62B7F3F8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Q5: (4.91%, 49.3%]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02A77" w14:textId="09BBE0CE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9E502" w14:textId="6C6FE23B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(3.27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4607" w14:textId="07A5FA86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3.43)</w:t>
            </w:r>
          </w:p>
        </w:tc>
      </w:tr>
      <w:tr w:rsidR="00D70DF5" w:rsidRPr="00CF7E0E" w14:paraId="67207822" w14:textId="77777777" w:rsidTr="00D70DF5">
        <w:trPr>
          <w:trHeight w:val="288"/>
        </w:trPr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055E" w14:textId="63A5ECAD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percent population of color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C016" w14:textId="77777777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FD23" w14:textId="77777777" w:rsidR="00D70DF5" w:rsidRPr="00CF7E0E" w:rsidRDefault="00D70DF5" w:rsidP="00D70DF5">
            <w:pPr>
              <w:rPr>
                <w:sz w:val="16"/>
                <w:szCs w:val="16"/>
              </w:rPr>
            </w:pPr>
          </w:p>
        </w:tc>
      </w:tr>
      <w:tr w:rsidR="00D70DF5" w:rsidRPr="00CF7E0E" w14:paraId="4B40F233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A5B0" w14:textId="0E1A1DF6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Q1: [0%, 17.2%]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3C03" w14:textId="54DFC07C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0838" w14:textId="350DC41F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30F9" w14:textId="6C299953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</w:p>
        </w:tc>
      </w:tr>
      <w:tr w:rsidR="00D70DF5" w:rsidRPr="00CF7E0E" w14:paraId="417FEDDB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7A34" w14:textId="7F94140C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Q2: 17.2%, 30.2%]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DC82" w14:textId="0A1A69ED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22E0" w14:textId="67DBD30A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(2.32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8EF7" w14:textId="574F0C92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2.49)</w:t>
            </w:r>
          </w:p>
        </w:tc>
      </w:tr>
      <w:tr w:rsidR="00D70DF5" w:rsidRPr="00CF7E0E" w14:paraId="1FD82314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BFE6" w14:textId="7E796332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Q3: (30.2%, 44.3%]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D67C" w14:textId="6CEDA28C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  <w:r w:rsidR="00527F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3D84" w14:textId="3E45F700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(3.55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F580" w14:textId="2B945693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3.79)</w:t>
            </w:r>
          </w:p>
        </w:tc>
      </w:tr>
      <w:tr w:rsidR="00D70DF5" w:rsidRPr="00CF7E0E" w14:paraId="763FAE53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6B8A" w14:textId="050CCE04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Q4: (44.3%, 61%]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6C97" w14:textId="04B8DE6A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C66D" w14:textId="04F5CD47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(4.08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4142" w14:textId="36FE5954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4.36)</w:t>
            </w:r>
          </w:p>
        </w:tc>
      </w:tr>
      <w:tr w:rsidR="00D70DF5" w:rsidRPr="00CF7E0E" w14:paraId="1ADE1EE5" w14:textId="77777777" w:rsidTr="00D70DF5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FADB4" w14:textId="16B741DA" w:rsidR="00D70DF5" w:rsidRPr="00CF7E0E" w:rsidRDefault="00D70DF5" w:rsidP="00D70DF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Q5: (61%, 100%]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77621" w14:textId="5ADB9476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BC27B" w14:textId="5B685571" w:rsidR="00D70DF5" w:rsidRPr="00CF7E0E" w:rsidRDefault="00D70DF5" w:rsidP="00D70D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(6.49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0B124" w14:textId="1B16B691" w:rsidR="00D70DF5" w:rsidRPr="00CF7E0E" w:rsidRDefault="00D70DF5" w:rsidP="00D70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, 6.91)</w:t>
            </w:r>
          </w:p>
        </w:tc>
      </w:tr>
    </w:tbl>
    <w:p w14:paraId="4349B1D0" w14:textId="05779BE6" w:rsidR="00D70DF5" w:rsidRPr="00D70DF5" w:rsidRDefault="00D70DF5" w:rsidP="008825A7">
      <w:pPr>
        <w:rPr>
          <w:color w:val="000000"/>
          <w:sz w:val="18"/>
          <w:szCs w:val="18"/>
        </w:rPr>
      </w:pPr>
      <w:r w:rsidRPr="00D70DF5">
        <w:rPr>
          <w:color w:val="000000"/>
          <w:sz w:val="18"/>
          <w:szCs w:val="18"/>
        </w:rPr>
        <w:t xml:space="preserve">* Age-adjusted death rate ratios </w:t>
      </w:r>
      <w:r>
        <w:rPr>
          <w:color w:val="000000"/>
          <w:sz w:val="18"/>
          <w:szCs w:val="18"/>
        </w:rPr>
        <w:t xml:space="preserve">for categories of county social metrics estimated from Poisson log linear models for the observed count of deaths with </w:t>
      </w:r>
      <w:proofErr w:type="gramStart"/>
      <w:r>
        <w:rPr>
          <w:color w:val="000000"/>
          <w:sz w:val="18"/>
          <w:szCs w:val="18"/>
        </w:rPr>
        <w:t>log(</w:t>
      </w:r>
      <w:proofErr w:type="gramEnd"/>
      <w:r>
        <w:rPr>
          <w:color w:val="000000"/>
          <w:sz w:val="18"/>
          <w:szCs w:val="18"/>
        </w:rPr>
        <w:t>expected deaths) as the offset.</w:t>
      </w:r>
      <w:r w:rsidR="0017190E">
        <w:rPr>
          <w:color w:val="000000"/>
          <w:sz w:val="18"/>
          <w:szCs w:val="18"/>
        </w:rPr>
        <w:t xml:space="preserve"> Expected deaths were computed by applying national age- and sex-specific death rates as of May 9, 2020 (see reference 30) to county age- and sex-specific population estimates from CDC WONDER (see reference 29).</w:t>
      </w:r>
    </w:p>
    <w:p w14:paraId="1CA072D0" w14:textId="01A21D46" w:rsidR="008825A7" w:rsidRPr="00220CCE" w:rsidRDefault="00D70DF5" w:rsidP="008825A7">
      <w:r w:rsidRPr="00D70DF5">
        <w:rPr>
          <w:color w:val="000000"/>
          <w:sz w:val="16"/>
          <w:szCs w:val="16"/>
        </w:rPr>
        <w:t>†</w:t>
      </w:r>
      <w:r w:rsidR="008825A7">
        <w:rPr>
          <w:color w:val="000000"/>
          <w:sz w:val="20"/>
          <w:szCs w:val="20"/>
          <w:shd w:val="clear" w:color="auto" w:fill="FFFFFF"/>
        </w:rPr>
        <w:t xml:space="preserve"> [</w:t>
      </w:r>
      <w:proofErr w:type="spellStart"/>
      <w:proofErr w:type="gramStart"/>
      <w:r w:rsidR="008825A7" w:rsidRPr="00220CCE">
        <w:rPr>
          <w:i/>
          <w:iCs/>
          <w:color w:val="000000"/>
          <w:sz w:val="20"/>
          <w:szCs w:val="20"/>
          <w:shd w:val="clear" w:color="auto" w:fill="FFFFFF"/>
        </w:rPr>
        <w:t>a,b</w:t>
      </w:r>
      <w:proofErr w:type="spellEnd"/>
      <w:proofErr w:type="gramEnd"/>
      <w:r w:rsidR="008825A7">
        <w:rPr>
          <w:color w:val="000000"/>
          <w:sz w:val="20"/>
          <w:szCs w:val="20"/>
          <w:shd w:val="clear" w:color="auto" w:fill="FFFFFF"/>
        </w:rPr>
        <w:t xml:space="preserve">] indicates interval where value </w:t>
      </w:r>
      <w:r w:rsidR="008825A7" w:rsidRPr="00220CCE">
        <w:rPr>
          <w:i/>
          <w:iCs/>
          <w:color w:val="000000"/>
          <w:sz w:val="20"/>
          <w:szCs w:val="20"/>
          <w:shd w:val="clear" w:color="auto" w:fill="FFFFFF"/>
        </w:rPr>
        <w:t>x</w:t>
      </w:r>
      <w:r w:rsidR="008825A7">
        <w:rPr>
          <w:color w:val="000000"/>
          <w:sz w:val="20"/>
          <w:szCs w:val="20"/>
          <w:shd w:val="clear" w:color="auto" w:fill="FFFFFF"/>
        </w:rPr>
        <w:t xml:space="preserve"> is </w:t>
      </w:r>
      <w:proofErr w:type="spellStart"/>
      <w:r w:rsidR="008825A7" w:rsidRPr="00220CCE">
        <w:rPr>
          <w:i/>
          <w:iCs/>
          <w:color w:val="000000"/>
          <w:sz w:val="20"/>
          <w:szCs w:val="20"/>
          <w:shd w:val="clear" w:color="auto" w:fill="FFFFFF"/>
        </w:rPr>
        <w:t>a</w:t>
      </w:r>
      <w:r w:rsidR="008825A7">
        <w:rPr>
          <w:color w:val="000000"/>
          <w:sz w:val="20"/>
          <w:szCs w:val="20"/>
          <w:shd w:val="clear" w:color="auto" w:fill="FFFFFF"/>
        </w:rPr>
        <w:t>≤</w:t>
      </w:r>
      <w:r w:rsidR="008825A7" w:rsidRPr="00220CCE">
        <w:rPr>
          <w:i/>
          <w:iCs/>
          <w:color w:val="000000"/>
          <w:sz w:val="20"/>
          <w:szCs w:val="20"/>
          <w:shd w:val="clear" w:color="auto" w:fill="FFFFFF"/>
        </w:rPr>
        <w:t>x</w:t>
      </w:r>
      <w:r w:rsidR="008825A7">
        <w:rPr>
          <w:color w:val="000000"/>
          <w:sz w:val="20"/>
          <w:szCs w:val="20"/>
          <w:shd w:val="clear" w:color="auto" w:fill="FFFFFF"/>
        </w:rPr>
        <w:t>≤</w:t>
      </w:r>
      <w:r w:rsidR="008825A7" w:rsidRPr="00220CCE">
        <w:rPr>
          <w:i/>
          <w:iCs/>
          <w:color w:val="000000"/>
          <w:sz w:val="20"/>
          <w:szCs w:val="20"/>
          <w:shd w:val="clear" w:color="auto" w:fill="FFFFFF"/>
        </w:rPr>
        <w:t>b</w:t>
      </w:r>
      <w:proofErr w:type="spellEnd"/>
      <w:r w:rsidR="008825A7">
        <w:rPr>
          <w:color w:val="000000"/>
          <w:sz w:val="20"/>
          <w:szCs w:val="20"/>
          <w:shd w:val="clear" w:color="auto" w:fill="FFFFFF"/>
        </w:rPr>
        <w:t>; (</w:t>
      </w:r>
      <w:proofErr w:type="spellStart"/>
      <w:r w:rsidR="008825A7" w:rsidRPr="00220CCE">
        <w:rPr>
          <w:i/>
          <w:iCs/>
          <w:color w:val="000000"/>
          <w:sz w:val="20"/>
          <w:szCs w:val="20"/>
          <w:shd w:val="clear" w:color="auto" w:fill="FFFFFF"/>
        </w:rPr>
        <w:t>a,b</w:t>
      </w:r>
      <w:proofErr w:type="spellEnd"/>
      <w:r w:rsidR="008825A7">
        <w:rPr>
          <w:color w:val="000000"/>
          <w:sz w:val="20"/>
          <w:szCs w:val="20"/>
          <w:shd w:val="clear" w:color="auto" w:fill="FFFFFF"/>
        </w:rPr>
        <w:t xml:space="preserve">] indicates interval where value </w:t>
      </w:r>
      <w:r w:rsidR="008825A7" w:rsidRPr="00220CCE">
        <w:rPr>
          <w:i/>
          <w:iCs/>
          <w:color w:val="000000"/>
          <w:sz w:val="20"/>
          <w:szCs w:val="20"/>
          <w:shd w:val="clear" w:color="auto" w:fill="FFFFFF"/>
        </w:rPr>
        <w:t>x</w:t>
      </w:r>
      <w:r w:rsidR="008825A7">
        <w:rPr>
          <w:color w:val="000000"/>
          <w:sz w:val="20"/>
          <w:szCs w:val="20"/>
          <w:shd w:val="clear" w:color="auto" w:fill="FFFFFF"/>
        </w:rPr>
        <w:t xml:space="preserve"> is </w:t>
      </w:r>
      <w:r w:rsidR="008825A7" w:rsidRPr="00220CCE">
        <w:rPr>
          <w:i/>
          <w:iCs/>
          <w:color w:val="000000"/>
          <w:sz w:val="20"/>
          <w:szCs w:val="20"/>
          <w:shd w:val="clear" w:color="auto" w:fill="FFFFFF"/>
        </w:rPr>
        <w:t>a</w:t>
      </w:r>
      <w:r w:rsidR="008825A7">
        <w:rPr>
          <w:color w:val="000000"/>
          <w:sz w:val="20"/>
          <w:szCs w:val="20"/>
          <w:shd w:val="clear" w:color="auto" w:fill="FFFFFF"/>
        </w:rPr>
        <w:t>&lt;</w:t>
      </w:r>
      <w:proofErr w:type="spellStart"/>
      <w:r w:rsidR="008825A7" w:rsidRPr="00220CCE">
        <w:rPr>
          <w:i/>
          <w:iCs/>
          <w:color w:val="000000"/>
          <w:sz w:val="20"/>
          <w:szCs w:val="20"/>
          <w:shd w:val="clear" w:color="auto" w:fill="FFFFFF"/>
        </w:rPr>
        <w:t>x</w:t>
      </w:r>
      <w:r w:rsidR="008825A7">
        <w:rPr>
          <w:color w:val="000000"/>
          <w:sz w:val="20"/>
          <w:szCs w:val="20"/>
          <w:shd w:val="clear" w:color="auto" w:fill="FFFFFF"/>
        </w:rPr>
        <w:t>≤</w:t>
      </w:r>
      <w:r w:rsidR="008825A7" w:rsidRPr="00220CCE">
        <w:rPr>
          <w:i/>
          <w:iCs/>
          <w:color w:val="000000"/>
          <w:sz w:val="20"/>
          <w:szCs w:val="20"/>
          <w:shd w:val="clear" w:color="auto" w:fill="FFFFFF"/>
        </w:rPr>
        <w:t>b</w:t>
      </w:r>
      <w:proofErr w:type="spellEnd"/>
      <w:r w:rsidR="008825A7">
        <w:rPr>
          <w:color w:val="000000"/>
          <w:sz w:val="20"/>
          <w:szCs w:val="20"/>
          <w:shd w:val="clear" w:color="auto" w:fill="FFFFFF"/>
        </w:rPr>
        <w:t>.</w:t>
      </w:r>
    </w:p>
    <w:p w14:paraId="092A234C" w14:textId="52614943" w:rsidR="003A2508" w:rsidRPr="00FC4870" w:rsidRDefault="003A2508" w:rsidP="0017740A">
      <w:pPr>
        <w:rPr>
          <w:sz w:val="18"/>
        </w:rPr>
      </w:pPr>
    </w:p>
    <w:p w14:paraId="624732E7" w14:textId="77777777" w:rsidR="00D5667A" w:rsidRDefault="00A10EE1"/>
    <w:sectPr w:rsidR="00D5667A" w:rsidSect="006A087D">
      <w:footerReference w:type="even" r:id="rId7"/>
      <w:footerReference w:type="default" r:id="rId8"/>
      <w:pgSz w:w="15840" w:h="12240" w:orient="landscape"/>
      <w:pgMar w:top="720" w:right="720" w:bottom="432" w:left="80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36663" w14:textId="77777777" w:rsidR="00A10EE1" w:rsidRDefault="00A10EE1">
      <w:r>
        <w:separator/>
      </w:r>
    </w:p>
  </w:endnote>
  <w:endnote w:type="continuationSeparator" w:id="0">
    <w:p w14:paraId="1AF5EEB8" w14:textId="77777777" w:rsidR="00A10EE1" w:rsidRDefault="00A1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7349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98DD39" w14:textId="77777777" w:rsidR="00C92E9C" w:rsidRDefault="00F07A33" w:rsidP="006173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6B998A" w14:textId="77777777" w:rsidR="00C92E9C" w:rsidRDefault="00A10EE1" w:rsidP="00A2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0015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83BB11" w14:textId="77777777" w:rsidR="00C92E9C" w:rsidRDefault="00F07A33" w:rsidP="006173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28</w:t>
        </w:r>
        <w:r>
          <w:rPr>
            <w:rStyle w:val="PageNumber"/>
          </w:rPr>
          <w:fldChar w:fldCharType="end"/>
        </w:r>
      </w:p>
    </w:sdtContent>
  </w:sdt>
  <w:p w14:paraId="60AC3911" w14:textId="77777777" w:rsidR="00C92E9C" w:rsidRDefault="00A10EE1" w:rsidP="00A2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C3638" w14:textId="77777777" w:rsidR="00A10EE1" w:rsidRDefault="00A10EE1">
      <w:r>
        <w:separator/>
      </w:r>
    </w:p>
  </w:footnote>
  <w:footnote w:type="continuationSeparator" w:id="0">
    <w:p w14:paraId="6E602A6E" w14:textId="77777777" w:rsidR="00A10EE1" w:rsidRDefault="00A1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13DB"/>
    <w:multiLevelType w:val="hybridMultilevel"/>
    <w:tmpl w:val="D5FE021C"/>
    <w:lvl w:ilvl="0" w:tplc="D4987EA6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00A7C43"/>
    <w:multiLevelType w:val="hybridMultilevel"/>
    <w:tmpl w:val="CE18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DA1"/>
    <w:multiLevelType w:val="hybridMultilevel"/>
    <w:tmpl w:val="9F646180"/>
    <w:lvl w:ilvl="0" w:tplc="B252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32C4"/>
    <w:multiLevelType w:val="hybridMultilevel"/>
    <w:tmpl w:val="14D44EC2"/>
    <w:lvl w:ilvl="0" w:tplc="1040A532">
      <w:start w:val="6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AD7"/>
    <w:multiLevelType w:val="hybridMultilevel"/>
    <w:tmpl w:val="29CE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46E8"/>
    <w:multiLevelType w:val="hybridMultilevel"/>
    <w:tmpl w:val="FC06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E5238"/>
    <w:multiLevelType w:val="hybridMultilevel"/>
    <w:tmpl w:val="0958B35C"/>
    <w:lvl w:ilvl="0" w:tplc="9C7E2E84">
      <w:start w:val="6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54D0A"/>
    <w:multiLevelType w:val="multilevel"/>
    <w:tmpl w:val="28FA4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81788"/>
    <w:multiLevelType w:val="hybridMultilevel"/>
    <w:tmpl w:val="29CE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35667"/>
    <w:multiLevelType w:val="hybridMultilevel"/>
    <w:tmpl w:val="29CE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23146"/>
    <w:multiLevelType w:val="hybridMultilevel"/>
    <w:tmpl w:val="1B72448C"/>
    <w:lvl w:ilvl="0" w:tplc="D4987EA6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74A5B"/>
    <w:multiLevelType w:val="hybridMultilevel"/>
    <w:tmpl w:val="6D7461E4"/>
    <w:lvl w:ilvl="0" w:tplc="FC341550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853E3"/>
    <w:multiLevelType w:val="hybridMultilevel"/>
    <w:tmpl w:val="F474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08"/>
    <w:rsid w:val="00000434"/>
    <w:rsid w:val="00036952"/>
    <w:rsid w:val="00095FDC"/>
    <w:rsid w:val="000C58AC"/>
    <w:rsid w:val="0017190E"/>
    <w:rsid w:val="0017740A"/>
    <w:rsid w:val="001E1EEF"/>
    <w:rsid w:val="00200981"/>
    <w:rsid w:val="00221318"/>
    <w:rsid w:val="00266EDE"/>
    <w:rsid w:val="00301BD1"/>
    <w:rsid w:val="003A2508"/>
    <w:rsid w:val="004638DF"/>
    <w:rsid w:val="00527FE6"/>
    <w:rsid w:val="00775C9C"/>
    <w:rsid w:val="008825A7"/>
    <w:rsid w:val="009A2EC2"/>
    <w:rsid w:val="00A10EE1"/>
    <w:rsid w:val="00A52B54"/>
    <w:rsid w:val="00A83D01"/>
    <w:rsid w:val="00A9245F"/>
    <w:rsid w:val="00B07D36"/>
    <w:rsid w:val="00B75470"/>
    <w:rsid w:val="00BF1458"/>
    <w:rsid w:val="00CA3929"/>
    <w:rsid w:val="00CD4E31"/>
    <w:rsid w:val="00CF7E0E"/>
    <w:rsid w:val="00D70DF5"/>
    <w:rsid w:val="00EF3E90"/>
    <w:rsid w:val="00F07A33"/>
    <w:rsid w:val="00F81F5D"/>
    <w:rsid w:val="00FC3CA8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F4538"/>
  <w14:defaultImageDpi w14:val="32767"/>
  <w15:chartTrackingRefBased/>
  <w15:docId w15:val="{E5068D8F-9710-9349-8247-B3C66026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250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A2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5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0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0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5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A25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250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3A2508"/>
    <w:rPr>
      <w:b/>
      <w:bCs/>
    </w:rPr>
  </w:style>
  <w:style w:type="character" w:styleId="Emphasis">
    <w:name w:val="Emphasis"/>
    <w:basedOn w:val="DefaultParagraphFont"/>
    <w:uiPriority w:val="20"/>
    <w:qFormat/>
    <w:rsid w:val="003A2508"/>
    <w:rPr>
      <w:i/>
      <w:iCs/>
    </w:rPr>
  </w:style>
  <w:style w:type="table" w:styleId="TableGrid">
    <w:name w:val="Table Grid"/>
    <w:basedOn w:val="TableNormal"/>
    <w:uiPriority w:val="39"/>
    <w:rsid w:val="003A250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25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2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2508"/>
  </w:style>
  <w:style w:type="paragraph" w:styleId="Footer">
    <w:name w:val="footer"/>
    <w:basedOn w:val="Normal"/>
    <w:link w:val="FooterChar"/>
    <w:uiPriority w:val="99"/>
    <w:unhideWhenUsed/>
    <w:rsid w:val="003A2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2508"/>
  </w:style>
  <w:style w:type="character" w:customStyle="1" w:styleId="do-cited-title">
    <w:name w:val="do-cited-title"/>
    <w:basedOn w:val="DefaultParagraphFont"/>
    <w:rsid w:val="003A2508"/>
  </w:style>
  <w:style w:type="character" w:customStyle="1" w:styleId="do-cited-date">
    <w:name w:val="do-cited-date"/>
    <w:basedOn w:val="DefaultParagraphFont"/>
    <w:rsid w:val="003A2508"/>
  </w:style>
  <w:style w:type="character" w:customStyle="1" w:styleId="do-cited-doi">
    <w:name w:val="do-cited-doi"/>
    <w:basedOn w:val="DefaultParagraphFont"/>
    <w:rsid w:val="003A2508"/>
  </w:style>
  <w:style w:type="character" w:styleId="FollowedHyperlink">
    <w:name w:val="FollowedHyperlink"/>
    <w:basedOn w:val="DefaultParagraphFont"/>
    <w:uiPriority w:val="99"/>
    <w:semiHidden/>
    <w:unhideWhenUsed/>
    <w:rsid w:val="003A2508"/>
    <w:rPr>
      <w:color w:val="954F72" w:themeColor="followedHyperlink"/>
      <w:u w:val="single"/>
    </w:rPr>
  </w:style>
  <w:style w:type="character" w:customStyle="1" w:styleId="highwire-citation-authors">
    <w:name w:val="highwire-citation-authors"/>
    <w:basedOn w:val="DefaultParagraphFont"/>
    <w:rsid w:val="003A2508"/>
  </w:style>
  <w:style w:type="character" w:customStyle="1" w:styleId="highwire-citation-author">
    <w:name w:val="highwire-citation-author"/>
    <w:basedOn w:val="DefaultParagraphFont"/>
    <w:rsid w:val="003A2508"/>
  </w:style>
  <w:style w:type="character" w:customStyle="1" w:styleId="nlm-given-names">
    <w:name w:val="nlm-given-names"/>
    <w:basedOn w:val="DefaultParagraphFont"/>
    <w:rsid w:val="003A2508"/>
  </w:style>
  <w:style w:type="character" w:customStyle="1" w:styleId="nlm-surname">
    <w:name w:val="nlm-surname"/>
    <w:basedOn w:val="DefaultParagraphFont"/>
    <w:rsid w:val="003A2508"/>
  </w:style>
  <w:style w:type="character" w:customStyle="1" w:styleId="highwire-cite-metadata-journal">
    <w:name w:val="highwire-cite-metadata-journal"/>
    <w:basedOn w:val="DefaultParagraphFont"/>
    <w:rsid w:val="003A2508"/>
  </w:style>
  <w:style w:type="character" w:customStyle="1" w:styleId="highwire-cite-metadata-pages">
    <w:name w:val="highwire-cite-metadata-pages"/>
    <w:basedOn w:val="DefaultParagraphFont"/>
    <w:rsid w:val="003A2508"/>
  </w:style>
  <w:style w:type="character" w:customStyle="1" w:styleId="highwire-cite-metadata-doi">
    <w:name w:val="highwire-cite-metadata-doi"/>
    <w:basedOn w:val="DefaultParagraphFont"/>
    <w:rsid w:val="003A2508"/>
  </w:style>
  <w:style w:type="character" w:customStyle="1" w:styleId="doilabel">
    <w:name w:val="doi_label"/>
    <w:basedOn w:val="DefaultParagraphFont"/>
    <w:rsid w:val="003A2508"/>
  </w:style>
  <w:style w:type="character" w:styleId="CommentReference">
    <w:name w:val="annotation reference"/>
    <w:basedOn w:val="DefaultParagraphFont"/>
    <w:uiPriority w:val="99"/>
    <w:semiHidden/>
    <w:unhideWhenUsed/>
    <w:rsid w:val="003A2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2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5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5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ghlight">
    <w:name w:val="highlight"/>
    <w:basedOn w:val="DefaultParagraphFont"/>
    <w:rsid w:val="003A250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25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250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A250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A25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A25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Jarvis</dc:creator>
  <cp:keywords/>
  <dc:description/>
  <cp:lastModifiedBy>Chen, Jarvis</cp:lastModifiedBy>
  <cp:revision>7</cp:revision>
  <dcterms:created xsi:type="dcterms:W3CDTF">2020-07-30T05:46:00Z</dcterms:created>
  <dcterms:modified xsi:type="dcterms:W3CDTF">2020-08-04T15:08:00Z</dcterms:modified>
</cp:coreProperties>
</file>