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FF07F" w14:textId="77777777" w:rsidR="00FC1544" w:rsidRPr="004C74FC" w:rsidRDefault="00FC1544" w:rsidP="00FC1544">
      <w:pPr>
        <w:spacing w:line="240" w:lineRule="auto"/>
        <w:rPr>
          <w:rFonts w:ascii="Times New Roman" w:hAnsi="Times New Roman" w:cs="Times New Roman"/>
          <w:b/>
          <w:bCs/>
        </w:rPr>
      </w:pPr>
      <w:r w:rsidRPr="004C74FC">
        <w:rPr>
          <w:rFonts w:ascii="Times New Roman" w:hAnsi="Times New Roman" w:cs="Times New Roman"/>
          <w:b/>
          <w:bCs/>
        </w:rPr>
        <w:t xml:space="preserve">Supplemental Table 3: High-Risk Housing Code Violations in Chelsea, MA and Rationale for their Selection </w:t>
      </w:r>
    </w:p>
    <w:tbl>
      <w:tblPr>
        <w:tblStyle w:val="TableGrid"/>
        <w:tblW w:w="9092" w:type="dxa"/>
        <w:jc w:val="center"/>
        <w:tblLayout w:type="fixed"/>
        <w:tblLook w:val="04A0" w:firstRow="1" w:lastRow="0" w:firstColumn="1" w:lastColumn="0" w:noHBand="0" w:noVBand="1"/>
      </w:tblPr>
      <w:tblGrid>
        <w:gridCol w:w="1615"/>
        <w:gridCol w:w="3240"/>
        <w:gridCol w:w="4237"/>
      </w:tblGrid>
      <w:tr w:rsidR="00FC1544" w14:paraId="41192164" w14:textId="77777777" w:rsidTr="005057C9">
        <w:trPr>
          <w:trHeight w:val="197"/>
          <w:jc w:val="center"/>
        </w:trPr>
        <w:tc>
          <w:tcPr>
            <w:tcW w:w="1615" w:type="dxa"/>
          </w:tcPr>
          <w:p w14:paraId="42FA04A3" w14:textId="77777777" w:rsidR="00FC1544" w:rsidRDefault="00FC1544" w:rsidP="005057C9">
            <w:pPr>
              <w:jc w:val="center"/>
              <w:rPr>
                <w:rFonts w:ascii="Times New Roman" w:hAnsi="Times New Roman" w:cs="Times New Roman"/>
                <w:b/>
                <w:bCs/>
              </w:rPr>
            </w:pPr>
            <w:r>
              <w:rPr>
                <w:rFonts w:ascii="Times New Roman" w:eastAsia="Calibri" w:hAnsi="Times New Roman" w:cs="Times New Roman"/>
                <w:b/>
                <w:bCs/>
              </w:rPr>
              <w:t>Violation</w:t>
            </w:r>
          </w:p>
        </w:tc>
        <w:tc>
          <w:tcPr>
            <w:tcW w:w="3240" w:type="dxa"/>
          </w:tcPr>
          <w:p w14:paraId="0C90CC84" w14:textId="30AB53F2" w:rsidR="00FC1544" w:rsidRDefault="00FC1544" w:rsidP="005057C9">
            <w:pPr>
              <w:rPr>
                <w:rFonts w:ascii="Times New Roman" w:hAnsi="Times New Roman" w:cs="Times New Roman"/>
                <w:b/>
                <w:bCs/>
              </w:rPr>
            </w:pPr>
            <w:r>
              <w:rPr>
                <w:rFonts w:ascii="Times New Roman" w:eastAsia="Calibri" w:hAnsi="Times New Roman" w:cs="Times New Roman"/>
                <w:b/>
                <w:bCs/>
              </w:rPr>
              <w:t>Definition</w:t>
            </w:r>
            <w:r>
              <w:fldChar w:fldCharType="begin"/>
            </w:r>
            <w:r w:rsidR="00C734B7">
              <w:rPr>
                <w:rFonts w:ascii="Times New Roman" w:eastAsia="Calibri" w:hAnsi="Times New Roman" w:cs="Times New Roman"/>
                <w:b/>
                <w:bCs/>
              </w:rPr>
              <w:instrText xml:space="preserve"> ADDIN ZOTERO_ITEM CSL_CITATION {"citationID":"VEWjByYR","properties":{"formattedCitation":"\\super 1\\nosupersub{}","plainCitation":"1","noteIndex":0},"citationItems":[{"id":1059,"uris":["http://zotero.org/groups/2373664/items/764IUP68"],"uri":["http://zotero.org/groups/2373664/items/764IUP68"],"itemData":{"id":1059,"type":"article","title":"Minimum Standards of Fitness for Human Habitation (State Sanitary Code)","URL":"https://www.mass.gov/files/documents/2016/07/pv/105cmr410_0.pdf","author":[{"literal":"MA Department of Public Health"}],"issued":{"date-parts":[["2007"]]}}}],"schema":"https://github.com/citation-style-language/schema/raw/master/csl-citation.json"} </w:instrText>
            </w:r>
            <w:r>
              <w:rPr>
                <w:rFonts w:ascii="Times New Roman" w:eastAsia="Calibri" w:hAnsi="Times New Roman" w:cs="Times New Roman"/>
                <w:b/>
                <w:bCs/>
              </w:rPr>
              <w:fldChar w:fldCharType="separate"/>
            </w:r>
            <w:r w:rsidR="00C734B7" w:rsidRPr="00C734B7">
              <w:rPr>
                <w:rFonts w:ascii="Times New Roman" w:hAnsi="Times New Roman" w:cs="Times New Roman"/>
                <w:vertAlign w:val="superscript"/>
              </w:rPr>
              <w:t>1</w:t>
            </w:r>
            <w:r>
              <w:rPr>
                <w:rFonts w:ascii="Times New Roman" w:eastAsia="Calibri" w:hAnsi="Times New Roman" w:cs="Times New Roman"/>
                <w:b/>
                <w:bCs/>
              </w:rPr>
              <w:fldChar w:fldCharType="end"/>
            </w:r>
          </w:p>
        </w:tc>
        <w:tc>
          <w:tcPr>
            <w:tcW w:w="4237" w:type="dxa"/>
          </w:tcPr>
          <w:p w14:paraId="2A029BA0" w14:textId="77777777" w:rsidR="00FC1544" w:rsidRDefault="00FC1544" w:rsidP="005057C9">
            <w:pPr>
              <w:rPr>
                <w:rFonts w:ascii="Times New Roman" w:hAnsi="Times New Roman" w:cs="Times New Roman"/>
                <w:b/>
                <w:bCs/>
              </w:rPr>
            </w:pPr>
            <w:r>
              <w:rPr>
                <w:rFonts w:ascii="Times New Roman" w:eastAsia="Calibri" w:hAnsi="Times New Roman" w:cs="Times New Roman"/>
                <w:b/>
                <w:bCs/>
              </w:rPr>
              <w:t>Public Health Rationale for Selection</w:t>
            </w:r>
          </w:p>
        </w:tc>
      </w:tr>
      <w:tr w:rsidR="00FC1544" w14:paraId="55011548" w14:textId="77777777" w:rsidTr="005057C9">
        <w:trPr>
          <w:jc w:val="center"/>
        </w:trPr>
        <w:tc>
          <w:tcPr>
            <w:tcW w:w="1615" w:type="dxa"/>
            <w:vAlign w:val="center"/>
          </w:tcPr>
          <w:p w14:paraId="7C22D21D" w14:textId="77777777" w:rsidR="00FC1544" w:rsidRDefault="00FC1544" w:rsidP="005057C9">
            <w:pPr>
              <w:jc w:val="center"/>
              <w:rPr>
                <w:rFonts w:ascii="Times New Roman" w:hAnsi="Times New Roman" w:cs="Times New Roman"/>
              </w:rPr>
            </w:pPr>
          </w:p>
          <w:p w14:paraId="5EE3AC1A" w14:textId="77777777" w:rsidR="00FC1544" w:rsidRDefault="00FC1544" w:rsidP="005057C9">
            <w:pPr>
              <w:jc w:val="center"/>
              <w:rPr>
                <w:rFonts w:ascii="Times New Roman" w:hAnsi="Times New Roman" w:cs="Times New Roman"/>
              </w:rPr>
            </w:pPr>
            <w:r>
              <w:rPr>
                <w:rFonts w:ascii="Times New Roman" w:eastAsia="Calibri" w:hAnsi="Times New Roman" w:cs="Times New Roman"/>
              </w:rPr>
              <w:t>Smoke Detectors and Carbon Monoxide</w:t>
            </w:r>
          </w:p>
        </w:tc>
        <w:tc>
          <w:tcPr>
            <w:tcW w:w="3240" w:type="dxa"/>
          </w:tcPr>
          <w:p w14:paraId="5F4E4E2A" w14:textId="77777777" w:rsidR="00FC1544" w:rsidRDefault="00FC1544" w:rsidP="005057C9">
            <w:pPr>
              <w:rPr>
                <w:rFonts w:ascii="Times New Roman" w:hAnsi="Times New Roman" w:cs="Times New Roman"/>
              </w:rPr>
            </w:pPr>
            <w:r>
              <w:rPr>
                <w:rFonts w:ascii="Times New Roman" w:eastAsia="Calibri" w:hAnsi="Times New Roman" w:cs="Times New Roman"/>
              </w:rPr>
              <w:t>Owners must provide, install, and maintain in operable conditions smoke and carbon monoxide detectors in every dwelling</w:t>
            </w:r>
          </w:p>
          <w:p w14:paraId="5A19909A" w14:textId="77777777" w:rsidR="00FC1544" w:rsidRDefault="00FC1544" w:rsidP="005057C9">
            <w:pPr>
              <w:rPr>
                <w:rFonts w:ascii="Times New Roman" w:hAnsi="Times New Roman" w:cs="Times New Roman"/>
                <w:i/>
                <w:iCs/>
              </w:rPr>
            </w:pPr>
            <w:r>
              <w:rPr>
                <w:rFonts w:ascii="Times New Roman" w:eastAsia="Calibri" w:hAnsi="Times New Roman" w:cs="Times New Roman"/>
                <w:i/>
                <w:iCs/>
              </w:rPr>
              <w:t xml:space="preserve">Example infraction: </w:t>
            </w:r>
          </w:p>
          <w:p w14:paraId="21CD3AA4" w14:textId="77777777" w:rsidR="00FC1544" w:rsidRDefault="00FC1544" w:rsidP="005057C9">
            <w:pPr>
              <w:pStyle w:val="ListParagraph"/>
              <w:numPr>
                <w:ilvl w:val="0"/>
                <w:numId w:val="1"/>
              </w:numPr>
              <w:rPr>
                <w:rFonts w:ascii="Times New Roman" w:hAnsi="Times New Roman" w:cs="Times New Roman"/>
              </w:rPr>
            </w:pPr>
            <w:r>
              <w:rPr>
                <w:rFonts w:ascii="Times New Roman" w:eastAsia="Calibri" w:hAnsi="Times New Roman" w:cs="Times New Roman"/>
              </w:rPr>
              <w:t xml:space="preserve">Replace missing smoke detector or batteries </w:t>
            </w:r>
          </w:p>
        </w:tc>
        <w:tc>
          <w:tcPr>
            <w:tcW w:w="4237" w:type="dxa"/>
          </w:tcPr>
          <w:p w14:paraId="594F5F1F" w14:textId="09B90AF8" w:rsidR="00FC1544" w:rsidRDefault="00FC1544" w:rsidP="005057C9">
            <w:pPr>
              <w:rPr>
                <w:rFonts w:ascii="Times New Roman" w:hAnsi="Times New Roman" w:cs="Times New Roman"/>
              </w:rPr>
            </w:pPr>
            <w:r>
              <w:rPr>
                <w:rFonts w:ascii="Times New Roman" w:eastAsia="Times New Roman" w:hAnsi="Times New Roman" w:cs="Times New Roman"/>
              </w:rPr>
              <w:t>The death rate in homes without functional smoke detectors is twice as high as homes with functional smoke detectors.</w:t>
            </w:r>
            <w:r>
              <w:fldChar w:fldCharType="begin"/>
            </w:r>
            <w:r w:rsidR="00C734B7">
              <w:rPr>
                <w:rFonts w:ascii="Times New Roman" w:eastAsia="Times New Roman" w:hAnsi="Times New Roman" w:cs="Times New Roman"/>
              </w:rPr>
              <w:instrText xml:space="preserve"> ADDIN ZOTERO_ITEM CSL_CITATION {"citationID":"rrZkaYTP","properties":{"formattedCitation":"\\super 2\\nosupersub{}","plainCitation":"2","noteIndex":0},"citationItems":[{"id":"jBBAuOdi/7VymwXQ0","uris":["http://zotero.org/users/local/CYPTb0Od/items/XABUI6DF"],"uri":["http://zotero.org/users/local/CYPTb0Od/items/XABUI6DF"],"itemData":{"id":1056,"type":"report","title":"NFPA's \"Smoke Alarms in U.S. Home Fires\"","URL":"https://www.nfpa.org/News-and-Research/Data-research-and-tools/Detection-and-Signaling/Smoke-Alarms-in-US-Home-Fires","author":[{"family":"Ahrens","given":"Marty"}],"issued":{"date-parts":[["2019"]]},"accessed":{"date-parts":[["2019",3,7]]}}}],"schema":"https://github.com/citation-style-language/schema/raw/master/csl-citation.json"} </w:instrText>
            </w:r>
            <w:r>
              <w:rPr>
                <w:rFonts w:ascii="Times New Roman" w:eastAsia="Times New Roman" w:hAnsi="Times New Roman" w:cs="Times New Roman"/>
              </w:rPr>
              <w:fldChar w:fldCharType="separate"/>
            </w:r>
            <w:r w:rsidR="00C734B7" w:rsidRPr="00C734B7">
              <w:rPr>
                <w:rFonts w:ascii="Times New Roman" w:hAnsi="Times New Roman" w:cs="Times New Roman"/>
                <w:vertAlign w:val="superscript"/>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Chelsea has the highest rate of fires in Suffolk County at 12.4 fires per 1 000 people.</w:t>
            </w:r>
            <w:r>
              <w:fldChar w:fldCharType="begin"/>
            </w:r>
            <w:r w:rsidR="00C734B7">
              <w:rPr>
                <w:rFonts w:ascii="Times New Roman" w:eastAsia="Times New Roman" w:hAnsi="Times New Roman" w:cs="Times New Roman"/>
              </w:rPr>
              <w:instrText xml:space="preserve"> ADDIN ZOTERO_ITEM CSL_CITATION {"citationID":"9i78oqktl","properties":{"formattedCitation":"\\super 3\\nosupersub{}","plainCitation":"3","noteIndex":0},"citationItems":[{"id":"jBBAuOdi/Qc2Y4d2o","uris":["http://zotero.org/users/local/CYPTb0Od/items/IP5JKCXN"],"uri":["http://zotero.org/users/local/CYPTb0Od/items/IP5JKCXN"],"itemData":{"id":1059,"type":"report","title":"Suffolk County 2013 Fire Data Analysis","publisher":"MFIRS","URL":"https://www.mass.gov/files/documents/2016/09/sx/2013suffolkcounty.pdf","author":[{"family":"Coan","given":"Stephen D."}],"issued":{"date-parts":[["2013"]]}}}],"schema":"https://github.com/citation-style-language/schema/raw/master/csl-citation.json"} </w:instrText>
            </w:r>
            <w:r>
              <w:rPr>
                <w:rFonts w:ascii="Times New Roman" w:eastAsia="Times New Roman" w:hAnsi="Times New Roman" w:cs="Times New Roman"/>
              </w:rPr>
              <w:fldChar w:fldCharType="separate"/>
            </w:r>
            <w:r w:rsidR="00C734B7" w:rsidRPr="00C734B7">
              <w:rPr>
                <w:rFonts w:ascii="Times New Roman" w:hAnsi="Times New Roman" w:cs="Times New Roman"/>
                <w:vertAlign w:val="superscript"/>
              </w:rPr>
              <w:t>3</w:t>
            </w:r>
            <w:r>
              <w:rPr>
                <w:rFonts w:ascii="Times New Roman" w:eastAsia="Times New Roman" w:hAnsi="Times New Roman" w:cs="Times New Roman"/>
              </w:rPr>
              <w:fldChar w:fldCharType="end"/>
            </w:r>
          </w:p>
        </w:tc>
      </w:tr>
      <w:tr w:rsidR="00FC1544" w14:paraId="7B62D304" w14:textId="77777777" w:rsidTr="005057C9">
        <w:trPr>
          <w:jc w:val="center"/>
        </w:trPr>
        <w:tc>
          <w:tcPr>
            <w:tcW w:w="1615" w:type="dxa"/>
            <w:vAlign w:val="center"/>
          </w:tcPr>
          <w:p w14:paraId="259A5003" w14:textId="77777777" w:rsidR="00FC1544" w:rsidRDefault="00FC1544" w:rsidP="005057C9">
            <w:pPr>
              <w:jc w:val="center"/>
              <w:rPr>
                <w:rFonts w:ascii="Times New Roman" w:hAnsi="Times New Roman" w:cs="Times New Roman"/>
              </w:rPr>
            </w:pPr>
          </w:p>
          <w:p w14:paraId="2BFC494D" w14:textId="77777777" w:rsidR="00FC1544" w:rsidRDefault="00FC1544" w:rsidP="005057C9">
            <w:pPr>
              <w:jc w:val="center"/>
              <w:rPr>
                <w:rFonts w:ascii="Times New Roman" w:hAnsi="Times New Roman" w:cs="Times New Roman"/>
              </w:rPr>
            </w:pPr>
          </w:p>
          <w:p w14:paraId="0894CA05" w14:textId="77777777" w:rsidR="00FC1544" w:rsidRDefault="00FC1544" w:rsidP="005057C9">
            <w:pPr>
              <w:jc w:val="center"/>
              <w:rPr>
                <w:rFonts w:ascii="Times New Roman" w:hAnsi="Times New Roman" w:cs="Times New Roman"/>
              </w:rPr>
            </w:pPr>
            <w:r>
              <w:rPr>
                <w:rFonts w:ascii="Times New Roman" w:eastAsia="Calibri" w:hAnsi="Times New Roman" w:cs="Times New Roman"/>
              </w:rPr>
              <w:t>Locks</w:t>
            </w:r>
          </w:p>
        </w:tc>
        <w:tc>
          <w:tcPr>
            <w:tcW w:w="3240" w:type="dxa"/>
          </w:tcPr>
          <w:p w14:paraId="4F16DA63" w14:textId="77777777" w:rsidR="00FC1544" w:rsidRDefault="00FC1544" w:rsidP="005057C9">
            <w:pPr>
              <w:rPr>
                <w:rFonts w:ascii="Times New Roman" w:hAnsi="Times New Roman" w:cs="Times New Roman"/>
              </w:rPr>
            </w:pPr>
            <w:r>
              <w:rPr>
                <w:rFonts w:ascii="Times New Roman" w:eastAsia="Calibri" w:hAnsi="Times New Roman" w:cs="Times New Roman"/>
              </w:rPr>
              <w:t>Owners shall provide, install, and maintain locks so that all dwellings, units, and exterior windows are securable against unlawful entry and prevent entrapment in the building.</w:t>
            </w:r>
          </w:p>
          <w:p w14:paraId="3AC4E720" w14:textId="77777777" w:rsidR="00FC1544" w:rsidRDefault="00FC1544" w:rsidP="005057C9">
            <w:pPr>
              <w:rPr>
                <w:rFonts w:ascii="Times New Roman" w:hAnsi="Times New Roman" w:cs="Times New Roman"/>
                <w:i/>
                <w:iCs/>
              </w:rPr>
            </w:pPr>
            <w:r>
              <w:rPr>
                <w:rFonts w:ascii="Times New Roman" w:eastAsia="Calibri" w:hAnsi="Times New Roman" w:cs="Times New Roman"/>
                <w:i/>
                <w:iCs/>
              </w:rPr>
              <w:t xml:space="preserve">Example infraction: </w:t>
            </w:r>
          </w:p>
          <w:p w14:paraId="2EE38454" w14:textId="77777777" w:rsidR="00FC1544" w:rsidRDefault="00FC1544" w:rsidP="005057C9">
            <w:pPr>
              <w:pStyle w:val="ListParagraph"/>
              <w:numPr>
                <w:ilvl w:val="0"/>
                <w:numId w:val="4"/>
              </w:numPr>
              <w:rPr>
                <w:rFonts w:ascii="Times New Roman" w:hAnsi="Times New Roman" w:cs="Times New Roman"/>
              </w:rPr>
            </w:pPr>
            <w:r>
              <w:rPr>
                <w:rFonts w:ascii="Times New Roman" w:eastAsia="Calibri" w:hAnsi="Times New Roman" w:cs="Times New Roman"/>
              </w:rPr>
              <w:t>Remove keyed locks from all bedroom doors</w:t>
            </w:r>
          </w:p>
        </w:tc>
        <w:tc>
          <w:tcPr>
            <w:tcW w:w="4237" w:type="dxa"/>
          </w:tcPr>
          <w:p w14:paraId="69584BDA" w14:textId="256789FF" w:rsidR="00FC1544" w:rsidRDefault="00FC1544" w:rsidP="005057C9">
            <w:pPr>
              <w:rPr>
                <w:rFonts w:ascii="Times New Roman" w:eastAsia="Times New Roman" w:hAnsi="Times New Roman" w:cs="Times New Roman"/>
              </w:rPr>
            </w:pPr>
            <w:r>
              <w:rPr>
                <w:rFonts w:ascii="Times New Roman" w:eastAsia="Times New Roman" w:hAnsi="Times New Roman" w:cs="Times New Roman"/>
              </w:rPr>
              <w:t xml:space="preserve">While this violation may refer to locks to prevent unlawful entry, in Chelsea, inspectors state that this violation is exclusively used when there are </w:t>
            </w:r>
            <w:r w:rsidR="00124EE4">
              <w:rPr>
                <w:rFonts w:ascii="Times New Roman" w:eastAsia="Times New Roman" w:hAnsi="Times New Roman" w:cs="Times New Roman"/>
              </w:rPr>
              <w:t xml:space="preserve">keyed </w:t>
            </w:r>
            <w:r>
              <w:rPr>
                <w:rFonts w:ascii="Times New Roman" w:eastAsia="Times New Roman" w:hAnsi="Times New Roman" w:cs="Times New Roman"/>
              </w:rPr>
              <w:t>locks on internal room doors barring entry from the outside. This is a strong indicator of overcrowded living conditions and is done when a home is subdivided into many sublet rooms. The City is particularly concerned about the negative social and health consequences of overcrowding, such as poor school performance, intimate partner violence, and higher Covid-19 transmission.</w:t>
            </w:r>
            <w:r>
              <w:fldChar w:fldCharType="begin"/>
            </w:r>
            <w:r w:rsidR="00C734B7">
              <w:rPr>
                <w:rFonts w:ascii="Times New Roman" w:eastAsia="Times New Roman" w:hAnsi="Times New Roman" w:cs="Times New Roman"/>
              </w:rPr>
              <w:instrText xml:space="preserve"> ADDIN ZOTERO_ITEM CSL_CITATION {"citationID":"S2df95Kr","properties":{"formattedCitation":"\\super 4\\uc0\\u8211{}6\\nosupersub{}","plainCitation":"4–6","noteIndex":0},"citationItems":[{"id":1079,"uris":["http://zotero.org/groups/2373664/items/JRUJ6VNC"],"uri":["http://zotero.org/groups/2373664/items/JRUJ6VNC"],"itemData":{"id":1079,"type":"article-newspaper","container-title":"The New York Times","event-place":"New York, NY, USA","publisher-place":"New York, NY, USA","title":"Coronavirus in Massachusetts: In Chelsea, Leaders Struggle to Separate the Sick From the Well - The New York Times","URL":"https://www.nytimes.com/2020/04/25/us/coronavirus-chelsea-massachusetts.html","author":[{"family":"Barry","given":"Ellen"}],"accessed":{"date-parts":[["2020",6,23]]},"issued":{"date-parts":[["2020",4,28]]}}},{"id":"jBBAuOdi/9PHQz3ZE","uris":["http://zotero.org/users/local/CYPTb0Od/items/PSTNI33P"],"uri":["http://zotero.org/users/local/CYPTb0Od/items/PSTNI33P"],"itemData":{"id":653,"type":"article-journal","title":"The effect of overcrowded housing on children's performance at school","container-title":"Journal of Public Economics","page":"797–819","volume":"89","issue":"5","source":"hollis.harvard.edu","abstract":"This paper provides estimates of the causal effect of living in an overcrowded home on performance at school in France. Our identification strategy relies on the fact that the size and housing conditions of families vary with the sex composition of the siblings. In particular, large families in which the two youngest children are (by descending age) a boy and a girl tend to live less often in overcrowded housing than the other families. French parents seem to be more reluctant about bringing up their children in the same room when they are not of the same sex, especially when the youngest one is a girl. We build on these results to develop several econometric analyses of the effect of overcrowding on schooling outcomes using variables describing the sex composition of the siblings as instrumental variables. These different strategies reveal that the very strong statistical relationship between housing conditions and academic failure is plausibly one of cause and effect. Children in large families perform much less well than children in small families, but our IV estimates suggest that this is mostly due to the fact that they live in more overcrowded homes.","DOI":"10.1016/j.jpubeco.2004.06.005","ISSN":"0047-2727","language":"eng","author":[{"family":"Goux","given":"Dominique"},{"family":"Maurin","given":"Eric"}],"issued":{"date-parts":[["2005"]]}}},{"id":"jBBAuOdi/rR5H98mU","uris":["http://zotero.org/users/local/CYPTb0Od/items/6DE7JQ33"],"uri":["http://zotero.org/users/local/CYPTb0Od/items/6DE7JQ33"],"itemData":{"id":778,"type":"article-journal","title":"Overcrowding in the Home: An Empirical Investigation of Its Possible Pathological Consequences","container-title":"American Sociological Review","page":"59-80","volume":"44","issue":"1","source":"JSTOR","abstract":"Several recent studies have suggested that, contrary to investigators' initial expectations, household crowding typically has little impact on humans. Using a sample collected in Chicago which minimized the collinearity between crowding and socioeconomic variables, we find that both objective crowding (as measured by persons per room) and subjective crowding (as indicated by (1) excessive social demands and (2) a lack of privacy) are strongly related to poor mental health, poor social relationships in the home and poor child care; and are less strongly, but significantly related to poor physical health, and to poor social relationships outside the home. Furthermore, these three crowding variables taken together, on the average, uniquely explain as much (and with many indicators, more) variance in our dependent variables as is uniquely explained by the combined effects of sex, race, education, income, age, and marital status. It is suggested that attention be turned away from the question of whether crowding ever has effects to the study of factors which maximize or minimize its effects.","URL":"http://www.jstor.org/stable/2094818","DOI":"10.2307/2094818","ISSN":"0003-1224","shortTitle":"Overcrowding in the Home","author":[{"family":"Gove","given":"Walter R."},{"family":"Hughes","given":"Michael"},{"family":"Galle","given":"Omer R."}],"issued":{"date-parts":[["1979"]]}}}],"schema":"https://github.com/citation-style-language/schema/raw/master/csl-citation.json"} </w:instrText>
            </w:r>
            <w:r>
              <w:rPr>
                <w:rFonts w:ascii="Times New Roman" w:eastAsia="Times New Roman" w:hAnsi="Times New Roman" w:cs="Times New Roman"/>
              </w:rPr>
              <w:fldChar w:fldCharType="separate"/>
            </w:r>
            <w:r w:rsidR="00C734B7" w:rsidRPr="00C734B7">
              <w:rPr>
                <w:rFonts w:ascii="Times New Roman" w:hAnsi="Times New Roman" w:cs="Times New Roman"/>
                <w:vertAlign w:val="superscript"/>
              </w:rPr>
              <w:t>4–6</w:t>
            </w:r>
            <w:r>
              <w:rPr>
                <w:rFonts w:ascii="Times New Roman" w:eastAsia="Times New Roman" w:hAnsi="Times New Roman" w:cs="Times New Roman"/>
              </w:rPr>
              <w:fldChar w:fldCharType="end"/>
            </w:r>
          </w:p>
        </w:tc>
      </w:tr>
      <w:tr w:rsidR="00FC1544" w14:paraId="1E71CA61" w14:textId="77777777" w:rsidTr="005057C9">
        <w:trPr>
          <w:jc w:val="center"/>
        </w:trPr>
        <w:tc>
          <w:tcPr>
            <w:tcW w:w="1615" w:type="dxa"/>
            <w:vAlign w:val="center"/>
          </w:tcPr>
          <w:p w14:paraId="19464514" w14:textId="77777777" w:rsidR="00FC1544" w:rsidRDefault="00FC1544" w:rsidP="005057C9">
            <w:pPr>
              <w:jc w:val="center"/>
              <w:rPr>
                <w:rFonts w:ascii="Times New Roman" w:hAnsi="Times New Roman" w:cs="Times New Roman"/>
              </w:rPr>
            </w:pPr>
          </w:p>
          <w:p w14:paraId="37D4D739" w14:textId="77777777" w:rsidR="00FC1544" w:rsidRDefault="00FC1544" w:rsidP="005057C9">
            <w:pPr>
              <w:jc w:val="center"/>
              <w:rPr>
                <w:rFonts w:ascii="Times New Roman" w:hAnsi="Times New Roman" w:cs="Times New Roman"/>
              </w:rPr>
            </w:pPr>
          </w:p>
          <w:p w14:paraId="7B518011" w14:textId="77777777" w:rsidR="00FC1544" w:rsidRDefault="00FC1544" w:rsidP="005057C9">
            <w:pPr>
              <w:jc w:val="center"/>
              <w:rPr>
                <w:rFonts w:ascii="Times New Roman" w:hAnsi="Times New Roman" w:cs="Times New Roman"/>
              </w:rPr>
            </w:pPr>
            <w:r>
              <w:rPr>
                <w:rFonts w:ascii="Times New Roman" w:eastAsia="Calibri" w:hAnsi="Times New Roman" w:cs="Times New Roman"/>
              </w:rPr>
              <w:t>Extermination of Insects, Rodents, and Skunks</w:t>
            </w:r>
          </w:p>
        </w:tc>
        <w:tc>
          <w:tcPr>
            <w:tcW w:w="3240" w:type="dxa"/>
          </w:tcPr>
          <w:p w14:paraId="00AB0EA1" w14:textId="77777777" w:rsidR="00FC1544" w:rsidRDefault="00FC1544" w:rsidP="005057C9">
            <w:pPr>
              <w:rPr>
                <w:rFonts w:ascii="Times New Roman" w:hAnsi="Times New Roman" w:cs="Times New Roman"/>
              </w:rPr>
            </w:pPr>
            <w:r>
              <w:rPr>
                <w:rFonts w:ascii="Times New Roman" w:eastAsia="Calibri" w:hAnsi="Times New Roman" w:cs="Times New Roman"/>
              </w:rPr>
              <w:t>Owners and occupants must maintain units free from rodents, skunks, cockroaches and insect infestations.</w:t>
            </w:r>
          </w:p>
          <w:p w14:paraId="3D5CF31B" w14:textId="77777777" w:rsidR="00FC1544" w:rsidRDefault="00FC1544" w:rsidP="005057C9">
            <w:pPr>
              <w:rPr>
                <w:rFonts w:ascii="Times New Roman" w:hAnsi="Times New Roman" w:cs="Times New Roman"/>
                <w:i/>
                <w:iCs/>
              </w:rPr>
            </w:pPr>
            <w:r>
              <w:rPr>
                <w:rFonts w:ascii="Times New Roman" w:eastAsia="Calibri" w:hAnsi="Times New Roman" w:cs="Times New Roman"/>
                <w:i/>
                <w:iCs/>
              </w:rPr>
              <w:t xml:space="preserve">Example infraction: </w:t>
            </w:r>
          </w:p>
          <w:p w14:paraId="31E72AA0" w14:textId="77777777" w:rsidR="00FC1544" w:rsidRDefault="00FC1544" w:rsidP="005057C9">
            <w:pPr>
              <w:pStyle w:val="ListParagraph"/>
              <w:numPr>
                <w:ilvl w:val="0"/>
                <w:numId w:val="3"/>
              </w:numPr>
              <w:rPr>
                <w:rFonts w:ascii="Times New Roman" w:hAnsi="Times New Roman" w:cs="Times New Roman"/>
              </w:rPr>
            </w:pPr>
            <w:r>
              <w:rPr>
                <w:rFonts w:ascii="Times New Roman" w:eastAsia="Calibri" w:hAnsi="Times New Roman" w:cs="Times New Roman"/>
              </w:rPr>
              <w:t>Seal all rodent passageways throughout unit</w:t>
            </w:r>
          </w:p>
        </w:tc>
        <w:tc>
          <w:tcPr>
            <w:tcW w:w="4237" w:type="dxa"/>
          </w:tcPr>
          <w:p w14:paraId="0C5B1CF0" w14:textId="0E2BFF41" w:rsidR="00FC1544" w:rsidRDefault="00FC1544" w:rsidP="005057C9">
            <w:pPr>
              <w:rPr>
                <w:rFonts w:ascii="Times New Roman" w:hAnsi="Times New Roman" w:cs="Times New Roman"/>
              </w:rPr>
            </w:pPr>
            <w:r>
              <w:rPr>
                <w:rFonts w:ascii="Times New Roman" w:eastAsia="Times New Roman" w:hAnsi="Times New Roman" w:cs="Times New Roman"/>
              </w:rPr>
              <w:t>Insects and animal infestations are not only created by deteriorating and unhygienic conditions, but also exacerbate these conditions. Insect or animal infestations can spread infectious disease and trigger asthma attacks.</w:t>
            </w:r>
            <w:r>
              <w:fldChar w:fldCharType="begin"/>
            </w:r>
            <w:r w:rsidR="00C734B7">
              <w:rPr>
                <w:rFonts w:ascii="Times New Roman" w:eastAsia="Times New Roman" w:hAnsi="Times New Roman" w:cs="Times New Roman"/>
              </w:rPr>
              <w:instrText xml:space="preserve"> ADDIN ZOTERO_ITEM CSL_CITATION {"citationID":"oRstDZ5O","properties":{"formattedCitation":"\\super 7,8\\nosupersub{}","plainCitation":"7,8","noteIndex":0},"citationItems":[{"id":"jBBAuOdi/JKnMvlDV","uris":["http://zotero.org/users/local/CYPTb0Od/items/MA6XBBGJ"],"uri":["http://zotero.org/users/local/CYPTb0Od/items/MA6XBBGJ"],"itemData":{"id":1062,"type":"webpage","title":"Rodents","URL":"https://nchh.org/information-and-evidence/learn-about-healthy-housing/health-hazards-prevention-and-solutions/rodents/","author":[{"literal":"NCHH"}],"issued":{"date-parts":[["2019"]]},"accessed":{"date-parts":[["2019",3,15]]}}},{"id":"jBBAuOdi/Vlk9jLGF","uris":["http://zotero.org/users/local/CYPTb0Od/items/XWCCXESK"],"uri":["http://zotero.org/users/local/CYPTb0Od/items/XWCCXESK"],"itemData":{"id":1060,"type":"article-journal","title":"Survey of pest infestation, asthma, and allergy in low-income housing","container-title":"Journal of Community Health","page":"31-39","volume":"33","issue":"1","source":"PubMed","abstract":"Low-income housing often has multiple indoor health risks. Among them, pest infestation, pesticide use, and pest allergens are recognized as common risks which affect residents' health. Cockroach and rodent allergens are associated with morbidity and mortality of asthmatics. To characterize the levels of pest infestation, residents' attitudes toward pest control, and the relationships among cockroaches, mice, cockroach allergen level, asthma and allergy rate in public housing, we interviewed residents from 358 randomly selected apartments in Gary, Indiana and assessed the environmental conditions. Dust samples were collected from 101 apartment kitchen floors to analyze for cockroach allergen (Bla g 1 and Bla g 2) levels. Eighty one percent of the apartments were found infested by cockroaches, mice, ants, spiders, or flies. In the 101 apartments evaluated, 98% of the kitchen dust samples had detectable levels of Bla g 1 allergen (&gt;or=0.4 U/g), 52% had &gt;or=2 U/g, and 33% had &gt;or=8 U/g of Bla g 1. Among the 1,173 residents, 13% and 9% had physician-diagnosed asthma and allergy, respectively. Existence of diagnosed asthmatic was positively correlated with mouse infestations.","DOI":"10.1007/s10900-007-9064-6","ISSN":"0094-5145","note":"PMID: 18080206","journalAbbreviation":"J Community Health","language":"eng","author":[{"family":"Wang","given":"Changlu"},{"family":"Abou El-Nour","given":"Mahmoud M."},{"family":"Bennett","given":"Gary W."}],"issued":{"date-parts":[["2008",2]]},"PMID":"18080206"}}],"schema":"https://github.com/citation-style-language/schema/raw/master/csl-citation.json"} </w:instrText>
            </w:r>
            <w:r>
              <w:rPr>
                <w:rFonts w:ascii="Times New Roman" w:eastAsia="Times New Roman" w:hAnsi="Times New Roman" w:cs="Times New Roman"/>
              </w:rPr>
              <w:fldChar w:fldCharType="separate"/>
            </w:r>
            <w:r w:rsidR="00C734B7" w:rsidRPr="00C734B7">
              <w:rPr>
                <w:rFonts w:ascii="Times New Roman" w:hAnsi="Times New Roman" w:cs="Times New Roman"/>
                <w:vertAlign w:val="superscript"/>
              </w:rPr>
              <w:t>7,8</w:t>
            </w:r>
            <w:r>
              <w:rPr>
                <w:rFonts w:ascii="Times New Roman" w:eastAsia="Times New Roman" w:hAnsi="Times New Roman" w:cs="Times New Roman"/>
              </w:rPr>
              <w:fldChar w:fldCharType="end"/>
            </w:r>
          </w:p>
        </w:tc>
      </w:tr>
      <w:tr w:rsidR="00FC1544" w14:paraId="737A77F6" w14:textId="77777777" w:rsidTr="005057C9">
        <w:trPr>
          <w:trHeight w:val="710"/>
          <w:jc w:val="center"/>
        </w:trPr>
        <w:tc>
          <w:tcPr>
            <w:tcW w:w="1615" w:type="dxa"/>
            <w:vAlign w:val="center"/>
          </w:tcPr>
          <w:p w14:paraId="0E6D9EA4" w14:textId="77777777" w:rsidR="00FC1544" w:rsidRDefault="00FC1544" w:rsidP="005057C9">
            <w:pPr>
              <w:jc w:val="center"/>
              <w:rPr>
                <w:rFonts w:ascii="Times New Roman" w:hAnsi="Times New Roman" w:cs="Times New Roman"/>
              </w:rPr>
            </w:pPr>
          </w:p>
          <w:p w14:paraId="1E6BC449" w14:textId="77777777" w:rsidR="00FC1544" w:rsidRDefault="00FC1544" w:rsidP="005057C9">
            <w:pPr>
              <w:jc w:val="center"/>
              <w:rPr>
                <w:rFonts w:ascii="Times New Roman" w:hAnsi="Times New Roman" w:cs="Times New Roman"/>
              </w:rPr>
            </w:pPr>
            <w:r>
              <w:rPr>
                <w:rFonts w:ascii="Times New Roman" w:eastAsia="Calibri" w:hAnsi="Times New Roman" w:cs="Times New Roman"/>
              </w:rPr>
              <w:t>Maintenance of Areas to be Free from Garbage</w:t>
            </w:r>
          </w:p>
        </w:tc>
        <w:tc>
          <w:tcPr>
            <w:tcW w:w="3240" w:type="dxa"/>
          </w:tcPr>
          <w:p w14:paraId="2755DBAB" w14:textId="77777777" w:rsidR="00FC1544" w:rsidRDefault="00FC1544" w:rsidP="005057C9">
            <w:pPr>
              <w:rPr>
                <w:rFonts w:ascii="Times New Roman" w:hAnsi="Times New Roman" w:cs="Times New Roman"/>
              </w:rPr>
            </w:pPr>
            <w:r>
              <w:rPr>
                <w:rFonts w:ascii="Times New Roman" w:eastAsia="Calibri" w:hAnsi="Times New Roman" w:cs="Times New Roman"/>
              </w:rPr>
              <w:t>Owners of any land parcels must maintain such parcels in clean and sanitary conditions. Occupants must maintain dwelling units in clean, sanitary conditions, free of garbage, rubbish, and other filth or causes of sicknesses.</w:t>
            </w:r>
          </w:p>
          <w:p w14:paraId="23D8FCF9" w14:textId="77777777" w:rsidR="00FC1544" w:rsidRDefault="00FC1544" w:rsidP="005057C9">
            <w:pPr>
              <w:rPr>
                <w:rFonts w:ascii="Times New Roman" w:hAnsi="Times New Roman" w:cs="Times New Roman"/>
                <w:i/>
                <w:iCs/>
              </w:rPr>
            </w:pPr>
            <w:r>
              <w:rPr>
                <w:rFonts w:ascii="Times New Roman" w:eastAsia="Calibri" w:hAnsi="Times New Roman" w:cs="Times New Roman"/>
                <w:i/>
                <w:iCs/>
              </w:rPr>
              <w:t xml:space="preserve">Example infraction: </w:t>
            </w:r>
          </w:p>
          <w:p w14:paraId="566DABBB" w14:textId="77777777" w:rsidR="00FC1544" w:rsidRDefault="00FC1544" w:rsidP="005057C9">
            <w:pPr>
              <w:pStyle w:val="ListParagraph"/>
              <w:numPr>
                <w:ilvl w:val="0"/>
                <w:numId w:val="2"/>
              </w:numPr>
              <w:rPr>
                <w:rFonts w:ascii="Times New Roman" w:hAnsi="Times New Roman" w:cs="Times New Roman"/>
              </w:rPr>
            </w:pPr>
            <w:r>
              <w:rPr>
                <w:rFonts w:ascii="Times New Roman" w:eastAsia="Calibri" w:hAnsi="Times New Roman" w:cs="Times New Roman"/>
              </w:rPr>
              <w:t>Remove debris from rear egress hallway</w:t>
            </w:r>
          </w:p>
        </w:tc>
        <w:tc>
          <w:tcPr>
            <w:tcW w:w="4237" w:type="dxa"/>
          </w:tcPr>
          <w:p w14:paraId="48620584" w14:textId="76E19AE3" w:rsidR="00FC1544" w:rsidRDefault="00FC1544" w:rsidP="005057C9">
            <w:pPr>
              <w:rPr>
                <w:rFonts w:ascii="Times New Roman" w:hAnsi="Times New Roman" w:cs="Times New Roman"/>
              </w:rPr>
            </w:pPr>
            <w:r>
              <w:rPr>
                <w:rFonts w:ascii="Times New Roman" w:eastAsia="Times New Roman" w:hAnsi="Times New Roman" w:cs="Times New Roman"/>
              </w:rPr>
              <w:t>Uncontained garbage in the home creates unhygienic conditions and may attract infestations of insects or animals. Garbage in living areas may also be an indicator of a resident’s inability to maintain a property, representing a possible behavioral health concern or physical disability.</w:t>
            </w:r>
            <w:r>
              <w:fldChar w:fldCharType="begin"/>
            </w:r>
            <w:r w:rsidR="00C734B7">
              <w:rPr>
                <w:rFonts w:ascii="Times New Roman" w:eastAsia="Times New Roman" w:hAnsi="Times New Roman" w:cs="Times New Roman"/>
              </w:rPr>
              <w:instrText xml:space="preserve"> ADDIN ZOTERO_ITEM CSL_CITATION {"citationID":"27ki015q1r","properties":{"formattedCitation":"\\super 9\\nosupersub{}","plainCitation":"9","noteIndex":0},"citationItems":[{"id":"jBBAuOdi/paiNOT3m","uris":["http://zotero.org/users/local/CYPTb0Od/items/AV4GK7CI"],"uri":["http://zotero.org/users/local/CYPTb0Od/items/AV4GK7CI"],"itemData":{"id":1063,"type":"report","title":"Guidelines for field staff to assist people living in severe domestic squalor","URL":"http://vet.tufts.edu/wp-content/uploads/squalor.pdf","author":[{"literal":"PAH"}],"issued":{"date-parts":[["2007"]]}}}],"schema":"https://github.com/citation-style-language/schema/raw/master/csl-citation.json"} </w:instrText>
            </w:r>
            <w:r>
              <w:rPr>
                <w:rFonts w:ascii="Times New Roman" w:eastAsia="Times New Roman" w:hAnsi="Times New Roman" w:cs="Times New Roman"/>
              </w:rPr>
              <w:fldChar w:fldCharType="separate"/>
            </w:r>
            <w:r w:rsidR="00C734B7" w:rsidRPr="00C734B7">
              <w:rPr>
                <w:rFonts w:ascii="Times New Roman" w:hAnsi="Times New Roman" w:cs="Times New Roman"/>
                <w:vertAlign w:val="superscript"/>
              </w:rPr>
              <w:t>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tc>
      </w:tr>
    </w:tbl>
    <w:p w14:paraId="422A310F" w14:textId="77777777" w:rsidR="00E523AB"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fldChar w:fldCharType="begin"/>
      </w:r>
      <w:r w:rsidRPr="00C734B7">
        <w:rPr>
          <w:rFonts w:ascii="Times New Roman" w:hAnsi="Times New Roman" w:cs="Times New Roman"/>
        </w:rPr>
        <w:instrText xml:space="preserve"> ADDIN ZOTERO_BIBL {"uncited":[],"omitted":[],"custom":[]} CSL_BIBLIOGRAPHY </w:instrText>
      </w:r>
      <w:r w:rsidRPr="00C734B7">
        <w:rPr>
          <w:rFonts w:ascii="Times New Roman" w:hAnsi="Times New Roman" w:cs="Times New Roman"/>
        </w:rPr>
        <w:fldChar w:fldCharType="separate"/>
      </w:r>
    </w:p>
    <w:p w14:paraId="133E98A2" w14:textId="77777777" w:rsidR="00E523AB" w:rsidRDefault="00E523AB" w:rsidP="00E523AB">
      <w:pPr>
        <w:pStyle w:val="Bibliography"/>
        <w:spacing w:line="240" w:lineRule="auto"/>
        <w:rPr>
          <w:rFonts w:ascii="Times New Roman" w:hAnsi="Times New Roman" w:cs="Times New Roman"/>
        </w:rPr>
      </w:pPr>
    </w:p>
    <w:p w14:paraId="53F0E991" w14:textId="2550439D" w:rsidR="00E523AB" w:rsidRPr="00E523AB" w:rsidRDefault="00E523AB" w:rsidP="00E523AB">
      <w:pPr>
        <w:pStyle w:val="Bibliography"/>
        <w:spacing w:line="240" w:lineRule="auto"/>
        <w:rPr>
          <w:rFonts w:ascii="Times New Roman" w:hAnsi="Times New Roman" w:cs="Times New Roman"/>
          <w:b/>
          <w:bCs/>
        </w:rPr>
      </w:pPr>
      <w:r w:rsidRPr="00E523AB">
        <w:rPr>
          <w:rFonts w:ascii="Times New Roman" w:hAnsi="Times New Roman" w:cs="Times New Roman"/>
          <w:b/>
          <w:bCs/>
        </w:rPr>
        <w:lastRenderedPageBreak/>
        <w:t>Works Cited:</w:t>
      </w:r>
    </w:p>
    <w:p w14:paraId="28F9997D" w14:textId="67A8DB46" w:rsidR="00C734B7" w:rsidRPr="00C734B7"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t>1.</w:t>
      </w:r>
      <w:r w:rsidRPr="00C734B7">
        <w:rPr>
          <w:rFonts w:ascii="Times New Roman" w:hAnsi="Times New Roman" w:cs="Times New Roman"/>
        </w:rPr>
        <w:tab/>
        <w:t>MA Department of Public Health. Minimum Standards of Fitness for Human Habitation (State Sanitary Code). (2007).</w:t>
      </w:r>
    </w:p>
    <w:p w14:paraId="0A82113A" w14:textId="77777777" w:rsidR="00C734B7" w:rsidRPr="00C734B7"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t>2.</w:t>
      </w:r>
      <w:r w:rsidRPr="00C734B7">
        <w:rPr>
          <w:rFonts w:ascii="Times New Roman" w:hAnsi="Times New Roman" w:cs="Times New Roman"/>
        </w:rPr>
        <w:tab/>
        <w:t xml:space="preserve">Ahrens, M. </w:t>
      </w:r>
      <w:r w:rsidRPr="00C734B7">
        <w:rPr>
          <w:rFonts w:ascii="Times New Roman" w:hAnsi="Times New Roman" w:cs="Times New Roman"/>
          <w:i/>
          <w:iCs/>
        </w:rPr>
        <w:t>NFPA’s ‘Smoke Alarms in U.S. Home Fires’</w:t>
      </w:r>
      <w:r w:rsidRPr="00C734B7">
        <w:rPr>
          <w:rFonts w:ascii="Times New Roman" w:hAnsi="Times New Roman" w:cs="Times New Roman"/>
        </w:rPr>
        <w:t>. https://www.nfpa.org/News-and-Research/Data-research-and-tools/Detection-and-Signaling/Smoke-Alarms-in-US-Home-Fires (2019).</w:t>
      </w:r>
    </w:p>
    <w:p w14:paraId="3ADB961E" w14:textId="77777777" w:rsidR="00C734B7" w:rsidRPr="00C734B7"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t>3.</w:t>
      </w:r>
      <w:r w:rsidRPr="00C734B7">
        <w:rPr>
          <w:rFonts w:ascii="Times New Roman" w:hAnsi="Times New Roman" w:cs="Times New Roman"/>
        </w:rPr>
        <w:tab/>
      </w:r>
      <w:proofErr w:type="spellStart"/>
      <w:r w:rsidRPr="00C734B7">
        <w:rPr>
          <w:rFonts w:ascii="Times New Roman" w:hAnsi="Times New Roman" w:cs="Times New Roman"/>
        </w:rPr>
        <w:t>Coan</w:t>
      </w:r>
      <w:proofErr w:type="spellEnd"/>
      <w:r w:rsidRPr="00C734B7">
        <w:rPr>
          <w:rFonts w:ascii="Times New Roman" w:hAnsi="Times New Roman" w:cs="Times New Roman"/>
        </w:rPr>
        <w:t xml:space="preserve">, S. D. </w:t>
      </w:r>
      <w:r w:rsidRPr="00C734B7">
        <w:rPr>
          <w:rFonts w:ascii="Times New Roman" w:hAnsi="Times New Roman" w:cs="Times New Roman"/>
          <w:i/>
          <w:iCs/>
        </w:rPr>
        <w:t>Suffolk County 2013 Fire Data Analysis</w:t>
      </w:r>
      <w:r w:rsidRPr="00C734B7">
        <w:rPr>
          <w:rFonts w:ascii="Times New Roman" w:hAnsi="Times New Roman" w:cs="Times New Roman"/>
        </w:rPr>
        <w:t>. https://www.mass.gov/files/documents/2016/09/sx/2013suffolkcounty.pdf (2013).</w:t>
      </w:r>
    </w:p>
    <w:p w14:paraId="151AD1A5" w14:textId="77777777" w:rsidR="00C734B7" w:rsidRPr="00C734B7"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t>4.</w:t>
      </w:r>
      <w:r w:rsidRPr="00C734B7">
        <w:rPr>
          <w:rFonts w:ascii="Times New Roman" w:hAnsi="Times New Roman" w:cs="Times New Roman"/>
        </w:rPr>
        <w:tab/>
        <w:t xml:space="preserve">Barry, E. Coronavirus in Massachusetts: In Chelsea, Leaders Struggle to Separate the Sick </w:t>
      </w:r>
      <w:proofErr w:type="gramStart"/>
      <w:r w:rsidRPr="00C734B7">
        <w:rPr>
          <w:rFonts w:ascii="Times New Roman" w:hAnsi="Times New Roman" w:cs="Times New Roman"/>
        </w:rPr>
        <w:t>From</w:t>
      </w:r>
      <w:proofErr w:type="gramEnd"/>
      <w:r w:rsidRPr="00C734B7">
        <w:rPr>
          <w:rFonts w:ascii="Times New Roman" w:hAnsi="Times New Roman" w:cs="Times New Roman"/>
        </w:rPr>
        <w:t xml:space="preserve"> the Well - The New York Times. </w:t>
      </w:r>
      <w:r w:rsidRPr="00C734B7">
        <w:rPr>
          <w:rFonts w:ascii="Times New Roman" w:hAnsi="Times New Roman" w:cs="Times New Roman"/>
          <w:i/>
          <w:iCs/>
        </w:rPr>
        <w:t>The New York Times</w:t>
      </w:r>
      <w:r w:rsidRPr="00C734B7">
        <w:rPr>
          <w:rFonts w:ascii="Times New Roman" w:hAnsi="Times New Roman" w:cs="Times New Roman"/>
        </w:rPr>
        <w:t xml:space="preserve"> (2020).</w:t>
      </w:r>
    </w:p>
    <w:p w14:paraId="40E96B20" w14:textId="77777777" w:rsidR="00C734B7" w:rsidRPr="00C734B7"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t>5.</w:t>
      </w:r>
      <w:r w:rsidRPr="00C734B7">
        <w:rPr>
          <w:rFonts w:ascii="Times New Roman" w:hAnsi="Times New Roman" w:cs="Times New Roman"/>
        </w:rPr>
        <w:tab/>
      </w:r>
      <w:proofErr w:type="spellStart"/>
      <w:r w:rsidRPr="00C734B7">
        <w:rPr>
          <w:rFonts w:ascii="Times New Roman" w:hAnsi="Times New Roman" w:cs="Times New Roman"/>
        </w:rPr>
        <w:t>Goux</w:t>
      </w:r>
      <w:proofErr w:type="spellEnd"/>
      <w:r w:rsidRPr="00C734B7">
        <w:rPr>
          <w:rFonts w:ascii="Times New Roman" w:hAnsi="Times New Roman" w:cs="Times New Roman"/>
        </w:rPr>
        <w:t xml:space="preserve">, D. &amp; </w:t>
      </w:r>
      <w:proofErr w:type="spellStart"/>
      <w:r w:rsidRPr="00C734B7">
        <w:rPr>
          <w:rFonts w:ascii="Times New Roman" w:hAnsi="Times New Roman" w:cs="Times New Roman"/>
        </w:rPr>
        <w:t>Maurin</w:t>
      </w:r>
      <w:proofErr w:type="spellEnd"/>
      <w:r w:rsidRPr="00C734B7">
        <w:rPr>
          <w:rFonts w:ascii="Times New Roman" w:hAnsi="Times New Roman" w:cs="Times New Roman"/>
        </w:rPr>
        <w:t xml:space="preserve">, E. The effect of overcrowded housing on children’s performance at school. </w:t>
      </w:r>
      <w:r w:rsidRPr="00C734B7">
        <w:rPr>
          <w:rFonts w:ascii="Times New Roman" w:hAnsi="Times New Roman" w:cs="Times New Roman"/>
          <w:i/>
          <w:iCs/>
        </w:rPr>
        <w:t>J. Public Econ.</w:t>
      </w:r>
      <w:r w:rsidRPr="00C734B7">
        <w:rPr>
          <w:rFonts w:ascii="Times New Roman" w:hAnsi="Times New Roman" w:cs="Times New Roman"/>
        </w:rPr>
        <w:t xml:space="preserve"> </w:t>
      </w:r>
      <w:r w:rsidRPr="00C734B7">
        <w:rPr>
          <w:rFonts w:ascii="Times New Roman" w:hAnsi="Times New Roman" w:cs="Times New Roman"/>
          <w:b/>
          <w:bCs/>
        </w:rPr>
        <w:t>89</w:t>
      </w:r>
      <w:r w:rsidRPr="00C734B7">
        <w:rPr>
          <w:rFonts w:ascii="Times New Roman" w:hAnsi="Times New Roman" w:cs="Times New Roman"/>
        </w:rPr>
        <w:t>, 797–819 (2005).</w:t>
      </w:r>
    </w:p>
    <w:p w14:paraId="55BF8FB4" w14:textId="77777777" w:rsidR="00C734B7" w:rsidRPr="00C734B7"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t>6.</w:t>
      </w:r>
      <w:r w:rsidRPr="00C734B7">
        <w:rPr>
          <w:rFonts w:ascii="Times New Roman" w:hAnsi="Times New Roman" w:cs="Times New Roman"/>
        </w:rPr>
        <w:tab/>
        <w:t xml:space="preserve">Gove, W. R., Hughes, M. &amp; Galle, O. R. Overcrowding in the Home: An Empirical Investigation of Its Possible Pathological Consequences. </w:t>
      </w:r>
      <w:r w:rsidRPr="00C734B7">
        <w:rPr>
          <w:rFonts w:ascii="Times New Roman" w:hAnsi="Times New Roman" w:cs="Times New Roman"/>
          <w:i/>
          <w:iCs/>
        </w:rPr>
        <w:t xml:space="preserve">Am. </w:t>
      </w:r>
      <w:proofErr w:type="spellStart"/>
      <w:r w:rsidRPr="00C734B7">
        <w:rPr>
          <w:rFonts w:ascii="Times New Roman" w:hAnsi="Times New Roman" w:cs="Times New Roman"/>
          <w:i/>
          <w:iCs/>
        </w:rPr>
        <w:t>Sociol</w:t>
      </w:r>
      <w:proofErr w:type="spellEnd"/>
      <w:r w:rsidRPr="00C734B7">
        <w:rPr>
          <w:rFonts w:ascii="Times New Roman" w:hAnsi="Times New Roman" w:cs="Times New Roman"/>
          <w:i/>
          <w:iCs/>
        </w:rPr>
        <w:t>. Rev.</w:t>
      </w:r>
      <w:r w:rsidRPr="00C734B7">
        <w:rPr>
          <w:rFonts w:ascii="Times New Roman" w:hAnsi="Times New Roman" w:cs="Times New Roman"/>
        </w:rPr>
        <w:t xml:space="preserve"> </w:t>
      </w:r>
      <w:r w:rsidRPr="00C734B7">
        <w:rPr>
          <w:rFonts w:ascii="Times New Roman" w:hAnsi="Times New Roman" w:cs="Times New Roman"/>
          <w:b/>
          <w:bCs/>
        </w:rPr>
        <w:t>44</w:t>
      </w:r>
      <w:r w:rsidRPr="00C734B7">
        <w:rPr>
          <w:rFonts w:ascii="Times New Roman" w:hAnsi="Times New Roman" w:cs="Times New Roman"/>
        </w:rPr>
        <w:t>, 59–80 (1979).</w:t>
      </w:r>
    </w:p>
    <w:p w14:paraId="30F8C781" w14:textId="77777777" w:rsidR="00C734B7" w:rsidRPr="00C734B7"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t>7.</w:t>
      </w:r>
      <w:r w:rsidRPr="00C734B7">
        <w:rPr>
          <w:rFonts w:ascii="Times New Roman" w:hAnsi="Times New Roman" w:cs="Times New Roman"/>
        </w:rPr>
        <w:tab/>
        <w:t>NCHH. Rodents. https://nchh.org/information-and-evidence/learn-about-healthy-housing/health-hazards-prevention-and-solutions/rodents/ (2019).</w:t>
      </w:r>
    </w:p>
    <w:p w14:paraId="530A74E8" w14:textId="77777777" w:rsidR="00C734B7" w:rsidRPr="00C734B7"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t>8.</w:t>
      </w:r>
      <w:r w:rsidRPr="00C734B7">
        <w:rPr>
          <w:rFonts w:ascii="Times New Roman" w:hAnsi="Times New Roman" w:cs="Times New Roman"/>
        </w:rPr>
        <w:tab/>
        <w:t xml:space="preserve">Wang, C., </w:t>
      </w:r>
      <w:proofErr w:type="spellStart"/>
      <w:r w:rsidRPr="00C734B7">
        <w:rPr>
          <w:rFonts w:ascii="Times New Roman" w:hAnsi="Times New Roman" w:cs="Times New Roman"/>
        </w:rPr>
        <w:t>Abou</w:t>
      </w:r>
      <w:proofErr w:type="spellEnd"/>
      <w:r w:rsidRPr="00C734B7">
        <w:rPr>
          <w:rFonts w:ascii="Times New Roman" w:hAnsi="Times New Roman" w:cs="Times New Roman"/>
        </w:rPr>
        <w:t xml:space="preserve"> El-Nour, M. M. &amp; Bennett, G. W. Survey of pest infestation, asthma, and allergy in low-income housing. </w:t>
      </w:r>
      <w:r w:rsidRPr="00C734B7">
        <w:rPr>
          <w:rFonts w:ascii="Times New Roman" w:hAnsi="Times New Roman" w:cs="Times New Roman"/>
          <w:i/>
          <w:iCs/>
        </w:rPr>
        <w:t>J. Community Health</w:t>
      </w:r>
      <w:r w:rsidRPr="00C734B7">
        <w:rPr>
          <w:rFonts w:ascii="Times New Roman" w:hAnsi="Times New Roman" w:cs="Times New Roman"/>
        </w:rPr>
        <w:t xml:space="preserve"> </w:t>
      </w:r>
      <w:r w:rsidRPr="00C734B7">
        <w:rPr>
          <w:rFonts w:ascii="Times New Roman" w:hAnsi="Times New Roman" w:cs="Times New Roman"/>
          <w:b/>
          <w:bCs/>
        </w:rPr>
        <w:t>33</w:t>
      </w:r>
      <w:r w:rsidRPr="00C734B7">
        <w:rPr>
          <w:rFonts w:ascii="Times New Roman" w:hAnsi="Times New Roman" w:cs="Times New Roman"/>
        </w:rPr>
        <w:t>, 31–39 (2008).</w:t>
      </w:r>
    </w:p>
    <w:p w14:paraId="5333C857" w14:textId="77777777" w:rsidR="00C734B7" w:rsidRPr="00C734B7" w:rsidRDefault="00C734B7" w:rsidP="00E523AB">
      <w:pPr>
        <w:pStyle w:val="Bibliography"/>
        <w:spacing w:line="240" w:lineRule="auto"/>
        <w:rPr>
          <w:rFonts w:ascii="Times New Roman" w:hAnsi="Times New Roman" w:cs="Times New Roman"/>
        </w:rPr>
      </w:pPr>
      <w:r w:rsidRPr="00C734B7">
        <w:rPr>
          <w:rFonts w:ascii="Times New Roman" w:hAnsi="Times New Roman" w:cs="Times New Roman"/>
        </w:rPr>
        <w:t>9.</w:t>
      </w:r>
      <w:r w:rsidRPr="00C734B7">
        <w:rPr>
          <w:rFonts w:ascii="Times New Roman" w:hAnsi="Times New Roman" w:cs="Times New Roman"/>
        </w:rPr>
        <w:tab/>
        <w:t xml:space="preserve">PAH. </w:t>
      </w:r>
      <w:r w:rsidRPr="00C734B7">
        <w:rPr>
          <w:rFonts w:ascii="Times New Roman" w:hAnsi="Times New Roman" w:cs="Times New Roman"/>
          <w:i/>
          <w:iCs/>
        </w:rPr>
        <w:t>Guidelines for field staff to assist people living in severe domestic squalor</w:t>
      </w:r>
      <w:r w:rsidRPr="00C734B7">
        <w:rPr>
          <w:rFonts w:ascii="Times New Roman" w:hAnsi="Times New Roman" w:cs="Times New Roman"/>
        </w:rPr>
        <w:t>. http://vet.tufts.edu/wp-content/uploads/squalor.pdf (2007).</w:t>
      </w:r>
    </w:p>
    <w:p w14:paraId="06F8CF3D" w14:textId="6B233F08" w:rsidR="0021358C" w:rsidRDefault="00C734B7" w:rsidP="00E523AB">
      <w:pPr>
        <w:spacing w:line="240" w:lineRule="auto"/>
      </w:pPr>
      <w:r w:rsidRPr="00C734B7">
        <w:rPr>
          <w:rFonts w:ascii="Times New Roman" w:hAnsi="Times New Roman" w:cs="Times New Roman"/>
        </w:rPr>
        <w:fldChar w:fldCharType="end"/>
      </w:r>
    </w:p>
    <w:sectPr w:rsidR="0021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355A7"/>
    <w:multiLevelType w:val="multilevel"/>
    <w:tmpl w:val="538A70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37DE109D"/>
    <w:multiLevelType w:val="multilevel"/>
    <w:tmpl w:val="1676297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39FA66FE"/>
    <w:multiLevelType w:val="multilevel"/>
    <w:tmpl w:val="C12C406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4AA25BF8"/>
    <w:multiLevelType w:val="multilevel"/>
    <w:tmpl w:val="F308458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44"/>
    <w:rsid w:val="00124EE4"/>
    <w:rsid w:val="0035373B"/>
    <w:rsid w:val="00765694"/>
    <w:rsid w:val="00B56CFC"/>
    <w:rsid w:val="00C734B7"/>
    <w:rsid w:val="00D33D8F"/>
    <w:rsid w:val="00E523AB"/>
    <w:rsid w:val="00FC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7839"/>
  <w15:chartTrackingRefBased/>
  <w15:docId w15:val="{8FB741FC-6EDE-4005-B08D-5890B30E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44"/>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544"/>
    <w:pPr>
      <w:ind w:left="720"/>
      <w:contextualSpacing/>
    </w:pPr>
  </w:style>
  <w:style w:type="table" w:styleId="TableGrid">
    <w:name w:val="Table Grid"/>
    <w:basedOn w:val="TableNormal"/>
    <w:uiPriority w:val="39"/>
    <w:rsid w:val="00FC1544"/>
    <w:pPr>
      <w:suppressAutoHyphens/>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94"/>
    <w:rPr>
      <w:rFonts w:ascii="Segoe UI" w:hAnsi="Segoe UI" w:cs="Segoe UI"/>
      <w:sz w:val="18"/>
      <w:szCs w:val="18"/>
    </w:rPr>
  </w:style>
  <w:style w:type="paragraph" w:styleId="Bibliography">
    <w:name w:val="Bibliography"/>
    <w:basedOn w:val="Normal"/>
    <w:next w:val="Normal"/>
    <w:uiPriority w:val="37"/>
    <w:unhideWhenUsed/>
    <w:rsid w:val="00C734B7"/>
    <w:pPr>
      <w:tabs>
        <w:tab w:val="left" w:pos="264"/>
      </w:tabs>
      <w:spacing w:after="0" w:line="48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A4B1-597B-4F5B-B380-20BB50D5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Katharine</dc:creator>
  <cp:keywords/>
  <dc:description/>
  <cp:lastModifiedBy>Robb, Katharine</cp:lastModifiedBy>
  <cp:revision>2</cp:revision>
  <dcterms:created xsi:type="dcterms:W3CDTF">2021-03-02T14:56:00Z</dcterms:created>
  <dcterms:modified xsi:type="dcterms:W3CDTF">2021-03-02T14:56:00Z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id="jBBAuOdi"/&gt;&lt;style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