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0DEA" w14:textId="1069E5B3" w:rsidR="007F0C25" w:rsidRPr="003C715D" w:rsidRDefault="007F0C25" w:rsidP="007F0C25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3C715D">
        <w:rPr>
          <w:rFonts w:eastAsia="Times New Roman" w:cstheme="minorHAnsi"/>
          <w:b/>
          <w:bCs/>
          <w:color w:val="000000"/>
          <w:sz w:val="24"/>
          <w:szCs w:val="24"/>
        </w:rPr>
        <w:t xml:space="preserve">Table:  </w:t>
      </w:r>
      <w:r w:rsidRPr="003C715D">
        <w:rPr>
          <w:rFonts w:eastAsia="Times New Roman" w:cstheme="minorHAnsi"/>
          <w:color w:val="000000"/>
          <w:sz w:val="24"/>
          <w:szCs w:val="24"/>
        </w:rPr>
        <w:t>County-level sociodemographic characteristics of rural and urban counties in Tennessee, 2018.</w:t>
      </w:r>
      <w:r w:rsidRPr="003C715D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</w:p>
    <w:tbl>
      <w:tblPr>
        <w:tblW w:w="11160" w:type="dxa"/>
        <w:tblInd w:w="-792" w:type="dxa"/>
        <w:tblLook w:val="04A0" w:firstRow="1" w:lastRow="0" w:firstColumn="1" w:lastColumn="0" w:noHBand="0" w:noVBand="1"/>
      </w:tblPr>
      <w:tblGrid>
        <w:gridCol w:w="4634"/>
        <w:gridCol w:w="1345"/>
        <w:gridCol w:w="951"/>
        <w:gridCol w:w="1261"/>
        <w:gridCol w:w="1033"/>
        <w:gridCol w:w="1527"/>
        <w:gridCol w:w="642"/>
      </w:tblGrid>
      <w:tr w:rsidR="007F0C25" w:rsidRPr="003C715D" w14:paraId="1CD8D2D2" w14:textId="77777777" w:rsidTr="007F0C25">
        <w:trPr>
          <w:trHeight w:val="363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8E18CEC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FE7F513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Rural Counties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bottom"/>
            <w:hideMark/>
          </w:tcPr>
          <w:p w14:paraId="30B1D4B6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Urban Counties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13A18DE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Statewide</w:t>
            </w:r>
          </w:p>
        </w:tc>
      </w:tr>
      <w:tr w:rsidR="007F0C25" w:rsidRPr="003C715D" w14:paraId="7A04642E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51C716B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Number of Counties</w:t>
            </w:r>
          </w:p>
        </w:tc>
        <w:tc>
          <w:tcPr>
            <w:tcW w:w="229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14:paraId="6F37F960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vAlign w:val="bottom"/>
            <w:hideMark/>
          </w:tcPr>
          <w:p w14:paraId="5166BA1B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6CFE7CBE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7F0C25" w:rsidRPr="003C715D" w14:paraId="4532A0FA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5842CED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Population (2018)</w:t>
            </w:r>
          </w:p>
        </w:tc>
        <w:tc>
          <w:tcPr>
            <w:tcW w:w="229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bottom"/>
            <w:hideMark/>
          </w:tcPr>
          <w:p w14:paraId="0ABC4F73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1 501 210</w:t>
            </w:r>
          </w:p>
        </w:tc>
        <w:tc>
          <w:tcPr>
            <w:tcW w:w="22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noWrap/>
            <w:vAlign w:val="bottom"/>
            <w:hideMark/>
          </w:tcPr>
          <w:p w14:paraId="7540AFF6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5 149 879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4DAB719E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6 651 089</w:t>
            </w:r>
          </w:p>
        </w:tc>
      </w:tr>
      <w:tr w:rsidR="007F0C25" w:rsidRPr="003C715D" w14:paraId="3D1F609F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25663D9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414B2F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noWrap/>
            <w:vAlign w:val="bottom"/>
            <w:hideMark/>
          </w:tcPr>
          <w:p w14:paraId="6EEE0B42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bottom"/>
            <w:hideMark/>
          </w:tcPr>
          <w:p w14:paraId="3D32E43A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646A6BA5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vAlign w:val="bottom"/>
            <w:hideMark/>
          </w:tcPr>
          <w:p w14:paraId="61B08C54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04683A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F0C25" w:rsidRPr="003C715D" w14:paraId="411BC5F6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7CA8EA6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CF5CCF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Mean </w:t>
            </w:r>
          </w:p>
        </w:tc>
        <w:tc>
          <w:tcPr>
            <w:tcW w:w="951" w:type="dxa"/>
            <w:noWrap/>
            <w:vAlign w:val="center"/>
            <w:hideMark/>
          </w:tcPr>
          <w:p w14:paraId="1E283742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DCB273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Mean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38B6A697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527" w:type="dxa"/>
            <w:noWrap/>
            <w:vAlign w:val="center"/>
            <w:hideMark/>
          </w:tcPr>
          <w:p w14:paraId="5221CD44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CC7E72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SD</w:t>
            </w:r>
          </w:p>
        </w:tc>
      </w:tr>
      <w:tr w:rsidR="007F0C25" w:rsidRPr="003C715D" w14:paraId="7CF848A2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1865398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% ≥65 years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41D744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51" w:type="dxa"/>
            <w:noWrap/>
            <w:vAlign w:val="center"/>
            <w:hideMark/>
          </w:tcPr>
          <w:p w14:paraId="6DEC3EDE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34AB89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4EA55500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527" w:type="dxa"/>
            <w:noWrap/>
            <w:vAlign w:val="center"/>
            <w:hideMark/>
          </w:tcPr>
          <w:p w14:paraId="37BABD9D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08F6FF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3.3</w:t>
            </w:r>
          </w:p>
        </w:tc>
      </w:tr>
      <w:tr w:rsidR="007F0C25" w:rsidRPr="003C715D" w14:paraId="1A497330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C07714D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9279F4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14:paraId="225D5D75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D726D8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42FA2866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vAlign w:val="center"/>
            <w:hideMark/>
          </w:tcPr>
          <w:p w14:paraId="11ECBBAE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1E8C7E5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F0C25" w:rsidRPr="003C715D" w14:paraId="54D2A323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ED4A77F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% Female 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2A6950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50.1</w:t>
            </w:r>
          </w:p>
        </w:tc>
        <w:tc>
          <w:tcPr>
            <w:tcW w:w="951" w:type="dxa"/>
            <w:noWrap/>
            <w:vAlign w:val="center"/>
            <w:hideMark/>
          </w:tcPr>
          <w:p w14:paraId="6916E20D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EAEB35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284E2BF8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527" w:type="dxa"/>
            <w:noWrap/>
            <w:vAlign w:val="center"/>
            <w:hideMark/>
          </w:tcPr>
          <w:p w14:paraId="59F98928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50.4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0FA8FC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2.2</w:t>
            </w:r>
          </w:p>
        </w:tc>
      </w:tr>
      <w:tr w:rsidR="007F0C25" w:rsidRPr="003C715D" w14:paraId="239861E7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FC95C85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% Male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bottom"/>
            <w:hideMark/>
          </w:tcPr>
          <w:p w14:paraId="5AEF15E2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49.9</w:t>
            </w:r>
          </w:p>
        </w:tc>
        <w:tc>
          <w:tcPr>
            <w:tcW w:w="951" w:type="dxa"/>
            <w:noWrap/>
            <w:vAlign w:val="bottom"/>
            <w:hideMark/>
          </w:tcPr>
          <w:p w14:paraId="21276874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bottom"/>
            <w:hideMark/>
          </w:tcPr>
          <w:p w14:paraId="7FDEEC73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2621EE77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527" w:type="dxa"/>
            <w:noWrap/>
            <w:vAlign w:val="bottom"/>
            <w:hideMark/>
          </w:tcPr>
          <w:p w14:paraId="7EC61A47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EB07D6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2.2</w:t>
            </w:r>
          </w:p>
        </w:tc>
      </w:tr>
      <w:tr w:rsidR="007F0C25" w:rsidRPr="003C715D" w14:paraId="522D23B6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7F0A77F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567F0A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14:paraId="4F547C8C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3ADF7F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289D06C5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vAlign w:val="center"/>
            <w:hideMark/>
          </w:tcPr>
          <w:p w14:paraId="2B198251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CA93399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F0C25" w:rsidRPr="003C715D" w14:paraId="6F688D95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8BFE0A0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% White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1915FE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89.9</w:t>
            </w:r>
          </w:p>
        </w:tc>
        <w:tc>
          <w:tcPr>
            <w:tcW w:w="951" w:type="dxa"/>
            <w:noWrap/>
            <w:vAlign w:val="center"/>
            <w:hideMark/>
          </w:tcPr>
          <w:p w14:paraId="316D9022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3F408B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87.3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3C9BE651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527" w:type="dxa"/>
            <w:noWrap/>
            <w:vAlign w:val="center"/>
            <w:hideMark/>
          </w:tcPr>
          <w:p w14:paraId="43DF98C1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88.8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F3EA18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11.3</w:t>
            </w:r>
          </w:p>
        </w:tc>
      </w:tr>
      <w:tr w:rsidR="007F0C25" w:rsidRPr="003C715D" w14:paraId="63B0CBB1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90C7881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% Black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77AB95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51" w:type="dxa"/>
            <w:noWrap/>
            <w:vAlign w:val="center"/>
            <w:hideMark/>
          </w:tcPr>
          <w:p w14:paraId="1FFE27E1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744CB7C7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3E3353B7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527" w:type="dxa"/>
            <w:noWrap/>
            <w:vAlign w:val="center"/>
            <w:hideMark/>
          </w:tcPr>
          <w:p w14:paraId="521F6839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EE3D42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10.6</w:t>
            </w:r>
          </w:p>
        </w:tc>
      </w:tr>
      <w:tr w:rsidR="007F0C25" w:rsidRPr="003C715D" w14:paraId="7D58530C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083206B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% Other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7F578E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51" w:type="dxa"/>
            <w:noWrap/>
            <w:vAlign w:val="center"/>
            <w:hideMark/>
          </w:tcPr>
          <w:p w14:paraId="5D4E9C47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CE4AC0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2416845D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27" w:type="dxa"/>
            <w:noWrap/>
            <w:vAlign w:val="center"/>
            <w:hideMark/>
          </w:tcPr>
          <w:p w14:paraId="0EE0AABF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031563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1.7</w:t>
            </w:r>
          </w:p>
        </w:tc>
      </w:tr>
      <w:tr w:rsidR="007F0C25" w:rsidRPr="003C715D" w14:paraId="2E90A41E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076FCA1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C67D56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14:paraId="6CC325B4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8A65F3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7975E2FB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vAlign w:val="center"/>
            <w:hideMark/>
          </w:tcPr>
          <w:p w14:paraId="3A91B0DE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23B0DE4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F0C25" w:rsidRPr="003C715D" w14:paraId="6B17EE3B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DF4E6E4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% Hispanic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4AC16C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51" w:type="dxa"/>
            <w:noWrap/>
            <w:vAlign w:val="center"/>
            <w:hideMark/>
          </w:tcPr>
          <w:p w14:paraId="49EB2B2B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E3EFC7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0C72995C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527" w:type="dxa"/>
            <w:noWrap/>
            <w:vAlign w:val="center"/>
            <w:hideMark/>
          </w:tcPr>
          <w:p w14:paraId="23721FC3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393E4D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2.5</w:t>
            </w:r>
          </w:p>
        </w:tc>
      </w:tr>
      <w:tr w:rsidR="007F0C25" w:rsidRPr="003C715D" w14:paraId="2A8B0F0D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01B3AC2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Comorbidities </w:t>
            </w: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A9D88C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14:paraId="31E57C47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4BDD8EBA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0DB954BC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vAlign w:val="center"/>
            <w:hideMark/>
          </w:tcPr>
          <w:p w14:paraId="19F457A3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D2C98D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F0C25" w:rsidRPr="003C715D" w14:paraId="77646201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3CD1D9F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% Obesity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F62391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51" w:type="dxa"/>
            <w:noWrap/>
            <w:vAlign w:val="center"/>
            <w:hideMark/>
          </w:tcPr>
          <w:p w14:paraId="23BF6478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7E0D90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7EDB091A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27" w:type="dxa"/>
            <w:noWrap/>
            <w:vAlign w:val="center"/>
            <w:hideMark/>
          </w:tcPr>
          <w:p w14:paraId="33F928B4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89B42F3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2.9</w:t>
            </w:r>
          </w:p>
        </w:tc>
      </w:tr>
      <w:tr w:rsidR="007F0C25" w:rsidRPr="003C715D" w14:paraId="79F33873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110B8C5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% Hypertension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8D59DF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51" w:type="dxa"/>
            <w:noWrap/>
            <w:vAlign w:val="center"/>
            <w:hideMark/>
          </w:tcPr>
          <w:p w14:paraId="1EBDA6F7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BB1B3C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6110ADE7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527" w:type="dxa"/>
            <w:noWrap/>
            <w:vAlign w:val="center"/>
            <w:hideMark/>
          </w:tcPr>
          <w:p w14:paraId="57EC6057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38D940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3.4</w:t>
            </w:r>
          </w:p>
        </w:tc>
      </w:tr>
      <w:tr w:rsidR="007F0C25" w:rsidRPr="003C715D" w14:paraId="58F82EB5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2C98992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% Diabetes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AF47D6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951" w:type="dxa"/>
            <w:noWrap/>
            <w:vAlign w:val="center"/>
            <w:hideMark/>
          </w:tcPr>
          <w:p w14:paraId="47638D26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2AC250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706D479C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27" w:type="dxa"/>
            <w:noWrap/>
            <w:vAlign w:val="center"/>
            <w:hideMark/>
          </w:tcPr>
          <w:p w14:paraId="2B610FA1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5A152F4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1.8</w:t>
            </w:r>
          </w:p>
        </w:tc>
      </w:tr>
      <w:tr w:rsidR="007F0C25" w:rsidRPr="003C715D" w14:paraId="0C83D93E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424CE50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0BB6DE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14:paraId="03733A65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93DCB3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2186BF15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vAlign w:val="center"/>
            <w:hideMark/>
          </w:tcPr>
          <w:p w14:paraId="495D4C70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4A4D4A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F0C25" w:rsidRPr="003C715D" w14:paraId="52B33E1F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931CC55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SVI Percentile </w:t>
            </w: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78A42F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51" w:type="dxa"/>
            <w:noWrap/>
            <w:vAlign w:val="center"/>
            <w:hideMark/>
          </w:tcPr>
          <w:p w14:paraId="1D3F679B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76788E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6FFBB1DB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27" w:type="dxa"/>
            <w:noWrap/>
            <w:vAlign w:val="center"/>
            <w:hideMark/>
          </w:tcPr>
          <w:p w14:paraId="25E30955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E9D594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0.2</w:t>
            </w:r>
          </w:p>
        </w:tc>
      </w:tr>
      <w:tr w:rsidR="007F0C25" w:rsidRPr="003C715D" w14:paraId="7E445E88" w14:textId="77777777" w:rsidTr="007F0C25">
        <w:trPr>
          <w:trHeight w:val="292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162FD4F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9C9592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noWrap/>
            <w:vAlign w:val="center"/>
            <w:hideMark/>
          </w:tcPr>
          <w:p w14:paraId="4B22BBA9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861006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  <w:hideMark/>
          </w:tcPr>
          <w:p w14:paraId="4821708C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vAlign w:val="center"/>
            <w:hideMark/>
          </w:tcPr>
          <w:p w14:paraId="45E797CE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0B797B8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F0C25" w:rsidRPr="003C715D" w14:paraId="121109FA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FEB8ECE" w14:textId="77777777" w:rsidR="007F0C25" w:rsidRPr="003C715D" w:rsidRDefault="007F0C25" w:rsidP="003171B5">
            <w:pPr>
              <w:spacing w:line="480" w:lineRule="auto"/>
              <w:rPr>
                <w:rFonts w:eastAsia="Times New Roman" w:cstheme="minorHAnsi"/>
                <w:b/>
                <w:bCs/>
                <w:color w:val="161616"/>
                <w:sz w:val="24"/>
                <w:szCs w:val="24"/>
                <w:vertAlign w:val="superscript"/>
              </w:rPr>
            </w:pPr>
            <w:r w:rsidRPr="003C715D">
              <w:rPr>
                <w:rFonts w:eastAsia="Times New Roman" w:cstheme="minorHAnsi"/>
                <w:b/>
                <w:bCs/>
                <w:color w:val="161616"/>
                <w:sz w:val="24"/>
                <w:szCs w:val="24"/>
              </w:rPr>
              <w:t xml:space="preserve">HPSA Score </w:t>
            </w:r>
            <w:r w:rsidRPr="003C715D">
              <w:rPr>
                <w:rFonts w:eastAsia="Times New Roman" w:cstheme="minorHAnsi"/>
                <w:b/>
                <w:bCs/>
                <w:color w:val="161616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D23101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51" w:type="dxa"/>
            <w:noWrap/>
            <w:vAlign w:val="center"/>
            <w:hideMark/>
          </w:tcPr>
          <w:p w14:paraId="5CAEC7BB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313F01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544ADCAF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7" w:type="dxa"/>
            <w:noWrap/>
            <w:vAlign w:val="center"/>
            <w:hideMark/>
          </w:tcPr>
          <w:p w14:paraId="5700FED0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3C5836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F0C25" w:rsidRPr="003C715D" w14:paraId="3F149201" w14:textId="77777777" w:rsidTr="007F0C25">
        <w:trPr>
          <w:trHeight w:val="303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2B8870D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None of county in shortage area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21BF48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14:paraId="65B42AE2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4BDE1883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225F2F76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527" w:type="dxa"/>
            <w:noWrap/>
            <w:vAlign w:val="center"/>
            <w:hideMark/>
          </w:tcPr>
          <w:p w14:paraId="38AC7B7D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C0A3809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3.2</w:t>
            </w:r>
          </w:p>
        </w:tc>
      </w:tr>
      <w:tr w:rsidR="007F0C25" w:rsidRPr="003C715D" w14:paraId="7174766E" w14:textId="77777777" w:rsidTr="007F0C25">
        <w:trPr>
          <w:trHeight w:val="318"/>
        </w:trPr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331F6F3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One or more parts in shortage area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DB7FCC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51" w:type="dxa"/>
            <w:noWrap/>
            <w:vAlign w:val="center"/>
            <w:hideMark/>
          </w:tcPr>
          <w:p w14:paraId="45C2A5CD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5F8A81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07515953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1527" w:type="dxa"/>
            <w:noWrap/>
            <w:vAlign w:val="center"/>
            <w:hideMark/>
          </w:tcPr>
          <w:p w14:paraId="56DC6C30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2F5FA0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75.8</w:t>
            </w:r>
          </w:p>
        </w:tc>
      </w:tr>
      <w:tr w:rsidR="007F0C25" w:rsidRPr="003C715D" w14:paraId="124BEFC6" w14:textId="77777777" w:rsidTr="007F0C25">
        <w:trPr>
          <w:trHeight w:val="318"/>
        </w:trPr>
        <w:tc>
          <w:tcPr>
            <w:tcW w:w="4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BF05D17" w14:textId="77777777" w:rsidR="007F0C25" w:rsidRPr="003C715D" w:rsidRDefault="007F0C25" w:rsidP="003171B5">
            <w:pPr>
              <w:spacing w:line="480" w:lineRule="auto"/>
              <w:ind w:firstLineChars="100" w:firstLin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Whole county designated shortage area</w:t>
            </w:r>
          </w:p>
        </w:tc>
        <w:tc>
          <w:tcPr>
            <w:tcW w:w="1345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F2FEA09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323B55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26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E1ADA42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77340086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104F9C3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EE62AA" w14:textId="77777777" w:rsidR="007F0C25" w:rsidRPr="003C715D" w:rsidRDefault="007F0C25" w:rsidP="003171B5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715D">
              <w:rPr>
                <w:rFonts w:eastAsia="Times New Roman" w:cstheme="minorHAnsi"/>
                <w:color w:val="000000"/>
                <w:sz w:val="24"/>
                <w:szCs w:val="24"/>
              </w:rPr>
              <w:t>21.1</w:t>
            </w:r>
          </w:p>
        </w:tc>
      </w:tr>
    </w:tbl>
    <w:p w14:paraId="063A3482" w14:textId="77777777" w:rsidR="007F0C25" w:rsidRPr="003C715D" w:rsidRDefault="007F0C25" w:rsidP="007F0C25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3C715D">
        <w:rPr>
          <w:rFonts w:eastAsia="Times New Roman" w:cstheme="minorHAnsi"/>
          <w:color w:val="000000"/>
          <w:sz w:val="24"/>
          <w:szCs w:val="24"/>
        </w:rPr>
        <w:t>SD: Standard Deviation; IQR: Interquartile Range</w:t>
      </w:r>
    </w:p>
    <w:p w14:paraId="01FD0DD6" w14:textId="77777777" w:rsidR="007F0C25" w:rsidRPr="003C715D" w:rsidRDefault="007F0C25" w:rsidP="007F0C25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3C715D">
        <w:rPr>
          <w:rFonts w:cstheme="minorHAnsi"/>
          <w:sz w:val="24"/>
          <w:szCs w:val="24"/>
          <w:vertAlign w:val="superscript"/>
        </w:rPr>
        <w:t xml:space="preserve">a </w:t>
      </w:r>
      <w:r w:rsidRPr="003C715D">
        <w:rPr>
          <w:rFonts w:cstheme="minorHAnsi"/>
          <w:sz w:val="24"/>
          <w:szCs w:val="24"/>
        </w:rPr>
        <w:t xml:space="preserve">Tennessee county-level sociodemographic and health data from publicly available datasets: Agency for Healthcare Research and Quality Social Determinants of Health, PLACES: Local Data for Better Health County Data, and the US Census Bureau. </w:t>
      </w:r>
    </w:p>
    <w:p w14:paraId="64087D77" w14:textId="77777777" w:rsidR="007F0C25" w:rsidRPr="003C715D" w:rsidRDefault="007F0C25" w:rsidP="007F0C25">
      <w:pPr>
        <w:spacing w:line="480" w:lineRule="auto"/>
        <w:rPr>
          <w:rFonts w:eastAsia="Times New Roman" w:cstheme="minorHAnsi"/>
          <w:color w:val="000000"/>
          <w:sz w:val="24"/>
          <w:szCs w:val="24"/>
          <w:vertAlign w:val="superscript"/>
        </w:rPr>
      </w:pPr>
      <w:r w:rsidRPr="003C715D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b </w:t>
      </w:r>
      <w:r w:rsidRPr="003C715D">
        <w:rPr>
          <w:rFonts w:eastAsia="Times New Roman" w:cstheme="minorHAnsi"/>
          <w:color w:val="000000"/>
          <w:sz w:val="24"/>
          <w:szCs w:val="24"/>
        </w:rPr>
        <w:t xml:space="preserve">Individuals may have reported more than one comorbidity, percentages will not sum to 100%. </w:t>
      </w:r>
      <w:r w:rsidRPr="003C715D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 </w:t>
      </w:r>
    </w:p>
    <w:p w14:paraId="34C23D50" w14:textId="77777777" w:rsidR="007F0C25" w:rsidRPr="003C715D" w:rsidRDefault="007F0C25" w:rsidP="007F0C25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3C715D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c </w:t>
      </w:r>
      <w:r w:rsidRPr="003C715D">
        <w:rPr>
          <w:rFonts w:eastAsia="Times New Roman" w:cstheme="minorHAnsi"/>
          <w:color w:val="000000"/>
          <w:sz w:val="24"/>
          <w:szCs w:val="24"/>
        </w:rPr>
        <w:t>SVI: Social Vulnerability Index; Percentile ranking uses TN census tracts ranked against the entre US based on percentiles from 0-1, where higher value indicates greater vulnerability.</w:t>
      </w:r>
    </w:p>
    <w:p w14:paraId="1AB6F2F1" w14:textId="77777777" w:rsidR="007F0C25" w:rsidRPr="003C715D" w:rsidRDefault="007F0C25" w:rsidP="007F0C25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3C715D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d </w:t>
      </w:r>
      <w:r w:rsidRPr="003C715D">
        <w:rPr>
          <w:rFonts w:eastAsia="Times New Roman" w:cstheme="minorHAnsi"/>
          <w:color w:val="000000"/>
          <w:sz w:val="24"/>
          <w:szCs w:val="24"/>
        </w:rPr>
        <w:t>HPSA: Health Professional Shortage Area; HPSA ranking scores included one of three options:</w:t>
      </w:r>
    </w:p>
    <w:p w14:paraId="7792C8F6" w14:textId="77777777" w:rsidR="007F0C25" w:rsidRPr="003C715D" w:rsidRDefault="007F0C25" w:rsidP="007F0C25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3C715D">
        <w:rPr>
          <w:rFonts w:eastAsia="Times New Roman" w:cstheme="minorHAnsi"/>
          <w:color w:val="000000"/>
          <w:sz w:val="24"/>
          <w:szCs w:val="24"/>
        </w:rPr>
        <w:t>None of the county designated as a shortage area, whole county designated as a shortage area, or one or more parts of the county designated as shortage area.</w:t>
      </w:r>
    </w:p>
    <w:p w14:paraId="6ED13390" w14:textId="4B52B11C" w:rsidR="004E6D09" w:rsidRDefault="00D649B8" w:rsidP="00223EF4">
      <w:pPr>
        <w:spacing w:line="480" w:lineRule="auto"/>
      </w:pPr>
    </w:p>
    <w:sectPr w:rsidR="004E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25"/>
    <w:rsid w:val="00223EF4"/>
    <w:rsid w:val="00334670"/>
    <w:rsid w:val="00543F29"/>
    <w:rsid w:val="007F0C25"/>
    <w:rsid w:val="00853B34"/>
    <w:rsid w:val="00A11228"/>
    <w:rsid w:val="00AF3E3B"/>
    <w:rsid w:val="00D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D35D"/>
  <w15:chartTrackingRefBased/>
  <w15:docId w15:val="{0D1412C4-68B9-48D8-A8B8-9846F958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Grome</dc:creator>
  <cp:keywords/>
  <dc:description/>
  <cp:lastModifiedBy>Heather Grome</cp:lastModifiedBy>
  <cp:revision>3</cp:revision>
  <dcterms:created xsi:type="dcterms:W3CDTF">2021-11-01T16:44:00Z</dcterms:created>
  <dcterms:modified xsi:type="dcterms:W3CDTF">2021-12-15T17:06:00Z</dcterms:modified>
</cp:coreProperties>
</file>