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C9E69" w14:textId="77777777" w:rsidR="00AA6008" w:rsidRPr="009631A5" w:rsidRDefault="00AA6008" w:rsidP="00AA6008">
      <w:pPr>
        <w:rPr>
          <w:b/>
          <w:bCs/>
        </w:rPr>
      </w:pPr>
      <w:bookmarkStart w:id="0" w:name="_GoBack"/>
      <w:bookmarkEnd w:id="0"/>
      <w:r>
        <w:rPr>
          <w:b/>
          <w:bCs/>
        </w:rPr>
        <w:t>Technical Appendix: Formal Models</w:t>
      </w:r>
    </w:p>
    <w:p w14:paraId="5545C6EF" w14:textId="77777777" w:rsidR="00AA6008" w:rsidRDefault="00AA6008" w:rsidP="00AA6008">
      <w:r>
        <w:t>Notation: i subscript for county, t subscript for day</w:t>
      </w:r>
    </w:p>
    <w:p w14:paraId="70ED9FC7" w14:textId="77777777" w:rsidR="00AA6008" w:rsidRDefault="00AA6008" w:rsidP="00AA6008">
      <w:r>
        <w:t>Model: Difference-in-Difference</w:t>
      </w:r>
    </w:p>
    <w:p w14:paraId="67179724" w14:textId="77777777" w:rsidR="00AA6008" w:rsidRDefault="00D11B93" w:rsidP="00AA6008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</w:rPr>
          <m:t xml:space="preserve">+ </m:t>
        </m:r>
        <m:r>
          <m:rPr>
            <m:sty m:val="p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</w:rPr>
          <m:t xml:space="preserve"> </m:t>
        </m:r>
      </m:oMath>
    </w:p>
    <w:p w14:paraId="0F0E380B" w14:textId="77777777" w:rsidR="00AA6008" w:rsidRDefault="00AA6008" w:rsidP="00AA6008">
      <w:pPr>
        <w:pStyle w:val="ListParagraph"/>
        <w:rPr>
          <w:rFonts w:eastAsiaTheme="minorEastAsia"/>
        </w:rPr>
      </w:pPr>
    </w:p>
    <w:p w14:paraId="2F88AA0E" w14:textId="77777777" w:rsidR="00AA6008" w:rsidRPr="00C31766" w:rsidRDefault="00D11B93" w:rsidP="00AA6008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</w:rPr>
          <m:t xml:space="preserve">+ </m:t>
        </m:r>
        <m:r>
          <m:rPr>
            <m:sty m:val="p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</w:rPr>
          <m:t xml:space="preserve"> </m:t>
        </m:r>
      </m:oMath>
    </w:p>
    <w:p w14:paraId="28F0AD6F" w14:textId="77777777" w:rsidR="00AA6008" w:rsidRDefault="00AA6008" w:rsidP="00AA6008"/>
    <w:p w14:paraId="343A46B4" w14:textId="77777777" w:rsidR="00AA6008" w:rsidRDefault="00AA6008" w:rsidP="00AA6008">
      <w:r>
        <w:t xml:space="preserve">Model: Event Study </w:t>
      </w:r>
    </w:p>
    <w:p w14:paraId="3AB736E4" w14:textId="77777777" w:rsidR="00AA6008" w:rsidRDefault="00D11B93" w:rsidP="00AA6008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-3</m:t>
            </m:r>
          </m:sup>
        </m:sSubSup>
        <m:r>
          <w:rPr>
            <w:rFonts w:ascii="Cambria Math" w:hAnsi="Cambria Math"/>
          </w:rPr>
          <m:t xml:space="preserve"> 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-2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hAnsi="Cambria Math"/>
          </w:rPr>
          <m:t xml:space="preserve"> 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 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 xml:space="preserve"> 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  <m:r>
          <w:rPr>
            <w:rFonts w:ascii="Cambria Math" w:hAnsi="Cambria Math"/>
          </w:rPr>
          <m:t xml:space="preserve"> 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5</m:t>
            </m:r>
          </m:sup>
        </m:sSubSup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</w:rPr>
          <m:t xml:space="preserve"> </m:t>
        </m:r>
      </m:oMath>
    </w:p>
    <w:p w14:paraId="21C197F4" w14:textId="77777777" w:rsidR="00AA6008" w:rsidRDefault="00AA6008" w:rsidP="00AA6008">
      <w:pPr>
        <w:pStyle w:val="ListParagraph"/>
        <w:rPr>
          <w:rFonts w:eastAsiaTheme="minorEastAsia"/>
        </w:rPr>
      </w:pPr>
    </w:p>
    <w:p w14:paraId="1AEF3E4A" w14:textId="77777777" w:rsidR="00AA6008" w:rsidRPr="00D975AD" w:rsidRDefault="00D11B93" w:rsidP="00AA6008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-3</m:t>
            </m:r>
          </m:sup>
        </m:sSubSup>
        <m:r>
          <w:rPr>
            <w:rFonts w:ascii="Cambria Math" w:hAnsi="Cambria Math"/>
          </w:rPr>
          <m:t xml:space="preserve"> 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-2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hAnsi="Cambria Math"/>
          </w:rPr>
          <m:t xml:space="preserve"> 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 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 xml:space="preserve"> 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  <m:r>
          <w:rPr>
            <w:rFonts w:ascii="Cambria Math" w:hAnsi="Cambria Math"/>
          </w:rPr>
          <m:t xml:space="preserve"> 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5</m:t>
            </m:r>
          </m:sup>
        </m:sSubSup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</w:rPr>
          <m:t xml:space="preserve"> </m:t>
        </m:r>
      </m:oMath>
    </w:p>
    <w:p w14:paraId="67355DC5" w14:textId="77777777" w:rsidR="00AA6008" w:rsidRDefault="00AA6008" w:rsidP="00AA6008">
      <w:pPr>
        <w:rPr>
          <w:rFonts w:eastAsiaTheme="minorEastAsia"/>
        </w:rPr>
      </w:pPr>
      <w:r>
        <w:rPr>
          <w:rFonts w:eastAsiaTheme="minorEastAsia"/>
        </w:rPr>
        <w:t>Where,</w:t>
      </w:r>
    </w:p>
    <w:p w14:paraId="055B33F3" w14:textId="77777777" w:rsidR="00AA6008" w:rsidRDefault="00D11B93" w:rsidP="00AA6008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="00AA6008">
        <w:rPr>
          <w:rFonts w:eastAsiaTheme="minorEastAsia"/>
        </w:rPr>
        <w:t xml:space="preserve"> is the number of inpatient beds occupied by a patient with COVID-19 per 100,000 individuals on day t, in county i</w:t>
      </w:r>
    </w:p>
    <w:p w14:paraId="16E49B8A" w14:textId="77777777" w:rsidR="00AA6008" w:rsidRDefault="00D11B93" w:rsidP="00AA6008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="00AA6008">
        <w:rPr>
          <w:rFonts w:eastAsiaTheme="minorEastAsia"/>
        </w:rPr>
        <w:t xml:space="preserve"> is the % of inpatient beds in county i occupied with COVID-19 patients on day t</w:t>
      </w:r>
    </w:p>
    <w:p w14:paraId="5B2FC1B1" w14:textId="77777777" w:rsidR="00AA6008" w:rsidRPr="009631A5" w:rsidRDefault="00D11B93" w:rsidP="00AA6008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="00AA6008">
        <w:rPr>
          <w:rFonts w:eastAsiaTheme="minorEastAsia"/>
        </w:rPr>
        <w:t xml:space="preserve"> is equal to 1 if county i was subject to a mask mandate on day t, 0 otherwise </w:t>
      </w:r>
    </w:p>
    <w:p w14:paraId="522684DB" w14:textId="77777777" w:rsidR="00AA6008" w:rsidRDefault="00D11B93" w:rsidP="00AA6008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-3</m:t>
            </m:r>
          </m:sup>
        </m:sSubSup>
      </m:oMath>
      <w:r w:rsidR="00AA6008">
        <w:rPr>
          <w:rFonts w:eastAsiaTheme="minorEastAsia"/>
        </w:rPr>
        <w:t xml:space="preserve"> is equal to 1 if day t is 29-42 days before county i was subject to a mask mandate, 0 otherwise</w:t>
      </w:r>
    </w:p>
    <w:p w14:paraId="2AC3B26E" w14:textId="77777777" w:rsidR="00AA6008" w:rsidRPr="00750227" w:rsidRDefault="00D11B93" w:rsidP="00AA6008"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-2</m:t>
            </m:r>
          </m:sup>
        </m:sSubSup>
      </m:oMath>
      <w:r w:rsidR="00AA6008">
        <w:rPr>
          <w:rFonts w:eastAsiaTheme="minorEastAsia"/>
        </w:rPr>
        <w:t xml:space="preserve"> is equal to 1 if day t is 15-28 days before county i was subject to a mask mandate, 0 otherwise</w:t>
      </w:r>
    </w:p>
    <w:p w14:paraId="30A0FCE1" w14:textId="77777777" w:rsidR="00AA6008" w:rsidRPr="00750227" w:rsidRDefault="00D11B93" w:rsidP="00AA6008"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 w:rsidR="00AA6008">
        <w:rPr>
          <w:rFonts w:eastAsiaTheme="minorEastAsia"/>
        </w:rPr>
        <w:t xml:space="preserve"> is equal to 1 if day t is 0-14 days after county i was subject to a mask mandate, 0 otherwise</w:t>
      </w:r>
    </w:p>
    <w:p w14:paraId="2B121231" w14:textId="77777777" w:rsidR="00AA6008" w:rsidRPr="00750227" w:rsidRDefault="00D11B93" w:rsidP="00AA6008"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AA6008">
        <w:rPr>
          <w:rFonts w:eastAsiaTheme="minorEastAsia"/>
        </w:rPr>
        <w:t xml:space="preserve"> is equal to 1 if day t is 15-28 days after county i was subject to a mask mandate, 0 otherwise</w:t>
      </w:r>
    </w:p>
    <w:p w14:paraId="6F509C18" w14:textId="77777777" w:rsidR="00AA6008" w:rsidRPr="00750227" w:rsidRDefault="00D11B93" w:rsidP="00AA6008"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="00AA6008">
        <w:rPr>
          <w:rFonts w:eastAsiaTheme="minorEastAsia"/>
        </w:rPr>
        <w:t xml:space="preserve"> is equal to 1 if day t is 29-42 days after county i was subject to a mask mandate, 0 otherwise</w:t>
      </w:r>
    </w:p>
    <w:p w14:paraId="02812AB3" w14:textId="77777777" w:rsidR="00AA6008" w:rsidRPr="00750227" w:rsidRDefault="00D11B93" w:rsidP="00AA6008"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</m:oMath>
      <w:r w:rsidR="00AA6008">
        <w:rPr>
          <w:rFonts w:eastAsiaTheme="minorEastAsia"/>
        </w:rPr>
        <w:t xml:space="preserve"> is equal to 1 if day t is 43-56 days after county i was subject to a mask mandate, 0 otherwise</w:t>
      </w:r>
    </w:p>
    <w:p w14:paraId="304FD0BF" w14:textId="77777777" w:rsidR="00AA6008" w:rsidRDefault="00D11B93" w:rsidP="00AA6008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5</m:t>
            </m:r>
          </m:sup>
        </m:sSubSup>
      </m:oMath>
      <w:r w:rsidR="00AA6008">
        <w:rPr>
          <w:rFonts w:eastAsiaTheme="minorEastAsia"/>
        </w:rPr>
        <w:t xml:space="preserve"> is equal to 1 if day t is 57-70 days after county i was subject to a mask mandate, 0 otherwise</w:t>
      </w:r>
    </w:p>
    <w:p w14:paraId="01080051" w14:textId="77777777" w:rsidR="00AA6008" w:rsidRDefault="00D11B93" w:rsidP="00AA6008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="00AA6008">
        <w:rPr>
          <w:rFonts w:eastAsiaTheme="minorEastAsia"/>
        </w:rPr>
        <w:t xml:space="preserve"> includes additional policy covariates for county i at time t (includes gathering bans, stay-at-home orders, restaurant closures, bar closures (note these are individual dummy variables for each policy).</w:t>
      </w:r>
    </w:p>
    <w:p w14:paraId="2B00CE23" w14:textId="77777777" w:rsidR="00AA6008" w:rsidRPr="00750227" w:rsidRDefault="00D11B93" w:rsidP="00AA6008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AA6008">
        <w:rPr>
          <w:rFonts w:eastAsiaTheme="minorEastAsia"/>
        </w:rPr>
        <w:t xml:space="preserve"> are county fixed effects</w:t>
      </w:r>
    </w:p>
    <w:p w14:paraId="58F0DCB9" w14:textId="77777777" w:rsidR="00AA6008" w:rsidRDefault="00D11B93" w:rsidP="00AA6008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AA6008">
        <w:rPr>
          <w:rFonts w:eastAsiaTheme="minorEastAsia"/>
        </w:rPr>
        <w:t xml:space="preserve"> are day fixed effects</w:t>
      </w:r>
    </w:p>
    <w:p w14:paraId="2B50798A" w14:textId="77777777" w:rsidR="00AA6008" w:rsidRDefault="00D11B93" w:rsidP="00AA6008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="00AA6008">
        <w:rPr>
          <w:rFonts w:eastAsiaTheme="minorEastAsia"/>
        </w:rPr>
        <w:t xml:space="preserve"> is the error term</w:t>
      </w:r>
    </w:p>
    <w:p w14:paraId="49537A80" w14:textId="01A6E427" w:rsidR="00AA6008" w:rsidRDefault="00AA6008" w:rsidP="00AA6008">
      <w:pPr>
        <w:rPr>
          <w:rFonts w:eastAsiaTheme="minorEastAsia"/>
        </w:rPr>
      </w:pPr>
      <w:r>
        <w:rPr>
          <w:rFonts w:eastAsiaTheme="minorEastAsia"/>
        </w:rPr>
        <w:t xml:space="preserve">Note: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  <m:sup>
            <m:r>
              <w:rPr>
                <w:rFonts w:ascii="Cambria Math" w:hAnsi="Cambria Math"/>
              </w:rPr>
              <m:t>-1</m:t>
            </m:r>
          </m:sup>
        </m:sSubSup>
      </m:oMath>
      <w:r>
        <w:rPr>
          <w:rFonts w:eastAsiaTheme="minorEastAsia"/>
        </w:rPr>
        <w:t xml:space="preserve"> left out as reference period in event study models (1-14 days before mask implementation). Analyses were also conducted at the H</w:t>
      </w:r>
      <w:r w:rsidR="006A3003">
        <w:rPr>
          <w:rFonts w:eastAsiaTheme="minorEastAsia"/>
        </w:rPr>
        <w:t>ospital</w:t>
      </w:r>
      <w:r>
        <w:rPr>
          <w:rFonts w:eastAsiaTheme="minorEastAsia"/>
        </w:rPr>
        <w:t xml:space="preserve"> Referral Region level in addition to county-level. </w:t>
      </w:r>
    </w:p>
    <w:p w14:paraId="228F5266" w14:textId="77777777" w:rsidR="00AA6008" w:rsidRPr="00235F02" w:rsidRDefault="00AA6008" w:rsidP="00AA6008"/>
    <w:p w14:paraId="388BA5D3" w14:textId="77777777" w:rsidR="00855CF3" w:rsidRDefault="00855CF3"/>
    <w:sectPr w:rsidR="00855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C4A1C" w14:textId="77777777" w:rsidR="00D11B93" w:rsidRDefault="00D11B93" w:rsidP="00AA6008">
      <w:pPr>
        <w:spacing w:after="0" w:line="240" w:lineRule="auto"/>
      </w:pPr>
      <w:r>
        <w:separator/>
      </w:r>
    </w:p>
  </w:endnote>
  <w:endnote w:type="continuationSeparator" w:id="0">
    <w:p w14:paraId="53F0721D" w14:textId="77777777" w:rsidR="00D11B93" w:rsidRDefault="00D11B93" w:rsidP="00AA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B315C" w14:textId="77777777" w:rsidR="005679F8" w:rsidRDefault="00D11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198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6AD0F" w14:textId="77777777" w:rsidR="006C091D" w:rsidRDefault="00AA6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A197A" w14:textId="77777777" w:rsidR="005679F8" w:rsidRDefault="00D11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8182" w14:textId="77777777" w:rsidR="005679F8" w:rsidRDefault="00D11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241BF" w14:textId="77777777" w:rsidR="00D11B93" w:rsidRDefault="00D11B93" w:rsidP="00AA6008">
      <w:pPr>
        <w:spacing w:after="0" w:line="240" w:lineRule="auto"/>
      </w:pPr>
      <w:r>
        <w:separator/>
      </w:r>
    </w:p>
  </w:footnote>
  <w:footnote w:type="continuationSeparator" w:id="0">
    <w:p w14:paraId="3362CB59" w14:textId="77777777" w:rsidR="00D11B93" w:rsidRDefault="00D11B93" w:rsidP="00AA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DAFC" w14:textId="77777777" w:rsidR="005679F8" w:rsidRDefault="00D11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C1E2" w14:textId="77777777" w:rsidR="005679F8" w:rsidRDefault="00D11B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A7F8A" w14:textId="77777777" w:rsidR="005679F8" w:rsidRDefault="00D11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B4749"/>
    <w:multiLevelType w:val="hybridMultilevel"/>
    <w:tmpl w:val="9C18B7A4"/>
    <w:lvl w:ilvl="0" w:tplc="90C66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08"/>
    <w:rsid w:val="00666190"/>
    <w:rsid w:val="006A3003"/>
    <w:rsid w:val="00855CF3"/>
    <w:rsid w:val="00AA6008"/>
    <w:rsid w:val="00D11B93"/>
    <w:rsid w:val="00D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C6C9F"/>
  <w15:chartTrackingRefBased/>
  <w15:docId w15:val="{5E08568F-081A-40E1-B9E0-A8802D1C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08"/>
  </w:style>
  <w:style w:type="paragraph" w:styleId="Footer">
    <w:name w:val="footer"/>
    <w:basedOn w:val="Normal"/>
    <w:link w:val="FooterChar"/>
    <w:uiPriority w:val="99"/>
    <w:unhideWhenUsed/>
    <w:rsid w:val="00AA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08"/>
  </w:style>
  <w:style w:type="paragraph" w:styleId="ListParagraph">
    <w:name w:val="List Paragraph"/>
    <w:basedOn w:val="Normal"/>
    <w:uiPriority w:val="34"/>
    <w:qFormat/>
    <w:rsid w:val="00AA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Dunphy, Christopher (CDC/DDNID/NCIPC/DIP)</dc:creator>
  <cp:keywords/>
  <dc:description/>
  <cp:lastModifiedBy>Umesh Singh1</cp:lastModifiedBy>
  <cp:revision>4</cp:revision>
  <dcterms:created xsi:type="dcterms:W3CDTF">2022-05-31T13:57:00Z</dcterms:created>
  <dcterms:modified xsi:type="dcterms:W3CDTF">2022-06-16T21:22:00Z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2022-05-31T13:57:37Z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800413c2-75a9-444b-a1c6-f32757b81d0c</vt:lpwstr>
  </property>
  <property fmtid="{D5CDD505-2E9C-101B-9397-08002B2CF9AE}" pid="8" name="MSIP_Label_7b94a7b8-f06c-4dfe-bdcc-9b548fd58c31_ContentBits">
    <vt:lpwstr>0</vt:lpwstr>
  </property>
</Properties>
</file>