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EA68" w14:textId="2B516941" w:rsidR="00927C84" w:rsidRPr="00B46D33" w:rsidRDefault="00927C84" w:rsidP="00927C84">
      <w:pPr>
        <w:rPr>
          <w:rFonts w:asciiTheme="minorHAnsi" w:hAnsiTheme="minorHAnsi" w:cstheme="minorHAnsi"/>
          <w:b/>
          <w:sz w:val="22"/>
          <w:szCs w:val="22"/>
          <w:lang w:val="en-GB"/>
        </w:rPr>
      </w:pPr>
      <w:r w:rsidRPr="00B46D33">
        <w:rPr>
          <w:rFonts w:asciiTheme="minorHAnsi" w:hAnsiTheme="minorHAnsi" w:cstheme="minorHAnsi"/>
          <w:b/>
          <w:sz w:val="22"/>
          <w:szCs w:val="22"/>
          <w:lang w:val="en-GB"/>
        </w:rPr>
        <w:t>Supplementary file 1. Description of the included studies</w:t>
      </w:r>
      <w:r w:rsidR="00B46D33" w:rsidRPr="00B46D33">
        <w:rPr>
          <w:rFonts w:asciiTheme="minorHAnsi" w:hAnsiTheme="minorHAnsi" w:cstheme="minorHAnsi"/>
          <w:b/>
          <w:sz w:val="22"/>
          <w:szCs w:val="22"/>
          <w:lang w:val="en-GB"/>
        </w:rPr>
        <w:t xml:space="preserve"> (n=11)</w:t>
      </w:r>
      <w:r w:rsidRPr="00B46D33">
        <w:rPr>
          <w:rFonts w:asciiTheme="minorHAnsi" w:hAnsiTheme="minorHAnsi" w:cstheme="minorHAnsi"/>
          <w:b/>
          <w:sz w:val="22"/>
          <w:szCs w:val="22"/>
          <w:lang w:val="en-GB"/>
        </w:rPr>
        <w:t xml:space="preserve">: study designs, objectives, materials, main measures and key findings. </w:t>
      </w:r>
    </w:p>
    <w:tbl>
      <w:tblPr>
        <w:tblStyle w:val="TaulukkoRuudukko"/>
        <w:tblW w:w="14029" w:type="dxa"/>
        <w:tblLook w:val="04A0" w:firstRow="1" w:lastRow="0" w:firstColumn="1" w:lastColumn="0" w:noHBand="0" w:noVBand="1"/>
      </w:tblPr>
      <w:tblGrid>
        <w:gridCol w:w="1086"/>
        <w:gridCol w:w="1744"/>
        <w:gridCol w:w="1701"/>
        <w:gridCol w:w="4253"/>
        <w:gridCol w:w="5245"/>
      </w:tblGrid>
      <w:tr w:rsidR="00927C84" w:rsidRPr="00175753" w14:paraId="1034D87C" w14:textId="77777777" w:rsidTr="0027203C">
        <w:tc>
          <w:tcPr>
            <w:tcW w:w="1086" w:type="dxa"/>
            <w:shd w:val="clear" w:color="auto" w:fill="auto"/>
          </w:tcPr>
          <w:p w14:paraId="34115945"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b/>
                <w:sz w:val="20"/>
                <w:szCs w:val="20"/>
                <w:lang w:val="en-GB"/>
              </w:rPr>
              <w:t>Reference and country</w:t>
            </w:r>
          </w:p>
        </w:tc>
        <w:tc>
          <w:tcPr>
            <w:tcW w:w="1744" w:type="dxa"/>
            <w:shd w:val="clear" w:color="auto" w:fill="auto"/>
          </w:tcPr>
          <w:p w14:paraId="189A7C78"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b/>
                <w:sz w:val="20"/>
                <w:szCs w:val="20"/>
                <w:lang w:val="en-GB"/>
              </w:rPr>
              <w:t>Study design (evidence quality) and setting</w:t>
            </w:r>
          </w:p>
        </w:tc>
        <w:tc>
          <w:tcPr>
            <w:tcW w:w="1701" w:type="dxa"/>
            <w:shd w:val="clear" w:color="auto" w:fill="auto"/>
          </w:tcPr>
          <w:p w14:paraId="79A5B73F"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b/>
                <w:sz w:val="20"/>
                <w:szCs w:val="20"/>
                <w:lang w:val="en-GB"/>
              </w:rPr>
              <w:t>Study objective</w:t>
            </w:r>
          </w:p>
        </w:tc>
        <w:tc>
          <w:tcPr>
            <w:tcW w:w="4253" w:type="dxa"/>
            <w:shd w:val="clear" w:color="auto" w:fill="auto"/>
          </w:tcPr>
          <w:p w14:paraId="6573D9CE" w14:textId="6D3FBF39"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b/>
                <w:bCs/>
                <w:color w:val="000000" w:themeColor="text1"/>
                <w:sz w:val="20"/>
                <w:szCs w:val="20"/>
                <w:lang w:val="en-GB"/>
              </w:rPr>
              <w:t xml:space="preserve">Materials </w:t>
            </w:r>
            <w:r w:rsidRPr="00175753">
              <w:rPr>
                <w:rFonts w:asciiTheme="minorHAnsi" w:hAnsiTheme="minorHAnsi" w:cstheme="minorHAnsi"/>
                <w:b/>
                <w:color w:val="000000" w:themeColor="text1"/>
                <w:sz w:val="20"/>
                <w:szCs w:val="20"/>
                <w:lang w:val="en-GB"/>
              </w:rPr>
              <w:t xml:space="preserve">and </w:t>
            </w:r>
            <w:r w:rsidRPr="00175753">
              <w:rPr>
                <w:rFonts w:asciiTheme="minorHAnsi" w:hAnsiTheme="minorHAnsi" w:cstheme="minorHAnsi"/>
                <w:b/>
                <w:sz w:val="20"/>
                <w:szCs w:val="20"/>
                <w:lang w:val="en-GB"/>
              </w:rPr>
              <w:t>main measures</w:t>
            </w:r>
          </w:p>
        </w:tc>
        <w:tc>
          <w:tcPr>
            <w:tcW w:w="5245" w:type="dxa"/>
            <w:shd w:val="clear" w:color="auto" w:fill="auto"/>
          </w:tcPr>
          <w:p w14:paraId="28779FA9"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b/>
                <w:sz w:val="20"/>
                <w:szCs w:val="20"/>
                <w:lang w:val="en-GB"/>
              </w:rPr>
              <w:t>Key findings</w:t>
            </w:r>
          </w:p>
        </w:tc>
      </w:tr>
      <w:tr w:rsidR="00927C84" w:rsidRPr="0090303D" w14:paraId="4CFD6FB8" w14:textId="77777777" w:rsidTr="0027203C">
        <w:tc>
          <w:tcPr>
            <w:tcW w:w="1086" w:type="dxa"/>
            <w:shd w:val="clear" w:color="auto" w:fill="auto"/>
          </w:tcPr>
          <w:p w14:paraId="5661C877" w14:textId="73A283C5"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Franklin et al. 2014</w:t>
            </w:r>
            <w:r w:rsidR="009E5909">
              <w:rPr>
                <w:rFonts w:asciiTheme="minorHAnsi" w:hAnsiTheme="minorHAnsi" w:cstheme="minorHAnsi"/>
                <w:color w:val="000000"/>
                <w:sz w:val="20"/>
                <w:szCs w:val="20"/>
                <w:lang w:val="en-GB"/>
              </w:rPr>
              <w:t xml:space="preserve"> </w:t>
            </w:r>
            <w:r w:rsidR="0090303D">
              <w:rPr>
                <w:rFonts w:asciiTheme="minorHAnsi" w:hAnsiTheme="minorHAnsi" w:cstheme="minorHAnsi"/>
                <w:color w:val="000000"/>
                <w:sz w:val="20"/>
                <w:szCs w:val="20"/>
                <w:vertAlign w:val="superscript"/>
                <w:lang w:val="en-GB"/>
              </w:rPr>
              <w:t>19</w:t>
            </w:r>
          </w:p>
          <w:p w14:paraId="005458A6" w14:textId="77777777" w:rsidR="00927C84" w:rsidRPr="00175753" w:rsidRDefault="00927C84" w:rsidP="0027203C">
            <w:pPr>
              <w:rPr>
                <w:rFonts w:asciiTheme="minorHAnsi" w:hAnsiTheme="minorHAnsi" w:cstheme="minorHAnsi"/>
                <w:color w:val="000000"/>
                <w:sz w:val="20"/>
                <w:szCs w:val="20"/>
                <w:lang w:val="en-GB"/>
              </w:rPr>
            </w:pPr>
          </w:p>
          <w:p w14:paraId="3ED97C7F"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United Kingdom</w:t>
            </w:r>
          </w:p>
        </w:tc>
        <w:tc>
          <w:tcPr>
            <w:tcW w:w="1744" w:type="dxa"/>
            <w:shd w:val="clear" w:color="auto" w:fill="auto"/>
          </w:tcPr>
          <w:p w14:paraId="3889E3B6"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themeColor="text1"/>
                <w:sz w:val="20"/>
                <w:szCs w:val="20"/>
                <w:lang w:val="en-GB"/>
              </w:rPr>
              <w:t xml:space="preserve">Retrospective analysis of medication error reports </w:t>
            </w:r>
            <w:r w:rsidRPr="00175753">
              <w:rPr>
                <w:rFonts w:asciiTheme="minorHAnsi" w:hAnsiTheme="minorHAnsi" w:cstheme="minorHAnsi"/>
                <w:color w:val="000000"/>
                <w:sz w:val="20"/>
                <w:szCs w:val="20"/>
                <w:lang w:val="en-GB"/>
              </w:rPr>
              <w:t>(Low), oncology hospital setting</w:t>
            </w:r>
          </w:p>
        </w:tc>
        <w:tc>
          <w:tcPr>
            <w:tcW w:w="1701" w:type="dxa"/>
            <w:shd w:val="clear" w:color="auto" w:fill="auto"/>
          </w:tcPr>
          <w:p w14:paraId="1CF1A199" w14:textId="2C86CB4F"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 xml:space="preserve">To examine hazards related to </w:t>
            </w:r>
            <w:proofErr w:type="spellStart"/>
            <w:r w:rsidRPr="00175753">
              <w:rPr>
                <w:rFonts w:asciiTheme="minorHAnsi" w:hAnsiTheme="minorHAnsi" w:cstheme="minorHAnsi"/>
                <w:color w:val="000000"/>
                <w:sz w:val="20"/>
                <w:szCs w:val="20"/>
                <w:lang w:val="en-GB"/>
              </w:rPr>
              <w:t>vinca</w:t>
            </w:r>
            <w:proofErr w:type="spellEnd"/>
            <w:r w:rsidRPr="00175753">
              <w:rPr>
                <w:rFonts w:asciiTheme="minorHAnsi" w:hAnsiTheme="minorHAnsi" w:cstheme="minorHAnsi"/>
                <w:color w:val="000000"/>
                <w:sz w:val="20"/>
                <w:szCs w:val="20"/>
                <w:lang w:val="en-GB"/>
              </w:rPr>
              <w:t xml:space="preserve"> alkaloids, identify the defen</w:t>
            </w:r>
            <w:r>
              <w:rPr>
                <w:rFonts w:asciiTheme="minorHAnsi" w:hAnsiTheme="minorHAnsi" w:cstheme="minorHAnsi"/>
                <w:color w:val="000000"/>
                <w:sz w:val="20"/>
                <w:szCs w:val="20"/>
                <w:lang w:val="en-GB"/>
              </w:rPr>
              <w:t>c</w:t>
            </w:r>
            <w:r w:rsidRPr="00175753">
              <w:rPr>
                <w:rFonts w:asciiTheme="minorHAnsi" w:hAnsiTheme="minorHAnsi" w:cstheme="minorHAnsi"/>
                <w:color w:val="000000"/>
                <w:sz w:val="20"/>
                <w:szCs w:val="20"/>
                <w:lang w:val="en-GB"/>
              </w:rPr>
              <w:t>es breached and consider safety implications</w:t>
            </w:r>
          </w:p>
        </w:tc>
        <w:tc>
          <w:tcPr>
            <w:tcW w:w="4253" w:type="dxa"/>
            <w:shd w:val="clear" w:color="auto" w:fill="auto"/>
          </w:tcPr>
          <w:p w14:paraId="7CD1344F"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 xml:space="preserve">﻿Nine million patient safety incident reports were searched for medication error reports relating to administration of </w:t>
            </w:r>
            <w:proofErr w:type="spellStart"/>
            <w:r w:rsidRPr="00175753">
              <w:rPr>
                <w:rFonts w:asciiTheme="minorHAnsi" w:hAnsiTheme="minorHAnsi" w:cstheme="minorHAnsi"/>
                <w:color w:val="000000"/>
                <w:sz w:val="20"/>
                <w:szCs w:val="22"/>
                <w:lang w:val="en-GB"/>
              </w:rPr>
              <w:t>vinca</w:t>
            </w:r>
            <w:proofErr w:type="spellEnd"/>
            <w:r w:rsidRPr="00175753">
              <w:rPr>
                <w:rFonts w:asciiTheme="minorHAnsi" w:hAnsiTheme="minorHAnsi" w:cstheme="minorHAnsi"/>
                <w:color w:val="000000"/>
                <w:sz w:val="20"/>
                <w:szCs w:val="22"/>
                <w:lang w:val="en-GB"/>
              </w:rPr>
              <w:t xml:space="preserve"> alkaloids in patients also receiving intrathecal medication (n=38).</w:t>
            </w:r>
          </w:p>
          <w:p w14:paraId="00D0B0B7" w14:textId="77777777" w:rsidR="00927C84" w:rsidRPr="00175753" w:rsidRDefault="00927C84" w:rsidP="0027203C">
            <w:pPr>
              <w:rPr>
                <w:rFonts w:asciiTheme="minorHAnsi" w:hAnsiTheme="minorHAnsi" w:cstheme="minorHAnsi"/>
                <w:color w:val="000000"/>
                <w:sz w:val="20"/>
                <w:szCs w:val="22"/>
                <w:lang w:val="en-GB"/>
              </w:rPr>
            </w:pPr>
          </w:p>
          <w:p w14:paraId="61181340"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1) Severity of errors (degree of harm)</w:t>
            </w:r>
          </w:p>
          <w:p w14:paraId="73A775FC"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2) Process phase in which the error occurred</w:t>
            </w:r>
          </w:p>
          <w:p w14:paraId="7A6633E3"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3) The principal defence(s) that had been breached for each incident</w:t>
            </w:r>
          </w:p>
        </w:tc>
        <w:tc>
          <w:tcPr>
            <w:tcW w:w="5245" w:type="dxa"/>
            <w:shd w:val="clear" w:color="auto" w:fill="auto"/>
          </w:tcPr>
          <w:p w14:paraId="3DE188AC"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 xml:space="preserve">1) None of </w:t>
            </w:r>
            <w:r>
              <w:rPr>
                <w:rFonts w:asciiTheme="minorHAnsi" w:hAnsiTheme="minorHAnsi" w:cstheme="minorHAnsi"/>
                <w:color w:val="000000"/>
                <w:sz w:val="20"/>
                <w:szCs w:val="20"/>
                <w:lang w:val="en-GB"/>
              </w:rPr>
              <w:t xml:space="preserve">the </w:t>
            </w:r>
            <w:r w:rsidRPr="00175753">
              <w:rPr>
                <w:rFonts w:asciiTheme="minorHAnsi" w:hAnsiTheme="minorHAnsi" w:cstheme="minorHAnsi"/>
                <w:color w:val="000000"/>
                <w:sz w:val="20"/>
                <w:szCs w:val="20"/>
                <w:lang w:val="en-GB"/>
              </w:rPr>
              <w:t xml:space="preserve">reports (n=38) resulted in actual harm. </w:t>
            </w:r>
          </w:p>
          <w:p w14:paraId="1044F60B"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 xml:space="preserve">2) The stage of medication process most commonly involved was ‘supply, transport and storage’ (n=15). Seven cases related to dispensing, six to documentation, and four to prescribing and administration. </w:t>
            </w:r>
          </w:p>
          <w:p w14:paraId="409FC961"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sz w:val="20"/>
                <w:szCs w:val="20"/>
                <w:lang w:val="en-GB"/>
              </w:rPr>
              <w:t xml:space="preserve">3) Separation of intravenous </w:t>
            </w:r>
            <w:proofErr w:type="spellStart"/>
            <w:r w:rsidRPr="00175753">
              <w:rPr>
                <w:rFonts w:asciiTheme="minorHAnsi" w:hAnsiTheme="minorHAnsi" w:cstheme="minorHAnsi"/>
                <w:color w:val="000000"/>
                <w:sz w:val="20"/>
                <w:szCs w:val="20"/>
                <w:lang w:val="en-GB"/>
              </w:rPr>
              <w:t>vinca</w:t>
            </w:r>
            <w:proofErr w:type="spellEnd"/>
            <w:r w:rsidRPr="00175753">
              <w:rPr>
                <w:rFonts w:asciiTheme="minorHAnsi" w:hAnsiTheme="minorHAnsi" w:cstheme="minorHAnsi"/>
                <w:color w:val="000000"/>
                <w:sz w:val="20"/>
                <w:szCs w:val="20"/>
                <w:lang w:val="en-GB"/>
              </w:rPr>
              <w:t xml:space="preserve"> alkaloids and intrathecal medication in timing (n=16) and location (n=8); potential for confusion therefore remains. Problems involved in six cases did not align with the procedural defences in place.</w:t>
            </w:r>
          </w:p>
        </w:tc>
      </w:tr>
      <w:tr w:rsidR="00927C84" w:rsidRPr="0090303D" w14:paraId="6769178F" w14:textId="77777777" w:rsidTr="0027203C">
        <w:tc>
          <w:tcPr>
            <w:tcW w:w="1086" w:type="dxa"/>
            <w:shd w:val="clear" w:color="auto" w:fill="auto"/>
          </w:tcPr>
          <w:p w14:paraId="31B3CBBF" w14:textId="15045766"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Hicks and Becker 2006</w:t>
            </w:r>
            <w:r w:rsidR="009E5909">
              <w:rPr>
                <w:rFonts w:asciiTheme="minorHAnsi" w:hAnsiTheme="minorHAnsi" w:cstheme="minorHAnsi"/>
                <w:color w:val="000000"/>
                <w:sz w:val="20"/>
                <w:szCs w:val="20"/>
                <w:lang w:val="en-GB"/>
              </w:rPr>
              <w:t xml:space="preserve"> </w:t>
            </w:r>
            <w:r w:rsidR="0090303D" w:rsidRPr="0090303D">
              <w:rPr>
                <w:rFonts w:asciiTheme="minorHAnsi" w:hAnsiTheme="minorHAnsi" w:cstheme="minorHAnsi"/>
                <w:color w:val="000000"/>
                <w:sz w:val="20"/>
                <w:szCs w:val="20"/>
                <w:vertAlign w:val="superscript"/>
                <w:lang w:val="en-GB"/>
              </w:rPr>
              <w:t>24</w:t>
            </w:r>
          </w:p>
          <w:p w14:paraId="599C396C" w14:textId="77777777" w:rsidR="00927C84" w:rsidRPr="00175753" w:rsidRDefault="00927C84" w:rsidP="0027203C">
            <w:pPr>
              <w:rPr>
                <w:rFonts w:asciiTheme="minorHAnsi" w:hAnsiTheme="minorHAnsi" w:cstheme="minorHAnsi"/>
                <w:color w:val="000000"/>
                <w:sz w:val="20"/>
                <w:szCs w:val="20"/>
                <w:lang w:val="en-GB"/>
              </w:rPr>
            </w:pPr>
          </w:p>
          <w:p w14:paraId="5953D8AC"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United States</w:t>
            </w:r>
          </w:p>
        </w:tc>
        <w:tc>
          <w:tcPr>
            <w:tcW w:w="1744" w:type="dxa"/>
            <w:shd w:val="clear" w:color="auto" w:fill="auto"/>
          </w:tcPr>
          <w:p w14:paraId="00AC22AB"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themeColor="text1"/>
                <w:sz w:val="20"/>
                <w:szCs w:val="20"/>
                <w:lang w:val="en-GB"/>
              </w:rPr>
              <w:t>Retrospective analysis of medication error reports</w:t>
            </w:r>
            <w:r w:rsidRPr="00175753">
              <w:rPr>
                <w:rFonts w:asciiTheme="minorHAnsi" w:hAnsiTheme="minorHAnsi" w:cstheme="minorHAnsi"/>
                <w:color w:val="000000"/>
                <w:sz w:val="20"/>
                <w:szCs w:val="20"/>
                <w:lang w:val="en-GB"/>
              </w:rPr>
              <w:t xml:space="preserve"> (Low), hospital setting</w:t>
            </w:r>
          </w:p>
        </w:tc>
        <w:tc>
          <w:tcPr>
            <w:tcW w:w="1701" w:type="dxa"/>
            <w:shd w:val="clear" w:color="auto" w:fill="auto"/>
          </w:tcPr>
          <w:p w14:paraId="66BAA7FA"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examine intravenous medication errors and why errors occur in the clinical setting</w:t>
            </w:r>
          </w:p>
        </w:tc>
        <w:tc>
          <w:tcPr>
            <w:tcW w:w="4253" w:type="dxa"/>
            <w:shd w:val="clear" w:color="auto" w:fill="auto"/>
          </w:tcPr>
          <w:p w14:paraId="21CB01F5" w14:textId="39D01CFE" w:rsidR="00927C84" w:rsidRPr="00175753" w:rsidRDefault="00927C84" w:rsidP="0027203C">
            <w:pPr>
              <w:rPr>
                <w:rFonts w:asciiTheme="minorHAnsi" w:hAnsiTheme="minorHAnsi" w:cstheme="minorHAnsi"/>
                <w:color w:val="000000" w:themeColor="text1"/>
                <w:sz w:val="20"/>
                <w:szCs w:val="22"/>
                <w:lang w:val="en-GB"/>
              </w:rPr>
            </w:pPr>
            <w:r w:rsidRPr="00175753">
              <w:rPr>
                <w:rFonts w:asciiTheme="minorHAnsi" w:hAnsiTheme="minorHAnsi" w:cstheme="minorHAnsi"/>
                <w:color w:val="000000" w:themeColor="text1"/>
                <w:sz w:val="20"/>
                <w:szCs w:val="20"/>
                <w:lang w:val="en-GB"/>
              </w:rPr>
              <w:t>A machine count</w:t>
            </w:r>
            <w:r>
              <w:rPr>
                <w:rFonts w:asciiTheme="minorHAnsi" w:hAnsiTheme="minorHAnsi" w:cstheme="minorHAnsi"/>
                <w:color w:val="000000" w:themeColor="text1"/>
                <w:sz w:val="20"/>
                <w:szCs w:val="20"/>
                <w:lang w:val="en-GB"/>
              </w:rPr>
              <w:t>-</w:t>
            </w:r>
            <w:r w:rsidRPr="00175753">
              <w:rPr>
                <w:rFonts w:asciiTheme="minorHAnsi" w:hAnsiTheme="minorHAnsi" w:cstheme="minorHAnsi"/>
                <w:color w:val="000000" w:themeColor="text1"/>
                <w:sz w:val="20"/>
                <w:szCs w:val="20"/>
                <w:lang w:val="en-GB"/>
              </w:rPr>
              <w:t xml:space="preserve">determined convenient sample of intravenous medication errors reported to MEDMARX </w:t>
            </w:r>
            <w:r>
              <w:rPr>
                <w:rFonts w:asciiTheme="minorHAnsi" w:hAnsiTheme="minorHAnsi" w:cstheme="minorHAnsi"/>
                <w:color w:val="000000" w:themeColor="text1"/>
                <w:sz w:val="20"/>
                <w:szCs w:val="20"/>
                <w:lang w:val="en-GB"/>
              </w:rPr>
              <w:t xml:space="preserve">over a </w:t>
            </w:r>
            <w:r w:rsidRPr="00175753">
              <w:rPr>
                <w:rFonts w:asciiTheme="minorHAnsi" w:hAnsiTheme="minorHAnsi" w:cstheme="minorHAnsi"/>
                <w:color w:val="000000" w:themeColor="text1"/>
                <w:sz w:val="20"/>
                <w:szCs w:val="20"/>
                <w:lang w:val="en-GB"/>
              </w:rPr>
              <w:t xml:space="preserve">5-year </w:t>
            </w:r>
            <w:r>
              <w:rPr>
                <w:rFonts w:asciiTheme="minorHAnsi" w:hAnsiTheme="minorHAnsi" w:cstheme="minorHAnsi"/>
                <w:color w:val="000000" w:themeColor="text1"/>
                <w:sz w:val="20"/>
                <w:szCs w:val="20"/>
                <w:lang w:val="en-GB"/>
              </w:rPr>
              <w:t>period</w:t>
            </w:r>
            <w:r w:rsidRPr="00175753">
              <w:rPr>
                <w:rFonts w:asciiTheme="minorHAnsi" w:hAnsiTheme="minorHAnsi" w:cstheme="minorHAnsi"/>
                <w:color w:val="000000" w:themeColor="text1"/>
                <w:sz w:val="20"/>
                <w:szCs w:val="20"/>
                <w:lang w:val="en-GB"/>
              </w:rPr>
              <w:t xml:space="preserve"> (n=73 769).</w:t>
            </w:r>
          </w:p>
          <w:p w14:paraId="0416D4AC" w14:textId="77777777" w:rsidR="00927C84" w:rsidRPr="00175753" w:rsidRDefault="00927C84" w:rsidP="0027203C">
            <w:pPr>
              <w:rPr>
                <w:rFonts w:asciiTheme="minorHAnsi" w:hAnsiTheme="minorHAnsi" w:cstheme="minorHAnsi"/>
                <w:color w:val="000000"/>
                <w:sz w:val="20"/>
                <w:szCs w:val="22"/>
                <w:lang w:val="en-GB"/>
              </w:rPr>
            </w:pPr>
          </w:p>
          <w:p w14:paraId="692AC834"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1) Severity of errors (NCC MERP Index for Categorizing Medication Errors)</w:t>
            </w:r>
          </w:p>
          <w:p w14:paraId="294F5CC4"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2) Error type</w:t>
            </w:r>
          </w:p>
          <w:p w14:paraId="64A697EE"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3) Causes of errors</w:t>
            </w:r>
          </w:p>
          <w:p w14:paraId="661F5F4C" w14:textId="77777777" w:rsidR="00927C84" w:rsidRPr="00175753" w:rsidRDefault="00927C84" w:rsidP="0027203C">
            <w:pPr>
              <w:rPr>
                <w:rFonts w:asciiTheme="minorHAnsi" w:hAnsiTheme="minorHAnsi" w:cstheme="minorHAnsi"/>
                <w:sz w:val="20"/>
                <w:szCs w:val="20"/>
                <w:lang w:val="en-GB"/>
              </w:rPr>
            </w:pPr>
          </w:p>
        </w:tc>
        <w:tc>
          <w:tcPr>
            <w:tcW w:w="5245" w:type="dxa"/>
            <w:shd w:val="clear" w:color="auto" w:fill="auto"/>
          </w:tcPr>
          <w:p w14:paraId="5C97DEA5" w14:textId="62ED0693" w:rsidR="00927C84" w:rsidRPr="00175753" w:rsidRDefault="00927C84" w:rsidP="0027203C">
            <w:pPr>
              <w:rPr>
                <w:rFonts w:asciiTheme="minorHAnsi" w:hAnsiTheme="minorHAnsi" w:cstheme="minorHAnsi"/>
                <w:color w:val="000000" w:themeColor="text1"/>
                <w:sz w:val="20"/>
                <w:szCs w:val="20"/>
                <w:lang w:val="en-GB"/>
              </w:rPr>
            </w:pPr>
            <w:r w:rsidRPr="00175753">
              <w:rPr>
                <w:rFonts w:asciiTheme="minorHAnsi" w:hAnsiTheme="minorHAnsi" w:cstheme="minorHAnsi"/>
                <w:color w:val="000000" w:themeColor="text1"/>
                <w:sz w:val="20"/>
                <w:szCs w:val="20"/>
                <w:lang w:val="en-GB"/>
              </w:rPr>
              <w:t>1) The amount of intravenous medication errors resulting in patient harm (3</w:t>
            </w:r>
            <w:r>
              <w:rPr>
                <w:rFonts w:asciiTheme="minorHAnsi" w:hAnsiTheme="minorHAnsi" w:cstheme="minorHAnsi"/>
                <w:lang w:val="en-GB"/>
              </w:rPr>
              <w:t>-</w:t>
            </w:r>
            <w:r w:rsidRPr="00175753">
              <w:rPr>
                <w:rFonts w:asciiTheme="minorHAnsi" w:hAnsiTheme="minorHAnsi" w:cstheme="minorHAnsi"/>
                <w:color w:val="000000" w:themeColor="text1"/>
                <w:sz w:val="20"/>
                <w:szCs w:val="20"/>
                <w:lang w:val="en-GB"/>
              </w:rPr>
              <w:t>5 %) was every year higher than all errors</w:t>
            </w:r>
            <w:r w:rsidR="00A12456">
              <w:rPr>
                <w:rFonts w:asciiTheme="minorHAnsi" w:hAnsiTheme="minorHAnsi" w:cstheme="minorHAnsi"/>
                <w:color w:val="000000" w:themeColor="text1"/>
                <w:sz w:val="20"/>
                <w:szCs w:val="20"/>
                <w:lang w:val="en-GB"/>
              </w:rPr>
              <w:t xml:space="preserve"> in administration routes</w:t>
            </w:r>
            <w:r w:rsidRPr="00175753">
              <w:rPr>
                <w:rFonts w:asciiTheme="minorHAnsi" w:hAnsiTheme="minorHAnsi" w:cstheme="minorHAnsi"/>
                <w:color w:val="000000" w:themeColor="text1"/>
                <w:sz w:val="20"/>
                <w:szCs w:val="20"/>
                <w:lang w:val="en-GB"/>
              </w:rPr>
              <w:t xml:space="preserve">. </w:t>
            </w:r>
          </w:p>
          <w:p w14:paraId="49453955" w14:textId="77777777" w:rsidR="00927C84" w:rsidRPr="00175753" w:rsidRDefault="00927C84" w:rsidP="0027203C">
            <w:pPr>
              <w:rPr>
                <w:rFonts w:asciiTheme="minorHAnsi" w:hAnsiTheme="minorHAnsi" w:cstheme="minorHAnsi"/>
                <w:color w:val="000000" w:themeColor="text1"/>
                <w:sz w:val="20"/>
                <w:szCs w:val="20"/>
                <w:lang w:val="en-GB"/>
              </w:rPr>
            </w:pPr>
            <w:r w:rsidRPr="00175753">
              <w:rPr>
                <w:rFonts w:asciiTheme="minorHAnsi" w:hAnsiTheme="minorHAnsi" w:cstheme="minorHAnsi"/>
                <w:color w:val="000000" w:themeColor="text1"/>
                <w:sz w:val="20"/>
                <w:szCs w:val="20"/>
                <w:lang w:val="en-GB"/>
              </w:rPr>
              <w:t xml:space="preserve">2) The leading type of error was omission, and the leading cause involved clinician performance deficit. </w:t>
            </w:r>
          </w:p>
          <w:p w14:paraId="7FB5401A" w14:textId="76F6BB6A"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themeColor="text1"/>
                <w:sz w:val="20"/>
                <w:szCs w:val="20"/>
                <w:lang w:val="en-GB"/>
              </w:rPr>
              <w:t xml:space="preserve">3) Drug shortages (e.g. patient receives a sound-alike medicine because of the shortage), interconnectivity of </w:t>
            </w:r>
            <w:proofErr w:type="spellStart"/>
            <w:r w:rsidRPr="00175753">
              <w:rPr>
                <w:rFonts w:asciiTheme="minorHAnsi" w:hAnsiTheme="minorHAnsi" w:cstheme="minorHAnsi"/>
                <w:color w:val="000000" w:themeColor="text1"/>
                <w:sz w:val="20"/>
                <w:szCs w:val="20"/>
                <w:lang w:val="en-GB"/>
              </w:rPr>
              <w:t>tubings</w:t>
            </w:r>
            <w:proofErr w:type="spellEnd"/>
            <w:r w:rsidRPr="00175753">
              <w:rPr>
                <w:rFonts w:asciiTheme="minorHAnsi" w:hAnsiTheme="minorHAnsi" w:cstheme="minorHAnsi"/>
                <w:color w:val="000000" w:themeColor="text1"/>
                <w:sz w:val="20"/>
                <w:szCs w:val="20"/>
                <w:lang w:val="en-GB"/>
              </w:rPr>
              <w:t xml:space="preserve"> (e.g. switch in peripheral IV-line and epidural line, unlabelled tubing and syringes) and mistakes in calculations (e.g. 10-fold variance in paediatric medications) predispose patients to harmful errors.</w:t>
            </w:r>
          </w:p>
        </w:tc>
      </w:tr>
      <w:tr w:rsidR="00927C84" w:rsidRPr="0090303D" w14:paraId="0421AE96" w14:textId="77777777" w:rsidTr="0027203C">
        <w:tc>
          <w:tcPr>
            <w:tcW w:w="1086" w:type="dxa"/>
            <w:shd w:val="clear" w:color="auto" w:fill="auto"/>
          </w:tcPr>
          <w:p w14:paraId="45B9BB5D" w14:textId="56D702D2"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Hicks et al. 2007</w:t>
            </w:r>
            <w:r w:rsidR="009E5909">
              <w:rPr>
                <w:rFonts w:asciiTheme="minorHAnsi" w:hAnsiTheme="minorHAnsi" w:cstheme="minorHAnsi"/>
                <w:color w:val="000000"/>
                <w:sz w:val="20"/>
                <w:szCs w:val="20"/>
                <w:lang w:val="en-GB"/>
              </w:rPr>
              <w:t xml:space="preserve"> </w:t>
            </w:r>
            <w:r w:rsidR="0090303D">
              <w:rPr>
                <w:rFonts w:asciiTheme="minorHAnsi" w:hAnsiTheme="minorHAnsi" w:cstheme="minorHAnsi"/>
                <w:color w:val="000000"/>
                <w:sz w:val="20"/>
                <w:szCs w:val="20"/>
                <w:vertAlign w:val="superscript"/>
                <w:lang w:val="en-GB"/>
              </w:rPr>
              <w:t>23</w:t>
            </w:r>
          </w:p>
          <w:p w14:paraId="0155C6A4" w14:textId="77777777" w:rsidR="00927C84" w:rsidRPr="00175753" w:rsidRDefault="00927C84" w:rsidP="0027203C">
            <w:pPr>
              <w:rPr>
                <w:rFonts w:asciiTheme="minorHAnsi" w:hAnsiTheme="minorHAnsi" w:cstheme="minorHAnsi"/>
                <w:color w:val="000000"/>
                <w:sz w:val="20"/>
                <w:szCs w:val="20"/>
                <w:lang w:val="en-GB"/>
              </w:rPr>
            </w:pPr>
          </w:p>
          <w:p w14:paraId="52B22B9D"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United States</w:t>
            </w:r>
          </w:p>
        </w:tc>
        <w:tc>
          <w:tcPr>
            <w:tcW w:w="1744" w:type="dxa"/>
            <w:shd w:val="clear" w:color="auto" w:fill="auto"/>
          </w:tcPr>
          <w:p w14:paraId="183FFC0F"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themeColor="text1"/>
                <w:sz w:val="20"/>
                <w:szCs w:val="20"/>
                <w:lang w:val="en-GB"/>
              </w:rPr>
              <w:t xml:space="preserve">Retrospective analysis of medication error reports, </w:t>
            </w:r>
            <w:r w:rsidRPr="00175753">
              <w:rPr>
                <w:rFonts w:asciiTheme="minorHAnsi" w:hAnsiTheme="minorHAnsi" w:cstheme="minorHAnsi"/>
                <w:color w:val="000000"/>
                <w:sz w:val="20"/>
                <w:szCs w:val="20"/>
                <w:lang w:val="en-GB"/>
              </w:rPr>
              <w:t>(Low), neonatal intensive care unit (NICU) setting</w:t>
            </w:r>
          </w:p>
        </w:tc>
        <w:tc>
          <w:tcPr>
            <w:tcW w:w="1701" w:type="dxa"/>
            <w:shd w:val="clear" w:color="auto" w:fill="auto"/>
          </w:tcPr>
          <w:p w14:paraId="69B5781B"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study medication errors associated with intralipid administration</w:t>
            </w:r>
          </w:p>
        </w:tc>
        <w:tc>
          <w:tcPr>
            <w:tcW w:w="4253" w:type="dxa"/>
            <w:shd w:val="clear" w:color="auto" w:fill="auto"/>
          </w:tcPr>
          <w:p w14:paraId="71CD8789" w14:textId="52140F36"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themeColor="text1"/>
                <w:sz w:val="20"/>
                <w:szCs w:val="20"/>
                <w:lang w:val="en-GB"/>
              </w:rPr>
              <w:t xml:space="preserve">Medication errors reported to MEDMARX </w:t>
            </w:r>
            <w:r>
              <w:rPr>
                <w:rFonts w:asciiTheme="minorHAnsi" w:hAnsiTheme="minorHAnsi" w:cstheme="minorHAnsi"/>
                <w:color w:val="000000" w:themeColor="text1"/>
                <w:sz w:val="20"/>
                <w:szCs w:val="20"/>
                <w:lang w:val="en-GB"/>
              </w:rPr>
              <w:t xml:space="preserve">over a </w:t>
            </w:r>
            <w:r w:rsidRPr="00175753">
              <w:rPr>
                <w:rFonts w:asciiTheme="minorHAnsi" w:hAnsiTheme="minorHAnsi" w:cstheme="minorHAnsi"/>
                <w:color w:val="000000" w:themeColor="text1"/>
                <w:sz w:val="20"/>
                <w:szCs w:val="20"/>
                <w:lang w:val="en-GB"/>
              </w:rPr>
              <w:t xml:space="preserve">5-year </w:t>
            </w:r>
            <w:r>
              <w:rPr>
                <w:rFonts w:asciiTheme="minorHAnsi" w:hAnsiTheme="minorHAnsi" w:cstheme="minorHAnsi"/>
                <w:color w:val="000000" w:themeColor="text1"/>
                <w:sz w:val="20"/>
                <w:szCs w:val="20"/>
                <w:lang w:val="en-GB"/>
              </w:rPr>
              <w:t>period</w:t>
            </w:r>
            <w:r w:rsidRPr="00175753">
              <w:rPr>
                <w:rFonts w:asciiTheme="minorHAnsi" w:hAnsiTheme="minorHAnsi" w:cstheme="minorHAnsi"/>
                <w:color w:val="000000" w:themeColor="text1"/>
                <w:sz w:val="20"/>
                <w:szCs w:val="20"/>
                <w:lang w:val="en-GB"/>
              </w:rPr>
              <w:t xml:space="preserve"> were searched to find errors associated with intralipid administration in NICU (n=257).  </w:t>
            </w:r>
          </w:p>
          <w:p w14:paraId="74D589E7" w14:textId="77777777" w:rsidR="00927C84" w:rsidRPr="00175753" w:rsidRDefault="00927C84" w:rsidP="0027203C">
            <w:pPr>
              <w:rPr>
                <w:rFonts w:asciiTheme="minorHAnsi" w:hAnsiTheme="minorHAnsi" w:cstheme="minorHAnsi"/>
                <w:color w:val="000000"/>
                <w:sz w:val="20"/>
                <w:szCs w:val="22"/>
                <w:lang w:val="en-GB"/>
              </w:rPr>
            </w:pPr>
          </w:p>
          <w:p w14:paraId="3F185BED"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1) Severity of errors (NCC MERP Index for Categorizing Medication Errors)</w:t>
            </w:r>
          </w:p>
          <w:p w14:paraId="248B7A6D"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 xml:space="preserve">2) </w:t>
            </w:r>
            <w:r w:rsidRPr="00175753">
              <w:rPr>
                <w:rFonts w:asciiTheme="minorHAnsi" w:hAnsiTheme="minorHAnsi" w:cstheme="minorHAnsi"/>
                <w:color w:val="000000"/>
                <w:sz w:val="20"/>
                <w:szCs w:val="20"/>
                <w:lang w:val="en-GB"/>
              </w:rPr>
              <w:t>Time of the error (day of week, time of error)</w:t>
            </w:r>
          </w:p>
          <w:p w14:paraId="15E46D95"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3) Error type</w:t>
            </w:r>
          </w:p>
          <w:p w14:paraId="774CB9A1"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4) Causes of errors</w:t>
            </w:r>
          </w:p>
          <w:p w14:paraId="557A40C9"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2"/>
                <w:lang w:val="en-GB"/>
              </w:rPr>
              <w:t>5) Contributing factors to medication errors</w:t>
            </w:r>
          </w:p>
        </w:tc>
        <w:tc>
          <w:tcPr>
            <w:tcW w:w="5245" w:type="dxa"/>
            <w:shd w:val="clear" w:color="auto" w:fill="auto"/>
          </w:tcPr>
          <w:p w14:paraId="4E143D0E"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1) ﻿3.9% of errors were harmful.</w:t>
            </w:r>
          </w:p>
          <w:p w14:paraId="79771A59" w14:textId="77777777" w:rsidR="00927C84" w:rsidRPr="00175753" w:rsidRDefault="00927C84" w:rsidP="0027203C">
            <w:pPr>
              <w:rPr>
                <w:rFonts w:asciiTheme="minorHAnsi" w:hAnsiTheme="minorHAnsi" w:cstheme="minorHAnsi"/>
                <w:color w:val="000000" w:themeColor="text1"/>
                <w:sz w:val="20"/>
                <w:szCs w:val="20"/>
                <w:lang w:val="en-GB"/>
              </w:rPr>
            </w:pPr>
            <w:r w:rsidRPr="00175753">
              <w:rPr>
                <w:rFonts w:asciiTheme="minorHAnsi" w:hAnsiTheme="minorHAnsi" w:cstheme="minorHAnsi"/>
                <w:sz w:val="20"/>
                <w:szCs w:val="20"/>
                <w:lang w:val="en-GB"/>
              </w:rPr>
              <w:t xml:space="preserve">2) </w:t>
            </w:r>
            <w:r w:rsidRPr="00175753">
              <w:rPr>
                <w:rFonts w:asciiTheme="minorHAnsi" w:hAnsiTheme="minorHAnsi" w:cstheme="minorHAnsi"/>
                <w:color w:val="FF0000"/>
                <w:sz w:val="20"/>
                <w:szCs w:val="20"/>
                <w:lang w:val="en-GB"/>
              </w:rPr>
              <w:t xml:space="preserve">﻿ </w:t>
            </w:r>
            <w:r w:rsidRPr="00175753">
              <w:rPr>
                <w:rFonts w:asciiTheme="minorHAnsi" w:hAnsiTheme="minorHAnsi" w:cstheme="minorHAnsi"/>
                <w:color w:val="000000" w:themeColor="text1"/>
                <w:sz w:val="20"/>
                <w:szCs w:val="20"/>
                <w:lang w:val="en-GB"/>
              </w:rPr>
              <w:t xml:space="preserve">The largest number of errors occurred on Mondays﻿ </w:t>
            </w:r>
          </w:p>
          <w:p w14:paraId="693AC77C" w14:textId="77777777" w:rsidR="00927C84" w:rsidRPr="00175753" w:rsidRDefault="00927C84" w:rsidP="0027203C">
            <w:pPr>
              <w:rPr>
                <w:rFonts w:asciiTheme="minorHAnsi" w:hAnsiTheme="minorHAnsi" w:cstheme="minorHAnsi"/>
                <w:color w:val="000000" w:themeColor="text1"/>
                <w:sz w:val="20"/>
                <w:szCs w:val="20"/>
                <w:lang w:val="en-GB"/>
              </w:rPr>
            </w:pPr>
            <w:r w:rsidRPr="00175753">
              <w:rPr>
                <w:rFonts w:asciiTheme="minorHAnsi" w:hAnsiTheme="minorHAnsi" w:cstheme="minorHAnsi"/>
                <w:color w:val="000000" w:themeColor="text1"/>
                <w:sz w:val="20"/>
                <w:szCs w:val="20"/>
                <w:lang w:val="en-GB"/>
              </w:rPr>
              <w:t>(24.1%) and between 6 pm and midnight (28.8%).</w:t>
            </w:r>
          </w:p>
          <w:p w14:paraId="0F03C355" w14:textId="77777777" w:rsidR="00927C84" w:rsidRPr="00175753" w:rsidRDefault="00927C84" w:rsidP="0027203C">
            <w:pPr>
              <w:rPr>
                <w:rFonts w:asciiTheme="minorHAnsi" w:hAnsiTheme="minorHAnsi" w:cstheme="minorHAnsi"/>
                <w:color w:val="000000" w:themeColor="text1"/>
                <w:sz w:val="20"/>
                <w:szCs w:val="20"/>
                <w:lang w:val="en-GB"/>
              </w:rPr>
            </w:pPr>
            <w:r w:rsidRPr="00175753">
              <w:rPr>
                <w:rFonts w:asciiTheme="minorHAnsi" w:hAnsiTheme="minorHAnsi" w:cstheme="minorHAnsi"/>
                <w:color w:val="000000" w:themeColor="text1"/>
                <w:sz w:val="20"/>
                <w:szCs w:val="20"/>
                <w:lang w:val="en-GB"/>
              </w:rPr>
              <w:t>3) ﻿Leading types: improper dose/quantity/amount (69.9%), wrong administration technique (11.3%), omission (8.6%).</w:t>
            </w:r>
          </w:p>
          <w:p w14:paraId="1E693AD8" w14:textId="66985B76" w:rsidR="00927C84" w:rsidRPr="00175753" w:rsidRDefault="00927C84" w:rsidP="0027203C">
            <w:pPr>
              <w:rPr>
                <w:rFonts w:asciiTheme="minorHAnsi" w:hAnsiTheme="minorHAnsi" w:cstheme="minorHAnsi"/>
                <w:color w:val="000000" w:themeColor="text1"/>
                <w:sz w:val="20"/>
                <w:szCs w:val="20"/>
                <w:lang w:val="en-GB"/>
              </w:rPr>
            </w:pPr>
            <w:r w:rsidRPr="00175753">
              <w:rPr>
                <w:rFonts w:asciiTheme="minorHAnsi" w:hAnsiTheme="minorHAnsi" w:cstheme="minorHAnsi"/>
                <w:color w:val="000000" w:themeColor="text1"/>
                <w:sz w:val="20"/>
                <w:szCs w:val="20"/>
                <w:lang w:val="en-GB"/>
              </w:rPr>
              <w:t>4) ﻿The most common: improper pump use (27.1%), performance deficit (26.6%) and procedure protocol not followed (10.9%). Many errors resulted from misinterpretation of the modes (i.e. time, volume or rate) on infusion device or by not recogni</w:t>
            </w:r>
            <w:r>
              <w:rPr>
                <w:rFonts w:asciiTheme="minorHAnsi" w:hAnsiTheme="minorHAnsi" w:cstheme="minorHAnsi"/>
                <w:color w:val="000000" w:themeColor="text1"/>
                <w:sz w:val="20"/>
                <w:szCs w:val="20"/>
                <w:lang w:val="en-GB"/>
              </w:rPr>
              <w:t>s</w:t>
            </w:r>
            <w:r w:rsidRPr="00175753">
              <w:rPr>
                <w:rFonts w:asciiTheme="minorHAnsi" w:hAnsiTheme="minorHAnsi" w:cstheme="minorHAnsi"/>
                <w:color w:val="000000" w:themeColor="text1"/>
                <w:sz w:val="20"/>
                <w:szCs w:val="20"/>
                <w:lang w:val="en-GB"/>
              </w:rPr>
              <w:t>ing decimal point on the device’s display panel. Several errors involved switching the rate of infusion with total parenteral nutrition and intralipids.</w:t>
            </w:r>
          </w:p>
          <w:p w14:paraId="46033554" w14:textId="77777777" w:rsidR="00927C84" w:rsidRPr="00175753" w:rsidRDefault="00927C84" w:rsidP="0027203C">
            <w:pPr>
              <w:rPr>
                <w:rFonts w:asciiTheme="minorHAnsi" w:hAnsiTheme="minorHAnsi" w:cstheme="minorHAnsi"/>
                <w:color w:val="000000" w:themeColor="text1"/>
                <w:sz w:val="20"/>
                <w:szCs w:val="20"/>
                <w:lang w:val="en-GB"/>
              </w:rPr>
            </w:pPr>
            <w:r w:rsidRPr="00175753">
              <w:rPr>
                <w:rFonts w:asciiTheme="minorHAnsi" w:hAnsiTheme="minorHAnsi" w:cstheme="minorHAnsi"/>
                <w:color w:val="000000" w:themeColor="text1"/>
                <w:sz w:val="20"/>
                <w:szCs w:val="20"/>
                <w:lang w:val="en-GB"/>
              </w:rPr>
              <w:lastRenderedPageBreak/>
              <w:t>5) ﻿</w:t>
            </w:r>
            <w:r w:rsidRPr="00175753">
              <w:rPr>
                <w:rFonts w:asciiTheme="minorHAnsi" w:hAnsiTheme="minorHAnsi" w:cstheme="minorHAnsi"/>
                <w:color w:val="000000"/>
                <w:sz w:val="20"/>
                <w:szCs w:val="20"/>
                <w:lang w:val="en-GB"/>
              </w:rPr>
              <w:t xml:space="preserve">38.9% of error reports identified at least one contributing factor. </w:t>
            </w:r>
            <w:r w:rsidRPr="00175753">
              <w:rPr>
                <w:rFonts w:asciiTheme="minorHAnsi" w:hAnsiTheme="minorHAnsi" w:cstheme="minorHAnsi"/>
                <w:color w:val="000000" w:themeColor="text1"/>
                <w:sz w:val="20"/>
                <w:szCs w:val="20"/>
                <w:lang w:val="en-GB"/>
              </w:rPr>
              <w:t>The most common ones were none (42%), distractions (23.6%), and workload increase (11.3%).</w:t>
            </w:r>
          </w:p>
        </w:tc>
      </w:tr>
      <w:tr w:rsidR="00927C84" w:rsidRPr="00175753" w14:paraId="4D09937D" w14:textId="77777777" w:rsidTr="0027203C">
        <w:tc>
          <w:tcPr>
            <w:tcW w:w="1086" w:type="dxa"/>
            <w:shd w:val="clear" w:color="auto" w:fill="auto"/>
          </w:tcPr>
          <w:p w14:paraId="1B336685" w14:textId="6298E1D0"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lastRenderedPageBreak/>
              <w:t>Hicks et al. 2008</w:t>
            </w:r>
            <w:r w:rsidR="009E5909">
              <w:rPr>
                <w:rFonts w:asciiTheme="minorHAnsi" w:hAnsiTheme="minorHAnsi" w:cstheme="minorHAnsi"/>
                <w:color w:val="000000"/>
                <w:sz w:val="20"/>
                <w:szCs w:val="20"/>
                <w:lang w:val="en-GB"/>
              </w:rPr>
              <w:t xml:space="preserve"> </w:t>
            </w:r>
            <w:r w:rsidR="0090303D">
              <w:rPr>
                <w:rFonts w:asciiTheme="minorHAnsi" w:hAnsiTheme="minorHAnsi" w:cstheme="minorHAnsi"/>
                <w:color w:val="000000"/>
                <w:sz w:val="20"/>
                <w:szCs w:val="20"/>
                <w:vertAlign w:val="superscript"/>
                <w:lang w:val="en-GB"/>
              </w:rPr>
              <w:t>22</w:t>
            </w:r>
          </w:p>
          <w:p w14:paraId="1DF0AE5F" w14:textId="77777777" w:rsidR="00927C84" w:rsidRPr="00175753" w:rsidRDefault="00927C84" w:rsidP="0027203C">
            <w:pPr>
              <w:rPr>
                <w:rFonts w:asciiTheme="minorHAnsi" w:hAnsiTheme="minorHAnsi" w:cstheme="minorHAnsi"/>
                <w:color w:val="000000"/>
                <w:sz w:val="20"/>
                <w:szCs w:val="20"/>
                <w:lang w:val="en-GB"/>
              </w:rPr>
            </w:pPr>
          </w:p>
          <w:p w14:paraId="355E32E0"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sz w:val="20"/>
                <w:szCs w:val="20"/>
                <w:lang w:val="en-GB"/>
              </w:rPr>
              <w:t>United States</w:t>
            </w:r>
          </w:p>
        </w:tc>
        <w:tc>
          <w:tcPr>
            <w:tcW w:w="1744" w:type="dxa"/>
            <w:shd w:val="clear" w:color="auto" w:fill="auto"/>
          </w:tcPr>
          <w:p w14:paraId="79D29656"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themeColor="text1"/>
                <w:sz w:val="20"/>
                <w:szCs w:val="20"/>
                <w:lang w:val="en-GB"/>
              </w:rPr>
              <w:t xml:space="preserve">Retrospective analysis of medication error reports </w:t>
            </w:r>
            <w:r w:rsidRPr="00175753">
              <w:rPr>
                <w:rFonts w:asciiTheme="minorHAnsi" w:hAnsiTheme="minorHAnsi" w:cstheme="minorHAnsi"/>
                <w:color w:val="000000"/>
                <w:sz w:val="20"/>
                <w:szCs w:val="20"/>
                <w:lang w:val="en-GB"/>
              </w:rPr>
              <w:t>(Low), hospital setting</w:t>
            </w:r>
          </w:p>
        </w:tc>
        <w:tc>
          <w:tcPr>
            <w:tcW w:w="1701" w:type="dxa"/>
            <w:shd w:val="clear" w:color="auto" w:fill="auto"/>
          </w:tcPr>
          <w:p w14:paraId="1EDE4EB7"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study the magnitude, frequency, and nature of medication errors associated with patient-controlled analgesia (PCA)</w:t>
            </w:r>
          </w:p>
        </w:tc>
        <w:tc>
          <w:tcPr>
            <w:tcW w:w="4253" w:type="dxa"/>
            <w:shd w:val="clear" w:color="auto" w:fill="auto"/>
          </w:tcPr>
          <w:p w14:paraId="517E847E" w14:textId="70EF2ADB"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themeColor="text1"/>
                <w:sz w:val="20"/>
                <w:szCs w:val="20"/>
                <w:lang w:val="en-GB"/>
              </w:rPr>
              <w:t xml:space="preserve">Medication errors reported to MEDMARX </w:t>
            </w:r>
            <w:r>
              <w:rPr>
                <w:rFonts w:asciiTheme="minorHAnsi" w:hAnsiTheme="minorHAnsi" w:cstheme="minorHAnsi"/>
                <w:color w:val="000000" w:themeColor="text1"/>
                <w:sz w:val="20"/>
                <w:szCs w:val="20"/>
                <w:lang w:val="en-GB"/>
              </w:rPr>
              <w:t>over a</w:t>
            </w:r>
            <w:r w:rsidRPr="00175753">
              <w:rPr>
                <w:rFonts w:asciiTheme="minorHAnsi" w:hAnsiTheme="minorHAnsi" w:cstheme="minorHAnsi"/>
                <w:color w:val="000000" w:themeColor="text1"/>
                <w:sz w:val="20"/>
                <w:szCs w:val="20"/>
                <w:lang w:val="en-GB"/>
              </w:rPr>
              <w:t xml:space="preserve"> 5-year </w:t>
            </w:r>
            <w:r>
              <w:rPr>
                <w:rFonts w:asciiTheme="minorHAnsi" w:hAnsiTheme="minorHAnsi" w:cstheme="minorHAnsi"/>
                <w:color w:val="000000" w:themeColor="text1"/>
                <w:sz w:val="20"/>
                <w:szCs w:val="20"/>
                <w:lang w:val="en-GB"/>
              </w:rPr>
              <w:t>period</w:t>
            </w:r>
            <w:r w:rsidRPr="00175753">
              <w:rPr>
                <w:rFonts w:asciiTheme="minorHAnsi" w:hAnsiTheme="minorHAnsi" w:cstheme="minorHAnsi"/>
                <w:color w:val="000000" w:themeColor="text1"/>
                <w:sz w:val="20"/>
                <w:szCs w:val="20"/>
                <w:lang w:val="en-GB"/>
              </w:rPr>
              <w:t xml:space="preserve"> were searched to find errors associated with PCA </w:t>
            </w:r>
            <w:r w:rsidRPr="00175753">
              <w:rPr>
                <w:rFonts w:asciiTheme="minorHAnsi" w:hAnsiTheme="minorHAnsi" w:cstheme="minorHAnsi"/>
                <w:color w:val="000000"/>
                <w:sz w:val="20"/>
                <w:szCs w:val="20"/>
                <w:lang w:val="en-GB"/>
              </w:rPr>
              <w:t>(n=9 571, 1% of all error reports).</w:t>
            </w:r>
          </w:p>
          <w:p w14:paraId="7DADB095" w14:textId="77777777" w:rsidR="00927C84" w:rsidRPr="00175753" w:rsidRDefault="00927C84" w:rsidP="0027203C">
            <w:pPr>
              <w:rPr>
                <w:rFonts w:asciiTheme="minorHAnsi" w:hAnsiTheme="minorHAnsi" w:cstheme="minorHAnsi"/>
                <w:color w:val="000000"/>
                <w:sz w:val="20"/>
                <w:szCs w:val="22"/>
                <w:lang w:val="en-GB"/>
              </w:rPr>
            </w:pPr>
          </w:p>
          <w:p w14:paraId="0B5C4A08"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1) Severity of errors (NCC MERP Index for Categorizing Medication Errors)</w:t>
            </w:r>
          </w:p>
          <w:p w14:paraId="6E90B8CB"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2) Process phase in which the error occurred</w:t>
            </w:r>
          </w:p>
          <w:p w14:paraId="410E442C"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3) Error type</w:t>
            </w:r>
          </w:p>
          <w:p w14:paraId="5B5A32B6"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4) Causes of errors</w:t>
            </w:r>
          </w:p>
          <w:p w14:paraId="2E584B15"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5) Contributing factors to medication errors</w:t>
            </w:r>
          </w:p>
        </w:tc>
        <w:tc>
          <w:tcPr>
            <w:tcW w:w="5245" w:type="dxa"/>
            <w:shd w:val="clear" w:color="auto" w:fill="auto"/>
          </w:tcPr>
          <w:p w14:paraId="0C452BBD"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1) 6.5% of errors were associated with harm.</w:t>
            </w:r>
          </w:p>
          <w:p w14:paraId="54ABB399" w14:textId="224C01A1"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2) Most errors occurred during drug administration, but errors in prescribing and dispensing</w:t>
            </w:r>
            <w:r>
              <w:rPr>
                <w:rFonts w:asciiTheme="minorHAnsi" w:hAnsiTheme="minorHAnsi" w:cstheme="minorHAnsi"/>
                <w:color w:val="000000"/>
                <w:sz w:val="20"/>
                <w:szCs w:val="20"/>
                <w:lang w:val="en-GB"/>
              </w:rPr>
              <w:t xml:space="preserve"> stages</w:t>
            </w:r>
            <w:r w:rsidRPr="00175753">
              <w:rPr>
                <w:rFonts w:asciiTheme="minorHAnsi" w:hAnsiTheme="minorHAnsi" w:cstheme="minorHAnsi"/>
                <w:color w:val="000000"/>
                <w:sz w:val="20"/>
                <w:szCs w:val="20"/>
                <w:lang w:val="en-GB"/>
              </w:rPr>
              <w:t xml:space="preserve"> were</w:t>
            </w:r>
            <w:r>
              <w:rPr>
                <w:rFonts w:asciiTheme="minorHAnsi" w:hAnsiTheme="minorHAnsi" w:cstheme="minorHAnsi"/>
                <w:color w:val="000000"/>
                <w:sz w:val="20"/>
                <w:szCs w:val="20"/>
                <w:lang w:val="en-GB"/>
              </w:rPr>
              <w:t xml:space="preserve"> also</w:t>
            </w:r>
            <w:r w:rsidRPr="00175753">
              <w:rPr>
                <w:rFonts w:asciiTheme="minorHAnsi" w:hAnsiTheme="minorHAnsi" w:cstheme="minorHAnsi"/>
                <w:color w:val="000000"/>
                <w:sz w:val="20"/>
                <w:szCs w:val="20"/>
                <w:lang w:val="en-GB"/>
              </w:rPr>
              <w:t xml:space="preserve"> identified.</w:t>
            </w:r>
          </w:p>
          <w:p w14:paraId="5A15C86D" w14:textId="58E750E2"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3) 38% involved an improper dosage or quantity, 17.4% omission and 17.3% an unauthori</w:t>
            </w:r>
            <w:r>
              <w:rPr>
                <w:rFonts w:asciiTheme="minorHAnsi" w:hAnsiTheme="minorHAnsi" w:cstheme="minorHAnsi"/>
                <w:color w:val="000000"/>
                <w:sz w:val="20"/>
                <w:szCs w:val="20"/>
                <w:lang w:val="en-GB"/>
              </w:rPr>
              <w:t>s</w:t>
            </w:r>
            <w:r w:rsidRPr="00175753">
              <w:rPr>
                <w:rFonts w:asciiTheme="minorHAnsi" w:hAnsiTheme="minorHAnsi" w:cstheme="minorHAnsi"/>
                <w:color w:val="000000"/>
                <w:sz w:val="20"/>
                <w:szCs w:val="20"/>
                <w:lang w:val="en-GB"/>
              </w:rPr>
              <w:t>ed or wrong drug.</w:t>
            </w:r>
          </w:p>
          <w:p w14:paraId="10B6E141"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4) Human factors were the main cause of PCA errors. Equipment issues (19.5%) and similar drug names and product packaging (11.6%) were also implicated.</w:t>
            </w:r>
          </w:p>
          <w:p w14:paraId="52EC446B"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sz w:val="20"/>
                <w:szCs w:val="20"/>
                <w:lang w:val="en-GB"/>
              </w:rPr>
              <w:t>5) ﻿37.6% of error reports identified at least one contributing factor. The two leading ones were distraction (37.8%) and workload increase (19.7%).</w:t>
            </w:r>
          </w:p>
        </w:tc>
      </w:tr>
      <w:tr w:rsidR="00927C84" w:rsidRPr="0090303D" w14:paraId="4C2DF889" w14:textId="77777777" w:rsidTr="0027203C">
        <w:tc>
          <w:tcPr>
            <w:tcW w:w="1086" w:type="dxa"/>
            <w:shd w:val="clear" w:color="auto" w:fill="auto"/>
          </w:tcPr>
          <w:p w14:paraId="036BFB5B" w14:textId="7109DA73" w:rsidR="00927C84" w:rsidRPr="00175753" w:rsidRDefault="00927C84" w:rsidP="0027203C">
            <w:pPr>
              <w:rPr>
                <w:rFonts w:asciiTheme="minorHAnsi" w:hAnsiTheme="minorHAnsi" w:cstheme="minorHAnsi"/>
                <w:color w:val="000000"/>
                <w:sz w:val="20"/>
                <w:szCs w:val="20"/>
                <w:lang w:val="en-GB"/>
              </w:rPr>
            </w:pPr>
            <w:proofErr w:type="spellStart"/>
            <w:r w:rsidRPr="00175753">
              <w:rPr>
                <w:rFonts w:asciiTheme="minorHAnsi" w:hAnsiTheme="minorHAnsi" w:cstheme="minorHAnsi"/>
                <w:color w:val="000000"/>
                <w:sz w:val="20"/>
                <w:szCs w:val="20"/>
                <w:lang w:val="en-GB"/>
              </w:rPr>
              <w:t>Aguado</w:t>
            </w:r>
            <w:proofErr w:type="spellEnd"/>
            <w:r w:rsidRPr="00175753">
              <w:rPr>
                <w:rFonts w:asciiTheme="minorHAnsi" w:hAnsiTheme="minorHAnsi" w:cstheme="minorHAnsi"/>
                <w:color w:val="000000"/>
                <w:sz w:val="20"/>
                <w:szCs w:val="20"/>
                <w:lang w:val="en-GB"/>
              </w:rPr>
              <w:t>-Lorenzo et al. 2013</w:t>
            </w:r>
            <w:r w:rsidR="009E5909">
              <w:rPr>
                <w:rFonts w:asciiTheme="minorHAnsi" w:hAnsiTheme="minorHAnsi" w:cstheme="minorHAnsi"/>
                <w:color w:val="000000"/>
                <w:sz w:val="20"/>
                <w:szCs w:val="20"/>
                <w:lang w:val="en-GB"/>
              </w:rPr>
              <w:t xml:space="preserve"> </w:t>
            </w:r>
            <w:r w:rsidR="0090303D" w:rsidRPr="0090303D">
              <w:rPr>
                <w:rFonts w:asciiTheme="minorHAnsi" w:hAnsiTheme="minorHAnsi" w:cstheme="minorHAnsi"/>
                <w:color w:val="000000"/>
                <w:sz w:val="20"/>
                <w:szCs w:val="20"/>
                <w:vertAlign w:val="superscript"/>
                <w:lang w:val="en-GB"/>
              </w:rPr>
              <w:t>18</w:t>
            </w:r>
          </w:p>
          <w:p w14:paraId="60967679" w14:textId="77777777" w:rsidR="00927C84" w:rsidRPr="00175753" w:rsidRDefault="00927C84" w:rsidP="0027203C">
            <w:pPr>
              <w:rPr>
                <w:rFonts w:asciiTheme="minorHAnsi" w:hAnsiTheme="minorHAnsi" w:cstheme="minorHAnsi"/>
                <w:color w:val="000000"/>
                <w:sz w:val="20"/>
                <w:szCs w:val="20"/>
                <w:lang w:val="en-GB"/>
              </w:rPr>
            </w:pPr>
          </w:p>
          <w:p w14:paraId="074BE471"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United Kingdom</w:t>
            </w:r>
          </w:p>
        </w:tc>
        <w:tc>
          <w:tcPr>
            <w:tcW w:w="1744" w:type="dxa"/>
            <w:shd w:val="clear" w:color="auto" w:fill="auto"/>
          </w:tcPr>
          <w:p w14:paraId="0587666C" w14:textId="311206B9"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Observation</w:t>
            </w:r>
            <w:r>
              <w:rPr>
                <w:rFonts w:asciiTheme="minorHAnsi" w:hAnsiTheme="minorHAnsi" w:cstheme="minorHAnsi"/>
                <w:sz w:val="20"/>
                <w:szCs w:val="20"/>
                <w:lang w:val="en-GB"/>
              </w:rPr>
              <w:t>al</w:t>
            </w:r>
            <w:r w:rsidRPr="00175753">
              <w:rPr>
                <w:rFonts w:asciiTheme="minorHAnsi" w:hAnsiTheme="minorHAnsi" w:cstheme="minorHAnsi"/>
                <w:sz w:val="20"/>
                <w:szCs w:val="20"/>
                <w:lang w:val="en-GB"/>
              </w:rPr>
              <w:t xml:space="preserve"> </w:t>
            </w:r>
            <w:r w:rsidR="00B64FA4">
              <w:rPr>
                <w:rFonts w:asciiTheme="minorHAnsi" w:hAnsiTheme="minorHAnsi" w:cstheme="minorHAnsi"/>
                <w:sz w:val="20"/>
                <w:szCs w:val="20"/>
                <w:lang w:val="en-GB"/>
              </w:rPr>
              <w:t xml:space="preserve">controlled </w:t>
            </w:r>
            <w:r w:rsidRPr="00175753">
              <w:rPr>
                <w:rFonts w:asciiTheme="minorHAnsi" w:hAnsiTheme="minorHAnsi" w:cstheme="minorHAnsi"/>
                <w:sz w:val="20"/>
                <w:szCs w:val="20"/>
                <w:lang w:val="en-GB"/>
              </w:rPr>
              <w:t>study in</w:t>
            </w:r>
            <w:r>
              <w:rPr>
                <w:rFonts w:asciiTheme="minorHAnsi" w:hAnsiTheme="minorHAnsi" w:cstheme="minorHAnsi"/>
                <w:sz w:val="20"/>
                <w:szCs w:val="20"/>
                <w:lang w:val="en-GB"/>
              </w:rPr>
              <w:t xml:space="preserve">volving the </w:t>
            </w:r>
            <w:r w:rsidRPr="00175753">
              <w:rPr>
                <w:rFonts w:asciiTheme="minorHAnsi" w:hAnsiTheme="minorHAnsi" w:cstheme="minorHAnsi"/>
                <w:sz w:val="20"/>
                <w:szCs w:val="20"/>
                <w:lang w:val="en-GB"/>
              </w:rPr>
              <w:t xml:space="preserve">analysis of infusion concentrations </w:t>
            </w:r>
            <w:r w:rsidRPr="00175753">
              <w:rPr>
                <w:rFonts w:asciiTheme="minorHAnsi" w:hAnsiTheme="minorHAnsi" w:cstheme="minorHAnsi"/>
                <w:color w:val="000000"/>
                <w:sz w:val="20"/>
                <w:szCs w:val="20"/>
                <w:lang w:val="en-GB"/>
              </w:rPr>
              <w:t>(Low), NICU and hospital pharmacy setting</w:t>
            </w:r>
          </w:p>
        </w:tc>
        <w:tc>
          <w:tcPr>
            <w:tcW w:w="1701" w:type="dxa"/>
            <w:shd w:val="clear" w:color="auto" w:fill="auto"/>
          </w:tcPr>
          <w:p w14:paraId="3670E685"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investigate accuracy of morphine infusion concentrations and to identify differences between preparation in NICU and pharmacy</w:t>
            </w:r>
          </w:p>
        </w:tc>
        <w:tc>
          <w:tcPr>
            <w:tcW w:w="4253" w:type="dxa"/>
            <w:shd w:val="clear" w:color="auto" w:fill="auto"/>
          </w:tcPr>
          <w:p w14:paraId="24485961" w14:textId="41B28305"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 xml:space="preserve">﻿Unused portions of morphine infusion solutions were collected over a 6-week period (n=214). They were prepared either in </w:t>
            </w:r>
            <w:r>
              <w:rPr>
                <w:rFonts w:asciiTheme="minorHAnsi" w:hAnsiTheme="minorHAnsi" w:cstheme="minorHAnsi"/>
                <w:color w:val="000000"/>
                <w:sz w:val="20"/>
                <w:szCs w:val="22"/>
                <w:lang w:val="en-GB"/>
              </w:rPr>
              <w:t xml:space="preserve">the </w:t>
            </w:r>
            <w:r w:rsidRPr="00175753">
              <w:rPr>
                <w:rFonts w:asciiTheme="minorHAnsi" w:hAnsiTheme="minorHAnsi" w:cstheme="minorHAnsi"/>
                <w:color w:val="000000"/>
                <w:sz w:val="20"/>
                <w:szCs w:val="22"/>
                <w:lang w:val="en-GB"/>
              </w:rPr>
              <w:t>pharmac</w:t>
            </w:r>
            <w:r>
              <w:rPr>
                <w:rFonts w:asciiTheme="minorHAnsi" w:hAnsiTheme="minorHAnsi" w:cstheme="minorHAnsi"/>
                <w:color w:val="000000"/>
                <w:sz w:val="20"/>
                <w:szCs w:val="22"/>
                <w:lang w:val="en-GB"/>
              </w:rPr>
              <w:t>y</w:t>
            </w:r>
            <w:r w:rsidRPr="00175753">
              <w:rPr>
                <w:rFonts w:asciiTheme="minorHAnsi" w:hAnsiTheme="minorHAnsi" w:cstheme="minorHAnsi"/>
                <w:color w:val="000000"/>
                <w:sz w:val="20"/>
                <w:szCs w:val="22"/>
                <w:lang w:val="en-GB"/>
              </w:rPr>
              <w:t xml:space="preserve"> (n=115, 54%) or by nurses in the ward (n=99, 46%).</w:t>
            </w:r>
          </w:p>
          <w:p w14:paraId="0699A8A5" w14:textId="77777777" w:rsidR="00927C84" w:rsidRPr="00175753" w:rsidRDefault="00927C84" w:rsidP="0027203C">
            <w:pPr>
              <w:rPr>
                <w:rFonts w:asciiTheme="minorHAnsi" w:hAnsiTheme="minorHAnsi" w:cstheme="minorHAnsi"/>
                <w:color w:val="000000"/>
                <w:sz w:val="20"/>
                <w:szCs w:val="22"/>
                <w:lang w:val="en-GB"/>
              </w:rPr>
            </w:pPr>
          </w:p>
          <w:p w14:paraId="4FE78394"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 xml:space="preserve">1) Concentration accuracy of prepared infusion solution according </w:t>
            </w:r>
            <w:r>
              <w:rPr>
                <w:rFonts w:asciiTheme="minorHAnsi" w:hAnsiTheme="minorHAnsi" w:cstheme="minorHAnsi"/>
                <w:color w:val="000000"/>
                <w:sz w:val="20"/>
                <w:szCs w:val="22"/>
                <w:lang w:val="en-GB"/>
              </w:rPr>
              <w:t xml:space="preserve">to </w:t>
            </w:r>
            <w:r w:rsidRPr="00175753">
              <w:rPr>
                <w:rFonts w:asciiTheme="minorHAnsi" w:hAnsiTheme="minorHAnsi" w:cstheme="minorHAnsi"/>
                <w:sz w:val="20"/>
                <w:szCs w:val="20"/>
                <w:lang w:val="en-GB"/>
              </w:rPr>
              <w:t>the British Pharmacopoeia (±7.5%).</w:t>
            </w:r>
          </w:p>
          <w:p w14:paraId="7FAFA319" w14:textId="78592231"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 xml:space="preserve">﻿2) The frequency and magnitude of deviations found in infusions prepared in </w:t>
            </w:r>
            <w:r>
              <w:rPr>
                <w:rFonts w:asciiTheme="minorHAnsi" w:hAnsiTheme="minorHAnsi" w:cstheme="minorHAnsi"/>
                <w:color w:val="000000"/>
                <w:sz w:val="20"/>
                <w:szCs w:val="22"/>
                <w:lang w:val="en-GB"/>
              </w:rPr>
              <w:t xml:space="preserve">the </w:t>
            </w:r>
            <w:r w:rsidRPr="00175753">
              <w:rPr>
                <w:rFonts w:asciiTheme="minorHAnsi" w:hAnsiTheme="minorHAnsi" w:cstheme="minorHAnsi"/>
                <w:color w:val="000000"/>
                <w:sz w:val="20"/>
                <w:szCs w:val="22"/>
                <w:lang w:val="en-GB"/>
              </w:rPr>
              <w:t>pharmac</w:t>
            </w:r>
            <w:r>
              <w:rPr>
                <w:rFonts w:asciiTheme="minorHAnsi" w:hAnsiTheme="minorHAnsi" w:cstheme="minorHAnsi"/>
                <w:color w:val="000000"/>
                <w:sz w:val="20"/>
                <w:szCs w:val="22"/>
                <w:lang w:val="en-GB"/>
              </w:rPr>
              <w:t>y</w:t>
            </w:r>
            <w:r w:rsidRPr="00175753">
              <w:rPr>
                <w:rFonts w:asciiTheme="minorHAnsi" w:hAnsiTheme="minorHAnsi" w:cstheme="minorHAnsi"/>
                <w:color w:val="000000"/>
                <w:sz w:val="20"/>
                <w:szCs w:val="22"/>
                <w:lang w:val="en-GB"/>
              </w:rPr>
              <w:t xml:space="preserve"> vs. NICU.</w:t>
            </w:r>
          </w:p>
        </w:tc>
        <w:tc>
          <w:tcPr>
            <w:tcW w:w="5245" w:type="dxa"/>
            <w:shd w:val="clear" w:color="auto" w:fill="auto"/>
          </w:tcPr>
          <w:p w14:paraId="1010EA39"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 xml:space="preserve">1) ﻿19.2% of infusions prepared by nurses in the ward and 7.8% prepared in the pharmacy were outside the required limit. A deviation of more than 20% was found in ward-prepared infusions, although this was caused by volume discrepancies of less than 0.2 </w:t>
            </w:r>
            <w:proofErr w:type="spellStart"/>
            <w:r w:rsidRPr="00175753">
              <w:rPr>
                <w:rFonts w:asciiTheme="minorHAnsi" w:hAnsiTheme="minorHAnsi" w:cstheme="minorHAnsi"/>
                <w:sz w:val="20"/>
                <w:szCs w:val="20"/>
                <w:lang w:val="en-GB"/>
              </w:rPr>
              <w:t>mL.</w:t>
            </w:r>
            <w:proofErr w:type="spellEnd"/>
            <w:r w:rsidRPr="00175753">
              <w:rPr>
                <w:rFonts w:asciiTheme="minorHAnsi" w:hAnsiTheme="minorHAnsi" w:cstheme="minorHAnsi"/>
                <w:sz w:val="20"/>
                <w:szCs w:val="20"/>
                <w:lang w:val="en-GB"/>
              </w:rPr>
              <w:t xml:space="preserve"> </w:t>
            </w:r>
          </w:p>
          <w:p w14:paraId="73F65529" w14:textId="0E81A7AB"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 xml:space="preserve">2) The frequency and magnitude of deviations in infusions prepared in pharmacy was lower than in those prepared by NICU. The latter showed </w:t>
            </w:r>
            <w:r>
              <w:rPr>
                <w:rFonts w:asciiTheme="minorHAnsi" w:hAnsiTheme="minorHAnsi" w:cstheme="minorHAnsi"/>
                <w:sz w:val="20"/>
                <w:szCs w:val="20"/>
                <w:lang w:val="en-GB"/>
              </w:rPr>
              <w:t xml:space="preserve">a </w:t>
            </w:r>
            <w:r w:rsidRPr="00175753">
              <w:rPr>
                <w:rFonts w:asciiTheme="minorHAnsi" w:hAnsiTheme="minorHAnsi" w:cstheme="minorHAnsi"/>
                <w:sz w:val="20"/>
                <w:szCs w:val="20"/>
                <w:lang w:val="en-GB"/>
              </w:rPr>
              <w:t>significantly higher number of out-of-specification samples (p=0.015); however, deviations occurred in both settings. Significant differences between pharmacy and NICU for volumes</w:t>
            </w:r>
            <w:r>
              <w:rPr>
                <w:rFonts w:asciiTheme="minorHAnsi" w:hAnsiTheme="minorHAnsi" w:cstheme="minorHAnsi"/>
                <w:sz w:val="20"/>
                <w:szCs w:val="20"/>
                <w:lang w:val="en-GB"/>
              </w:rPr>
              <w:t xml:space="preserve"> of</w:t>
            </w:r>
            <w:r w:rsidRPr="00175753">
              <w:rPr>
                <w:rFonts w:asciiTheme="minorHAnsi" w:hAnsiTheme="minorHAnsi" w:cstheme="minorHAnsi"/>
                <w:sz w:val="20"/>
                <w:szCs w:val="20"/>
                <w:lang w:val="en-GB"/>
              </w:rPr>
              <w:t xml:space="preserve"> &lt;0.5 mL or &lt;1 mL </w:t>
            </w:r>
            <w:r>
              <w:rPr>
                <w:rFonts w:asciiTheme="minorHAnsi" w:hAnsiTheme="minorHAnsi" w:cstheme="minorHAnsi"/>
                <w:sz w:val="20"/>
                <w:szCs w:val="20"/>
                <w:lang w:val="en-GB"/>
              </w:rPr>
              <w:t>were</w:t>
            </w:r>
            <w:r w:rsidRPr="00175753">
              <w:rPr>
                <w:rFonts w:asciiTheme="minorHAnsi" w:hAnsiTheme="minorHAnsi" w:cstheme="minorHAnsi"/>
                <w:sz w:val="20"/>
                <w:szCs w:val="20"/>
                <w:lang w:val="en-GB"/>
              </w:rPr>
              <w:t xml:space="preserve"> not identified</w:t>
            </w:r>
            <w:r>
              <w:rPr>
                <w:rFonts w:asciiTheme="minorHAnsi" w:hAnsiTheme="minorHAnsi" w:cstheme="minorHAnsi"/>
                <w:sz w:val="20"/>
                <w:szCs w:val="20"/>
                <w:lang w:val="en-GB"/>
              </w:rPr>
              <w:t>,</w:t>
            </w:r>
            <w:r w:rsidRPr="00175753">
              <w:rPr>
                <w:rFonts w:asciiTheme="minorHAnsi" w:hAnsiTheme="minorHAnsi" w:cstheme="minorHAnsi"/>
                <w:sz w:val="20"/>
                <w:szCs w:val="20"/>
                <w:lang w:val="en-GB"/>
              </w:rPr>
              <w:t xml:space="preserve"> probably due to small sample size. </w:t>
            </w:r>
          </w:p>
        </w:tc>
      </w:tr>
      <w:tr w:rsidR="00927C84" w:rsidRPr="0090303D" w14:paraId="7D7F8422" w14:textId="77777777" w:rsidTr="0027203C">
        <w:tc>
          <w:tcPr>
            <w:tcW w:w="1086" w:type="dxa"/>
            <w:shd w:val="clear" w:color="auto" w:fill="auto"/>
          </w:tcPr>
          <w:p w14:paraId="7629F104" w14:textId="77777777" w:rsidR="009E5909" w:rsidRDefault="00927C84" w:rsidP="0027203C">
            <w:pPr>
              <w:rPr>
                <w:rFonts w:asciiTheme="minorHAnsi" w:hAnsiTheme="minorHAnsi" w:cstheme="minorHAnsi"/>
                <w:color w:val="000000"/>
                <w:sz w:val="20"/>
                <w:szCs w:val="20"/>
                <w:lang w:val="en-GB"/>
              </w:rPr>
            </w:pPr>
            <w:proofErr w:type="spellStart"/>
            <w:r w:rsidRPr="00175753">
              <w:rPr>
                <w:rFonts w:asciiTheme="minorHAnsi" w:hAnsiTheme="minorHAnsi" w:cstheme="minorHAnsi"/>
                <w:color w:val="000000"/>
                <w:sz w:val="20"/>
                <w:szCs w:val="20"/>
                <w:lang w:val="en-GB"/>
              </w:rPr>
              <w:t>Campino</w:t>
            </w:r>
            <w:proofErr w:type="spellEnd"/>
            <w:r w:rsidRPr="00175753">
              <w:rPr>
                <w:rFonts w:asciiTheme="minorHAnsi" w:hAnsiTheme="minorHAnsi" w:cstheme="minorHAnsi"/>
                <w:color w:val="000000"/>
                <w:sz w:val="20"/>
                <w:szCs w:val="20"/>
                <w:lang w:val="en-GB"/>
              </w:rPr>
              <w:t xml:space="preserve"> et al. </w:t>
            </w:r>
          </w:p>
          <w:p w14:paraId="1AA47650" w14:textId="1BC9B410"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2016</w:t>
            </w:r>
            <w:r w:rsidR="009E5909">
              <w:rPr>
                <w:rFonts w:asciiTheme="minorHAnsi" w:hAnsiTheme="minorHAnsi" w:cstheme="minorHAnsi"/>
                <w:color w:val="000000"/>
                <w:sz w:val="20"/>
                <w:szCs w:val="20"/>
                <w:lang w:val="en-GB"/>
              </w:rPr>
              <w:t xml:space="preserve"> </w:t>
            </w:r>
            <w:r w:rsidR="00490A08" w:rsidRPr="00490A08">
              <w:rPr>
                <w:rFonts w:asciiTheme="minorHAnsi" w:hAnsiTheme="minorHAnsi" w:cstheme="minorHAnsi"/>
                <w:color w:val="000000"/>
                <w:sz w:val="20"/>
                <w:szCs w:val="20"/>
                <w:vertAlign w:val="superscript"/>
                <w:lang w:val="en-GB"/>
              </w:rPr>
              <w:t>2</w:t>
            </w:r>
            <w:r w:rsidR="0090303D">
              <w:rPr>
                <w:rFonts w:asciiTheme="minorHAnsi" w:hAnsiTheme="minorHAnsi" w:cstheme="minorHAnsi"/>
                <w:color w:val="000000"/>
                <w:sz w:val="20"/>
                <w:szCs w:val="20"/>
                <w:vertAlign w:val="superscript"/>
                <w:lang w:val="en-GB"/>
              </w:rPr>
              <w:t>5</w:t>
            </w:r>
          </w:p>
          <w:p w14:paraId="325BAD09" w14:textId="77777777" w:rsidR="00927C84" w:rsidRPr="00175753" w:rsidRDefault="00927C84" w:rsidP="0027203C">
            <w:pPr>
              <w:rPr>
                <w:rFonts w:asciiTheme="minorHAnsi" w:hAnsiTheme="minorHAnsi" w:cstheme="minorHAnsi"/>
                <w:color w:val="000000"/>
                <w:sz w:val="20"/>
                <w:szCs w:val="20"/>
                <w:lang w:val="en-GB"/>
              </w:rPr>
            </w:pPr>
          </w:p>
          <w:p w14:paraId="020A012C"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Spain</w:t>
            </w:r>
          </w:p>
        </w:tc>
        <w:tc>
          <w:tcPr>
            <w:tcW w:w="1744" w:type="dxa"/>
            <w:shd w:val="clear" w:color="auto" w:fill="auto"/>
          </w:tcPr>
          <w:p w14:paraId="54DBB2B9" w14:textId="728226E6"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sz w:val="20"/>
                <w:szCs w:val="20"/>
                <w:lang w:val="en-GB"/>
              </w:rPr>
              <w:t>Observation</w:t>
            </w:r>
            <w:r>
              <w:rPr>
                <w:rFonts w:asciiTheme="minorHAnsi" w:hAnsiTheme="minorHAnsi" w:cstheme="minorHAnsi"/>
                <w:sz w:val="20"/>
                <w:szCs w:val="20"/>
                <w:lang w:val="en-GB"/>
              </w:rPr>
              <w:t>al</w:t>
            </w:r>
            <w:r w:rsidRPr="00175753">
              <w:rPr>
                <w:rFonts w:asciiTheme="minorHAnsi" w:hAnsiTheme="minorHAnsi" w:cstheme="minorHAnsi"/>
                <w:sz w:val="20"/>
                <w:szCs w:val="20"/>
                <w:lang w:val="en-GB"/>
              </w:rPr>
              <w:t xml:space="preserve"> </w:t>
            </w:r>
            <w:r w:rsidR="00B64FA4">
              <w:rPr>
                <w:rFonts w:asciiTheme="minorHAnsi" w:hAnsiTheme="minorHAnsi" w:cstheme="minorHAnsi"/>
                <w:sz w:val="20"/>
                <w:szCs w:val="20"/>
                <w:lang w:val="en-GB"/>
              </w:rPr>
              <w:t xml:space="preserve">controlled </w:t>
            </w:r>
            <w:r w:rsidRPr="00175753">
              <w:rPr>
                <w:rFonts w:asciiTheme="minorHAnsi" w:hAnsiTheme="minorHAnsi" w:cstheme="minorHAnsi"/>
                <w:sz w:val="20"/>
                <w:szCs w:val="20"/>
                <w:lang w:val="en-GB"/>
              </w:rPr>
              <w:t xml:space="preserve">study </w:t>
            </w:r>
            <w:r>
              <w:rPr>
                <w:rFonts w:asciiTheme="minorHAnsi" w:hAnsiTheme="minorHAnsi" w:cstheme="minorHAnsi"/>
                <w:sz w:val="20"/>
                <w:szCs w:val="20"/>
                <w:lang w:val="en-GB"/>
              </w:rPr>
              <w:t>involving the</w:t>
            </w:r>
            <w:r w:rsidRPr="00175753">
              <w:rPr>
                <w:rFonts w:asciiTheme="minorHAnsi" w:hAnsiTheme="minorHAnsi" w:cstheme="minorHAnsi"/>
                <w:sz w:val="20"/>
                <w:szCs w:val="20"/>
                <w:lang w:val="en-GB"/>
              </w:rPr>
              <w:t xml:space="preserve"> analysis of infusion concentrations </w:t>
            </w:r>
            <w:r w:rsidRPr="00175753">
              <w:rPr>
                <w:rFonts w:asciiTheme="minorHAnsi" w:hAnsiTheme="minorHAnsi" w:cstheme="minorHAnsi"/>
                <w:color w:val="000000"/>
                <w:sz w:val="20"/>
                <w:szCs w:val="20"/>
                <w:lang w:val="en-GB"/>
              </w:rPr>
              <w:t>(Low), NICU and hospital pharmacy setting</w:t>
            </w:r>
          </w:p>
        </w:tc>
        <w:tc>
          <w:tcPr>
            <w:tcW w:w="1701" w:type="dxa"/>
            <w:shd w:val="clear" w:color="auto" w:fill="auto"/>
          </w:tcPr>
          <w:p w14:paraId="0B6456D4"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assess the rate and causes of errors in intravenous medicine preparation at bedside in NICUs vs. the preparation error rate in hospital pharmacy</w:t>
            </w:r>
          </w:p>
        </w:tc>
        <w:tc>
          <w:tcPr>
            <w:tcW w:w="4253" w:type="dxa"/>
            <w:shd w:val="clear" w:color="auto" w:fill="auto"/>
          </w:tcPr>
          <w:p w14:paraId="2363B18C"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0"/>
                <w:lang w:val="en-GB"/>
              </w:rPr>
              <w:t>A total of 522 samples of prepared intravenous medications were collected prospectively: 444 from NICUs (study group) and 60 from hospital pharmacy (control).</w:t>
            </w:r>
          </w:p>
          <w:p w14:paraId="429F19FB" w14:textId="77777777" w:rsidR="00927C84" w:rsidRPr="00175753" w:rsidRDefault="00927C84" w:rsidP="0027203C">
            <w:pPr>
              <w:rPr>
                <w:rFonts w:asciiTheme="minorHAnsi" w:hAnsiTheme="minorHAnsi" w:cstheme="minorHAnsi"/>
                <w:color w:val="000000"/>
                <w:sz w:val="20"/>
                <w:szCs w:val="22"/>
                <w:lang w:val="en-GB"/>
              </w:rPr>
            </w:pPr>
          </w:p>
          <w:p w14:paraId="6CB48F04"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1) Identification of calculation errors based on deviation from the intended concentration (</w:t>
            </w:r>
            <w:r w:rsidRPr="00175753">
              <w:rPr>
                <w:rFonts w:asciiTheme="minorHAnsi" w:hAnsiTheme="minorHAnsi" w:cstheme="minorHAnsi"/>
                <w:sz w:val="20"/>
                <w:szCs w:val="20"/>
                <w:lang w:val="en-GB"/>
              </w:rPr>
              <w:t>±10%)</w:t>
            </w:r>
          </w:p>
          <w:p w14:paraId="65DF8EAD"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2) Identification of accuracy errors based on deviation from the intended concentration (</w:t>
            </w:r>
            <w:r w:rsidRPr="00175753">
              <w:rPr>
                <w:rFonts w:asciiTheme="minorHAnsi" w:hAnsiTheme="minorHAnsi" w:cstheme="minorHAnsi"/>
                <w:sz w:val="20"/>
                <w:szCs w:val="20"/>
                <w:lang w:val="en-GB"/>
              </w:rPr>
              <w:t>±10%)</w:t>
            </w:r>
          </w:p>
        </w:tc>
        <w:tc>
          <w:tcPr>
            <w:tcW w:w="5245" w:type="dxa"/>
            <w:shd w:val="clear" w:color="auto" w:fill="auto"/>
          </w:tcPr>
          <w:p w14:paraId="4C71775C"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sz w:val="20"/>
                <w:szCs w:val="20"/>
                <w:lang w:val="en-GB"/>
              </w:rPr>
              <w:t xml:space="preserve">1) </w:t>
            </w:r>
            <w:r w:rsidRPr="00175753">
              <w:rPr>
                <w:rFonts w:asciiTheme="minorHAnsi" w:hAnsiTheme="minorHAnsi" w:cstheme="minorHAnsi"/>
                <w:color w:val="000000"/>
                <w:sz w:val="20"/>
                <w:szCs w:val="20"/>
                <w:lang w:val="en-GB"/>
              </w:rPr>
              <w:t>Calculation errors were detected in 6/444 (1.35 %) samples prepared in NICUs. Three calculation errors came from NICUs that did not use standard concentrations. No calculation errors were detected in hospital pharmacy samples.</w:t>
            </w:r>
          </w:p>
          <w:p w14:paraId="37FCEF92"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2) Accuracy errors were detected in 243/444 (54.7 %) samples prepared in NICUs and in 23/60 (38.3 %) samples prepared in hospital pharmacy. Weak points detected in the video analysis were the use of oversized syringes, failure to achieve good mixing and lack of volume control (vials or ampoules fully loaded) in NICUs and an insufficient mixing time in the hospital pharmacy.</w:t>
            </w:r>
          </w:p>
        </w:tc>
      </w:tr>
      <w:tr w:rsidR="00927C84" w:rsidRPr="0090303D" w14:paraId="710DC2F8" w14:textId="77777777" w:rsidTr="0027203C">
        <w:tc>
          <w:tcPr>
            <w:tcW w:w="1086" w:type="dxa"/>
            <w:shd w:val="clear" w:color="auto" w:fill="auto"/>
          </w:tcPr>
          <w:p w14:paraId="5FCEF887" w14:textId="77777777" w:rsidR="009E5909"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lastRenderedPageBreak/>
              <w:t xml:space="preserve">Donaldson et al. </w:t>
            </w:r>
          </w:p>
          <w:p w14:paraId="1FFD133A" w14:textId="35C5A376"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2011</w:t>
            </w:r>
            <w:r w:rsidR="009E5909">
              <w:rPr>
                <w:rFonts w:asciiTheme="minorHAnsi" w:hAnsiTheme="minorHAnsi" w:cstheme="minorHAnsi"/>
                <w:color w:val="000000"/>
                <w:sz w:val="20"/>
                <w:szCs w:val="20"/>
                <w:lang w:val="en-GB"/>
              </w:rPr>
              <w:t xml:space="preserve"> </w:t>
            </w:r>
            <w:r w:rsidRPr="00490A08">
              <w:rPr>
                <w:rFonts w:asciiTheme="minorHAnsi" w:hAnsiTheme="minorHAnsi" w:cstheme="minorHAnsi"/>
                <w:color w:val="000000"/>
                <w:sz w:val="20"/>
                <w:szCs w:val="20"/>
                <w:vertAlign w:val="superscript"/>
                <w:lang w:val="en-GB"/>
              </w:rPr>
              <w:t>2</w:t>
            </w:r>
            <w:r w:rsidR="0090303D">
              <w:rPr>
                <w:rFonts w:asciiTheme="minorHAnsi" w:hAnsiTheme="minorHAnsi" w:cstheme="minorHAnsi"/>
                <w:color w:val="000000"/>
                <w:sz w:val="20"/>
                <w:szCs w:val="20"/>
                <w:vertAlign w:val="superscript"/>
                <w:lang w:val="en-GB"/>
              </w:rPr>
              <w:t>1</w:t>
            </w:r>
          </w:p>
          <w:p w14:paraId="4AD749BF" w14:textId="77777777" w:rsidR="00927C84" w:rsidRPr="00175753" w:rsidRDefault="00927C84" w:rsidP="0027203C">
            <w:pPr>
              <w:rPr>
                <w:rFonts w:asciiTheme="minorHAnsi" w:hAnsiTheme="minorHAnsi" w:cstheme="minorHAnsi"/>
                <w:color w:val="000000"/>
                <w:sz w:val="20"/>
                <w:szCs w:val="20"/>
                <w:lang w:val="en-GB"/>
              </w:rPr>
            </w:pPr>
          </w:p>
          <w:p w14:paraId="40350EA3"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United Kingdom</w:t>
            </w:r>
          </w:p>
        </w:tc>
        <w:tc>
          <w:tcPr>
            <w:tcW w:w="1744" w:type="dxa"/>
            <w:shd w:val="clear" w:color="auto" w:fill="auto"/>
          </w:tcPr>
          <w:p w14:paraId="4E7F4C6B" w14:textId="6D95A1BB"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sz w:val="20"/>
                <w:szCs w:val="20"/>
                <w:lang w:val="en-GB"/>
              </w:rPr>
              <w:t>Observation</w:t>
            </w:r>
            <w:r>
              <w:rPr>
                <w:rFonts w:asciiTheme="minorHAnsi" w:hAnsiTheme="minorHAnsi" w:cstheme="minorHAnsi"/>
                <w:sz w:val="20"/>
                <w:szCs w:val="20"/>
                <w:lang w:val="en-GB"/>
              </w:rPr>
              <w:t>al</w:t>
            </w:r>
            <w:r w:rsidRPr="00175753">
              <w:rPr>
                <w:rFonts w:asciiTheme="minorHAnsi" w:hAnsiTheme="minorHAnsi" w:cstheme="minorHAnsi"/>
                <w:sz w:val="20"/>
                <w:szCs w:val="20"/>
                <w:lang w:val="en-GB"/>
              </w:rPr>
              <w:t xml:space="preserve"> </w:t>
            </w:r>
            <w:r w:rsidR="00731B75">
              <w:rPr>
                <w:rFonts w:asciiTheme="minorHAnsi" w:hAnsiTheme="minorHAnsi" w:cstheme="minorHAnsi"/>
                <w:sz w:val="20"/>
                <w:szCs w:val="20"/>
                <w:lang w:val="en-GB"/>
              </w:rPr>
              <w:t xml:space="preserve">controlled </w:t>
            </w:r>
            <w:r w:rsidRPr="00175753">
              <w:rPr>
                <w:rFonts w:asciiTheme="minorHAnsi" w:hAnsiTheme="minorHAnsi" w:cstheme="minorHAnsi"/>
                <w:sz w:val="20"/>
                <w:szCs w:val="20"/>
                <w:lang w:val="en-GB"/>
              </w:rPr>
              <w:t xml:space="preserve">study </w:t>
            </w:r>
            <w:r>
              <w:rPr>
                <w:rFonts w:asciiTheme="minorHAnsi" w:hAnsiTheme="minorHAnsi" w:cstheme="minorHAnsi"/>
                <w:sz w:val="20"/>
                <w:szCs w:val="20"/>
                <w:lang w:val="en-GB"/>
              </w:rPr>
              <w:t xml:space="preserve">involving the </w:t>
            </w:r>
            <w:r w:rsidRPr="00175753">
              <w:rPr>
                <w:rFonts w:asciiTheme="minorHAnsi" w:hAnsiTheme="minorHAnsi" w:cstheme="minorHAnsi"/>
                <w:sz w:val="20"/>
                <w:szCs w:val="20"/>
                <w:lang w:val="en-GB"/>
              </w:rPr>
              <w:t xml:space="preserve">analysis of infusion concentrations </w:t>
            </w:r>
            <w:r w:rsidRPr="00175753">
              <w:rPr>
                <w:rFonts w:asciiTheme="minorHAnsi" w:hAnsiTheme="minorHAnsi" w:cstheme="minorHAnsi"/>
                <w:color w:val="000000"/>
                <w:sz w:val="20"/>
                <w:szCs w:val="20"/>
                <w:lang w:val="en-GB"/>
              </w:rPr>
              <w:t>(Low), hospital ward setting</w:t>
            </w:r>
          </w:p>
        </w:tc>
        <w:tc>
          <w:tcPr>
            <w:tcW w:w="1701" w:type="dxa"/>
            <w:shd w:val="clear" w:color="auto" w:fill="auto"/>
          </w:tcPr>
          <w:p w14:paraId="04A39079"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determine the safest way of preparing homogenous electrolyte solutions for parenteral infusion</w:t>
            </w:r>
          </w:p>
        </w:tc>
        <w:tc>
          <w:tcPr>
            <w:tcW w:w="4253" w:type="dxa"/>
            <w:shd w:val="clear" w:color="auto" w:fill="auto"/>
          </w:tcPr>
          <w:p w14:paraId="11EA1F24"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 xml:space="preserve">﻿400 mmol/l infusions of </w:t>
            </w:r>
            <w:proofErr w:type="spellStart"/>
            <w:r w:rsidRPr="00175753">
              <w:rPr>
                <w:rFonts w:asciiTheme="minorHAnsi" w:hAnsiTheme="minorHAnsi" w:cstheme="minorHAnsi"/>
                <w:color w:val="000000"/>
                <w:sz w:val="20"/>
                <w:szCs w:val="22"/>
                <w:lang w:val="en-GB"/>
              </w:rPr>
              <w:t>KCl</w:t>
            </w:r>
            <w:proofErr w:type="spellEnd"/>
            <w:r w:rsidRPr="00175753">
              <w:rPr>
                <w:rFonts w:asciiTheme="minorHAnsi" w:hAnsiTheme="minorHAnsi" w:cstheme="minorHAnsi"/>
                <w:color w:val="000000"/>
                <w:sz w:val="20"/>
                <w:szCs w:val="22"/>
                <w:lang w:val="en-GB"/>
              </w:rPr>
              <w:t xml:space="preserve"> (n=16) and MgSO</w:t>
            </w:r>
            <w:r w:rsidRPr="00175753">
              <w:rPr>
                <w:rFonts w:asciiTheme="minorHAnsi" w:hAnsiTheme="minorHAnsi" w:cstheme="minorHAnsi"/>
                <w:color w:val="000000"/>
                <w:sz w:val="20"/>
                <w:szCs w:val="22"/>
                <w:vertAlign w:val="subscript"/>
                <w:lang w:val="en-GB"/>
              </w:rPr>
              <w:t>4</w:t>
            </w:r>
            <w:r w:rsidRPr="00175753">
              <w:rPr>
                <w:rFonts w:asciiTheme="minorHAnsi" w:hAnsiTheme="minorHAnsi" w:cstheme="minorHAnsi"/>
                <w:color w:val="000000"/>
                <w:sz w:val="20"/>
                <w:szCs w:val="22"/>
                <w:lang w:val="en-GB"/>
              </w:rPr>
              <w:t xml:space="preserve"> (n=16) diluted from concentrated stock solutions in 0.9% </w:t>
            </w:r>
            <w:proofErr w:type="spellStart"/>
            <w:r w:rsidRPr="00175753">
              <w:rPr>
                <w:rFonts w:asciiTheme="minorHAnsi" w:hAnsiTheme="minorHAnsi" w:cstheme="minorHAnsi"/>
                <w:color w:val="000000"/>
                <w:sz w:val="20"/>
                <w:szCs w:val="22"/>
                <w:lang w:val="en-GB"/>
              </w:rPr>
              <w:t>NaCl</w:t>
            </w:r>
            <w:proofErr w:type="spellEnd"/>
            <w:r w:rsidRPr="00175753">
              <w:rPr>
                <w:rFonts w:asciiTheme="minorHAnsi" w:hAnsiTheme="minorHAnsi" w:cstheme="minorHAnsi"/>
                <w:color w:val="000000"/>
                <w:sz w:val="20"/>
                <w:szCs w:val="22"/>
                <w:lang w:val="en-GB"/>
              </w:rPr>
              <w:t xml:space="preserve"> in 50ml syringes or 100ml PVC-bags. Mixed by inverting 10 times or agitating vigorously with a ‘vortex’ for 60</w:t>
            </w:r>
            <w:r>
              <w:rPr>
                <w:rFonts w:asciiTheme="minorHAnsi" w:hAnsiTheme="minorHAnsi" w:cstheme="minorHAnsi"/>
                <w:color w:val="000000"/>
                <w:sz w:val="20"/>
                <w:szCs w:val="22"/>
                <w:lang w:val="en-GB"/>
              </w:rPr>
              <w:t xml:space="preserve"> </w:t>
            </w:r>
            <w:r w:rsidRPr="00175753">
              <w:rPr>
                <w:rFonts w:asciiTheme="minorHAnsi" w:hAnsiTheme="minorHAnsi" w:cstheme="minorHAnsi"/>
                <w:color w:val="000000"/>
                <w:sz w:val="20"/>
                <w:szCs w:val="22"/>
                <w:lang w:val="en-GB"/>
              </w:rPr>
              <w:t>s. Infused immediately or left to stand for 24 h.</w:t>
            </w:r>
          </w:p>
          <w:p w14:paraId="5DB96FDC" w14:textId="77777777" w:rsidR="00927C84" w:rsidRPr="00175753" w:rsidRDefault="00927C84" w:rsidP="0027203C">
            <w:pPr>
              <w:rPr>
                <w:rFonts w:asciiTheme="minorHAnsi" w:hAnsiTheme="minorHAnsi" w:cstheme="minorHAnsi"/>
                <w:color w:val="000000" w:themeColor="text1"/>
                <w:sz w:val="20"/>
                <w:lang w:val="en-GB"/>
              </w:rPr>
            </w:pPr>
          </w:p>
          <w:p w14:paraId="2E052536"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1) Concentrations of potassium and magnesium measured at regular intervals during infusions according to the US Pharmacopeia (</w:t>
            </w:r>
            <w:r w:rsidRPr="00175753">
              <w:rPr>
                <w:rFonts w:asciiTheme="minorHAnsi" w:hAnsiTheme="minorHAnsi" w:cstheme="minorHAnsi"/>
                <w:sz w:val="20"/>
                <w:szCs w:val="20"/>
                <w:lang w:val="en-GB"/>
              </w:rPr>
              <w:t>±</w:t>
            </w:r>
            <w:r w:rsidRPr="00175753">
              <w:rPr>
                <w:rFonts w:asciiTheme="minorHAnsi" w:hAnsiTheme="minorHAnsi" w:cstheme="minorHAnsi"/>
                <w:color w:val="000000"/>
                <w:sz w:val="20"/>
                <w:szCs w:val="20"/>
                <w:lang w:val="en-GB"/>
              </w:rPr>
              <w:t>10%)</w:t>
            </w:r>
          </w:p>
          <w:p w14:paraId="16715DBD"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2) The overall homogeneity of the infusions quantified by the coefficient of variation (﻿the ratio of the standard devi</w:t>
            </w:r>
            <w:r>
              <w:rPr>
                <w:rFonts w:asciiTheme="minorHAnsi" w:hAnsiTheme="minorHAnsi" w:cstheme="minorHAnsi"/>
                <w:color w:val="000000"/>
                <w:sz w:val="20"/>
                <w:szCs w:val="20"/>
                <w:lang w:val="en-GB"/>
              </w:rPr>
              <w:t>a</w:t>
            </w:r>
            <w:r w:rsidRPr="00175753">
              <w:rPr>
                <w:rFonts w:asciiTheme="minorHAnsi" w:hAnsiTheme="minorHAnsi" w:cstheme="minorHAnsi"/>
                <w:color w:val="000000"/>
                <w:sz w:val="20"/>
                <w:szCs w:val="20"/>
                <w:lang w:val="en-GB"/>
              </w:rPr>
              <w:t>tion of each infusion to the mean value of that infusion)</w:t>
            </w:r>
          </w:p>
        </w:tc>
        <w:tc>
          <w:tcPr>
            <w:tcW w:w="5245" w:type="dxa"/>
            <w:shd w:val="clear" w:color="auto" w:fill="auto"/>
          </w:tcPr>
          <w:p w14:paraId="1625DC53" w14:textId="5BBCAB8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1) ﻿ Most of the infusions showed &lt;10% variation from the expected concentration regardless of preparation technique. In general, the infusions delivered from syringes were more heterogeneous than those delivered from PVC bags. The concentrations of four magnesium infusions in syringes were &gt;10% more concentrated than expected; one had a concentration 21.8% (95% CI 20.5%</w:t>
            </w:r>
            <w:r>
              <w:rPr>
                <w:rFonts w:asciiTheme="minorHAnsi" w:hAnsiTheme="minorHAnsi" w:cstheme="minorHAnsi"/>
                <w:sz w:val="20"/>
                <w:szCs w:val="20"/>
                <w:lang w:val="en-GB"/>
              </w:rPr>
              <w:t>-</w:t>
            </w:r>
            <w:r w:rsidRPr="00175753">
              <w:rPr>
                <w:rFonts w:asciiTheme="minorHAnsi" w:hAnsiTheme="minorHAnsi" w:cstheme="minorHAnsi"/>
                <w:sz w:val="20"/>
                <w:szCs w:val="20"/>
                <w:lang w:val="en-GB"/>
              </w:rPr>
              <w:t xml:space="preserve">23.1%) greater than expected for the first 5 min of the infusion. </w:t>
            </w:r>
          </w:p>
          <w:p w14:paraId="45822CA0"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2) The coefficients of variation of the infusions given immediately were greater than those that had been left to stand.</w:t>
            </w:r>
          </w:p>
          <w:p w14:paraId="2DF6D31D" w14:textId="77777777" w:rsidR="00927C84" w:rsidRPr="00175753" w:rsidRDefault="00927C84" w:rsidP="0027203C">
            <w:pPr>
              <w:rPr>
                <w:rFonts w:asciiTheme="minorHAnsi" w:hAnsiTheme="minorHAnsi" w:cstheme="minorHAnsi"/>
                <w:sz w:val="20"/>
                <w:szCs w:val="20"/>
                <w:lang w:val="en-GB"/>
              </w:rPr>
            </w:pPr>
          </w:p>
        </w:tc>
      </w:tr>
      <w:tr w:rsidR="00927C84" w:rsidRPr="0090303D" w14:paraId="11DA70D7" w14:textId="77777777" w:rsidTr="0027203C">
        <w:tc>
          <w:tcPr>
            <w:tcW w:w="1086" w:type="dxa"/>
            <w:shd w:val="clear" w:color="auto" w:fill="auto"/>
          </w:tcPr>
          <w:p w14:paraId="37FD9037" w14:textId="593738FE" w:rsidR="00927C84" w:rsidRPr="00175753" w:rsidRDefault="00927C84" w:rsidP="0027203C">
            <w:pPr>
              <w:rPr>
                <w:rFonts w:asciiTheme="minorHAnsi" w:hAnsiTheme="minorHAnsi" w:cstheme="minorHAnsi"/>
                <w:color w:val="000000"/>
                <w:sz w:val="20"/>
                <w:szCs w:val="20"/>
                <w:lang w:val="en-GB"/>
              </w:rPr>
            </w:pPr>
            <w:proofErr w:type="spellStart"/>
            <w:r w:rsidRPr="00175753">
              <w:rPr>
                <w:rFonts w:asciiTheme="minorHAnsi" w:hAnsiTheme="minorHAnsi" w:cstheme="minorHAnsi"/>
                <w:color w:val="000000"/>
                <w:sz w:val="20"/>
                <w:szCs w:val="20"/>
                <w:lang w:val="en-GB"/>
              </w:rPr>
              <w:t>Keers</w:t>
            </w:r>
            <w:proofErr w:type="spellEnd"/>
            <w:r w:rsidRPr="00175753">
              <w:rPr>
                <w:rFonts w:asciiTheme="minorHAnsi" w:hAnsiTheme="minorHAnsi" w:cstheme="minorHAnsi"/>
                <w:color w:val="000000"/>
                <w:sz w:val="20"/>
                <w:szCs w:val="20"/>
                <w:lang w:val="en-GB"/>
              </w:rPr>
              <w:t xml:space="preserve"> et al. 2015</w:t>
            </w:r>
            <w:r w:rsidR="009E5909">
              <w:rPr>
                <w:rFonts w:asciiTheme="minorHAnsi" w:hAnsiTheme="minorHAnsi" w:cstheme="minorHAnsi"/>
                <w:color w:val="000000"/>
                <w:sz w:val="20"/>
                <w:szCs w:val="20"/>
                <w:lang w:val="en-GB"/>
              </w:rPr>
              <w:t xml:space="preserve"> </w:t>
            </w:r>
            <w:r w:rsidRPr="00490A08">
              <w:rPr>
                <w:rFonts w:asciiTheme="minorHAnsi" w:hAnsiTheme="minorHAnsi" w:cstheme="minorHAnsi"/>
                <w:color w:val="000000"/>
                <w:sz w:val="20"/>
                <w:szCs w:val="20"/>
                <w:vertAlign w:val="superscript"/>
                <w:lang w:val="en-GB"/>
              </w:rPr>
              <w:t>2</w:t>
            </w:r>
            <w:r w:rsidR="0090303D">
              <w:rPr>
                <w:rFonts w:asciiTheme="minorHAnsi" w:hAnsiTheme="minorHAnsi" w:cstheme="minorHAnsi"/>
                <w:color w:val="000000"/>
                <w:sz w:val="20"/>
                <w:szCs w:val="20"/>
                <w:vertAlign w:val="superscript"/>
                <w:lang w:val="en-GB"/>
              </w:rPr>
              <w:t>0</w:t>
            </w:r>
          </w:p>
          <w:p w14:paraId="15926C05" w14:textId="77777777" w:rsidR="00927C84" w:rsidRPr="00175753" w:rsidRDefault="00927C84" w:rsidP="0027203C">
            <w:pPr>
              <w:rPr>
                <w:rFonts w:asciiTheme="minorHAnsi" w:hAnsiTheme="minorHAnsi" w:cstheme="minorHAnsi"/>
                <w:color w:val="000000"/>
                <w:sz w:val="20"/>
                <w:szCs w:val="20"/>
                <w:lang w:val="en-GB"/>
              </w:rPr>
            </w:pPr>
          </w:p>
          <w:p w14:paraId="2D46ADB8"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United Kingdom</w:t>
            </w:r>
          </w:p>
        </w:tc>
        <w:tc>
          <w:tcPr>
            <w:tcW w:w="1744" w:type="dxa"/>
            <w:shd w:val="clear" w:color="auto" w:fill="auto"/>
          </w:tcPr>
          <w:p w14:paraId="0B8344A3"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themeColor="text1"/>
                <w:sz w:val="20"/>
                <w:szCs w:val="20"/>
                <w:lang w:val="en-GB"/>
              </w:rPr>
              <w:t>Interview study (qualitative, semi</w:t>
            </w:r>
            <w:r>
              <w:rPr>
                <w:rFonts w:asciiTheme="minorHAnsi" w:hAnsiTheme="minorHAnsi" w:cstheme="minorHAnsi"/>
                <w:color w:val="000000" w:themeColor="text1"/>
                <w:sz w:val="20"/>
                <w:szCs w:val="20"/>
                <w:lang w:val="en-GB"/>
              </w:rPr>
              <w:t>-</w:t>
            </w:r>
            <w:r w:rsidRPr="00175753">
              <w:rPr>
                <w:rFonts w:asciiTheme="minorHAnsi" w:hAnsiTheme="minorHAnsi" w:cstheme="minorHAnsi"/>
                <w:color w:val="000000" w:themeColor="text1"/>
                <w:sz w:val="20"/>
                <w:szCs w:val="20"/>
                <w:lang w:val="en-GB"/>
              </w:rPr>
              <w:t>structured) (Low), hospital setting</w:t>
            </w:r>
          </w:p>
        </w:tc>
        <w:tc>
          <w:tcPr>
            <w:tcW w:w="1701" w:type="dxa"/>
            <w:shd w:val="clear" w:color="auto" w:fill="auto"/>
          </w:tcPr>
          <w:p w14:paraId="45ECDE0E"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investigate the underlying causes of intravenous medication administration errors (MAEs)</w:t>
            </w:r>
          </w:p>
        </w:tc>
        <w:tc>
          <w:tcPr>
            <w:tcW w:w="4253" w:type="dxa"/>
            <w:shd w:val="clear" w:color="auto" w:fill="auto"/>
          </w:tcPr>
          <w:p w14:paraId="2B0FABCF" w14:textId="700D3FCB"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b/>
                <w:sz w:val="20"/>
                <w:szCs w:val="20"/>
                <w:lang w:val="en-GB"/>
              </w:rPr>
              <w:t>﻿</w:t>
            </w:r>
            <w:r w:rsidRPr="00A12456">
              <w:rPr>
                <w:rFonts w:asciiTheme="minorHAnsi" w:hAnsiTheme="minorHAnsi" w:cstheme="minorHAnsi"/>
                <w:sz w:val="20"/>
                <w:szCs w:val="20"/>
                <w:lang w:val="en-GB"/>
              </w:rPr>
              <w:t>I</w:t>
            </w:r>
            <w:r w:rsidRPr="00175753">
              <w:rPr>
                <w:rFonts w:asciiTheme="minorHAnsi" w:hAnsiTheme="minorHAnsi" w:cstheme="minorHAnsi"/>
                <w:sz w:val="20"/>
                <w:szCs w:val="20"/>
                <w:lang w:val="en-GB"/>
              </w:rPr>
              <w:t xml:space="preserve">nterviews were conducted with nurses (n=20) using the critical incident technique, where they were asked to discuss perceived causes of MAEs that they had been directly involved with (n=21). Transcribed interviews were analysed using the </w:t>
            </w:r>
            <w:r>
              <w:rPr>
                <w:rFonts w:asciiTheme="minorHAnsi" w:hAnsiTheme="minorHAnsi" w:cstheme="minorHAnsi"/>
                <w:sz w:val="20"/>
                <w:szCs w:val="20"/>
                <w:lang w:val="en-GB"/>
              </w:rPr>
              <w:t>f</w:t>
            </w:r>
            <w:r w:rsidRPr="00175753">
              <w:rPr>
                <w:rFonts w:asciiTheme="minorHAnsi" w:hAnsiTheme="minorHAnsi" w:cstheme="minorHAnsi"/>
                <w:sz w:val="20"/>
                <w:szCs w:val="20"/>
                <w:lang w:val="en-GB"/>
              </w:rPr>
              <w:t>ramework approach and emerging themes were categorised according to Reason’s model of accident causation.</w:t>
            </w:r>
            <w:r w:rsidRPr="00175753">
              <w:rPr>
                <w:rFonts w:asciiTheme="minorHAnsi" w:hAnsiTheme="minorHAnsi" w:cstheme="minorHAnsi"/>
                <w:b/>
                <w:sz w:val="20"/>
                <w:szCs w:val="20"/>
                <w:lang w:val="en-GB"/>
              </w:rPr>
              <w:t xml:space="preserve"> </w:t>
            </w:r>
          </w:p>
          <w:p w14:paraId="33604FC4" w14:textId="77777777" w:rsidR="00052375" w:rsidRDefault="00052375" w:rsidP="0027203C">
            <w:pPr>
              <w:rPr>
                <w:rFonts w:asciiTheme="minorHAnsi" w:hAnsiTheme="minorHAnsi" w:cstheme="minorHAnsi"/>
                <w:sz w:val="20"/>
                <w:szCs w:val="20"/>
                <w:lang w:val="en-GB"/>
              </w:rPr>
            </w:pPr>
          </w:p>
          <w:p w14:paraId="133EED2F" w14:textId="79BA75FA"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1) Active failures (including system</w:t>
            </w:r>
            <w:r w:rsidR="00052375">
              <w:rPr>
                <w:rFonts w:asciiTheme="minorHAnsi" w:hAnsiTheme="minorHAnsi" w:cstheme="minorHAnsi"/>
                <w:sz w:val="20"/>
                <w:szCs w:val="20"/>
                <w:lang w:val="en-GB"/>
              </w:rPr>
              <w:t>ic</w:t>
            </w:r>
            <w:r w:rsidRPr="00175753">
              <w:rPr>
                <w:rFonts w:asciiTheme="minorHAnsi" w:hAnsiTheme="minorHAnsi" w:cstheme="minorHAnsi"/>
                <w:sz w:val="20"/>
                <w:szCs w:val="20"/>
                <w:lang w:val="en-GB"/>
              </w:rPr>
              <w:t xml:space="preserve"> causes of errors)</w:t>
            </w:r>
          </w:p>
          <w:p w14:paraId="701DD466" w14:textId="77777777" w:rsidR="00927C84" w:rsidRPr="00175753" w:rsidRDefault="00927C84" w:rsidP="0027203C">
            <w:pPr>
              <w:rPr>
                <w:rFonts w:asciiTheme="minorHAnsi" w:hAnsiTheme="minorHAnsi" w:cstheme="minorHAnsi"/>
                <w:color w:val="000000"/>
                <w:sz w:val="20"/>
                <w:szCs w:val="22"/>
                <w:lang w:val="en-GB"/>
              </w:rPr>
            </w:pPr>
            <w:r w:rsidRPr="00175753">
              <w:rPr>
                <w:rFonts w:asciiTheme="minorHAnsi" w:hAnsiTheme="minorHAnsi" w:cstheme="minorHAnsi"/>
                <w:color w:val="000000"/>
                <w:sz w:val="20"/>
                <w:szCs w:val="22"/>
                <w:lang w:val="en-GB"/>
              </w:rPr>
              <w:t>2) Error and violation provoking conditions (contributing factors to medication errors)</w:t>
            </w:r>
          </w:p>
        </w:tc>
        <w:tc>
          <w:tcPr>
            <w:tcW w:w="5245" w:type="dxa"/>
            <w:shd w:val="clear" w:color="auto" w:fill="auto"/>
          </w:tcPr>
          <w:p w14:paraId="436A5354"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sz w:val="20"/>
                <w:szCs w:val="20"/>
                <w:lang w:val="en-GB"/>
              </w:rPr>
              <w:t xml:space="preserve">1) </w:t>
            </w:r>
            <w:r w:rsidRPr="00175753">
              <w:rPr>
                <w:rFonts w:asciiTheme="minorHAnsi" w:hAnsiTheme="minorHAnsi" w:cstheme="minorHAnsi"/>
                <w:color w:val="000000"/>
                <w:sz w:val="20"/>
                <w:szCs w:val="20"/>
                <w:lang w:val="en-GB"/>
              </w:rPr>
              <w:t>MAEs contained 23 individual active failures: slips and lapses (n=11), mistakes (n=8) and deliberate violations of policy (n=4). MAEs ﻿ shared causal elements such as equipment design (e.g. look-a-like medicines), distractions, lack of sufficient knowledge, unavailability of support resources and ﻿a decision not to challenge or question another member of the healthcare team.</w:t>
            </w:r>
          </w:p>
          <w:p w14:paraId="610B842C"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sz w:val="20"/>
                <w:szCs w:val="20"/>
                <w:lang w:val="en-GB"/>
              </w:rPr>
              <w:t>2) Each active failure was associated with a range of error and violation provoking conditions. The working environment was implicated when nurses lacked healthcare team support and/or were exposed to a perceived increased workload during ward rounds, shift changes or emergencies. Nurses frequently reported that the quality of dose-checking activities was compromised.</w:t>
            </w:r>
          </w:p>
        </w:tc>
      </w:tr>
      <w:tr w:rsidR="00927C84" w:rsidRPr="0090303D" w14:paraId="17ACA925" w14:textId="77777777" w:rsidTr="0027203C">
        <w:tc>
          <w:tcPr>
            <w:tcW w:w="1086" w:type="dxa"/>
            <w:shd w:val="clear" w:color="auto" w:fill="auto"/>
          </w:tcPr>
          <w:p w14:paraId="0427AE51" w14:textId="259471F9"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Kim et al. 2014</w:t>
            </w:r>
            <w:r w:rsidR="009E5909">
              <w:rPr>
                <w:rFonts w:asciiTheme="minorHAnsi" w:hAnsiTheme="minorHAnsi" w:cstheme="minorHAnsi"/>
                <w:color w:val="000000"/>
                <w:sz w:val="20"/>
                <w:szCs w:val="20"/>
                <w:lang w:val="en-GB"/>
              </w:rPr>
              <w:t xml:space="preserve"> </w:t>
            </w:r>
            <w:r w:rsidRPr="00490A08">
              <w:rPr>
                <w:rFonts w:asciiTheme="minorHAnsi" w:hAnsiTheme="minorHAnsi" w:cstheme="minorHAnsi"/>
                <w:color w:val="000000"/>
                <w:sz w:val="20"/>
                <w:szCs w:val="20"/>
                <w:vertAlign w:val="superscript"/>
                <w:lang w:val="en-GB"/>
              </w:rPr>
              <w:t>2</w:t>
            </w:r>
            <w:r w:rsidR="0090303D">
              <w:rPr>
                <w:rFonts w:asciiTheme="minorHAnsi" w:hAnsiTheme="minorHAnsi" w:cstheme="minorHAnsi"/>
                <w:color w:val="000000"/>
                <w:sz w:val="20"/>
                <w:szCs w:val="20"/>
                <w:vertAlign w:val="superscript"/>
                <w:lang w:val="en-GB"/>
              </w:rPr>
              <w:t>7</w:t>
            </w:r>
          </w:p>
          <w:p w14:paraId="01571479" w14:textId="77777777" w:rsidR="00927C84" w:rsidRPr="00175753" w:rsidRDefault="00927C84" w:rsidP="0027203C">
            <w:pPr>
              <w:rPr>
                <w:rFonts w:asciiTheme="minorHAnsi" w:hAnsiTheme="minorHAnsi" w:cstheme="minorHAnsi"/>
                <w:color w:val="000000"/>
                <w:sz w:val="20"/>
                <w:szCs w:val="20"/>
                <w:lang w:val="en-GB"/>
              </w:rPr>
            </w:pPr>
          </w:p>
          <w:p w14:paraId="04B91E88"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Republic of Korea</w:t>
            </w:r>
          </w:p>
        </w:tc>
        <w:tc>
          <w:tcPr>
            <w:tcW w:w="1744" w:type="dxa"/>
            <w:shd w:val="clear" w:color="auto" w:fill="auto"/>
          </w:tcPr>
          <w:p w14:paraId="4CD50034"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themeColor="text1"/>
                <w:sz w:val="20"/>
                <w:szCs w:val="20"/>
                <w:lang w:val="en-GB"/>
              </w:rPr>
              <w:t>Interview study (</w:t>
            </w:r>
            <w:r w:rsidRPr="00175753">
              <w:rPr>
                <w:rFonts w:asciiTheme="minorHAnsi" w:hAnsiTheme="minorHAnsi" w:cstheme="minorHAnsi"/>
                <w:color w:val="000000"/>
                <w:sz w:val="20"/>
                <w:szCs w:val="20"/>
                <w:lang w:val="en-GB"/>
              </w:rPr>
              <w:t>focus-group) (Low), hospital setting</w:t>
            </w:r>
          </w:p>
        </w:tc>
        <w:tc>
          <w:tcPr>
            <w:tcW w:w="1701" w:type="dxa"/>
            <w:shd w:val="clear" w:color="auto" w:fill="auto"/>
          </w:tcPr>
          <w:p w14:paraId="2275A417"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identify the causes of and problems associated with high-risk intravenous injection errors</w:t>
            </w:r>
          </w:p>
        </w:tc>
        <w:tc>
          <w:tcPr>
            <w:tcW w:w="4253" w:type="dxa"/>
            <w:shd w:val="clear" w:color="auto" w:fill="auto"/>
          </w:tcPr>
          <w:p w14:paraId="1624CEBD" w14:textId="6C1AD38E"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 xml:space="preserve">A focus-group interview was carried out with 13 healthcare professionals (7 nurses, 3 doctors, 3 pharmacists) under the theme of </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the causes and problems of errors relevant to high-risk intravenous injection</w:t>
            </w:r>
            <w:r>
              <w:rPr>
                <w:rFonts w:asciiTheme="minorHAnsi" w:hAnsiTheme="minorHAnsi" w:cstheme="minorHAnsi"/>
                <w:color w:val="000000"/>
                <w:sz w:val="20"/>
                <w:szCs w:val="20"/>
                <w:lang w:val="en-GB"/>
              </w:rPr>
              <w:t>s conducted by</w:t>
            </w:r>
            <w:r w:rsidRPr="00175753">
              <w:rPr>
                <w:rFonts w:asciiTheme="minorHAnsi" w:hAnsiTheme="minorHAnsi" w:cstheme="minorHAnsi"/>
                <w:color w:val="000000"/>
                <w:sz w:val="20"/>
                <w:szCs w:val="20"/>
                <w:lang w:val="en-GB"/>
              </w:rPr>
              <w:t xml:space="preserve"> hospital nurses.</w:t>
            </w:r>
            <w:r>
              <w:rPr>
                <w:rFonts w:asciiTheme="minorHAnsi" w:hAnsiTheme="minorHAnsi" w:cstheme="minorHAnsi"/>
                <w:color w:val="000000"/>
                <w:sz w:val="20"/>
                <w:szCs w:val="20"/>
                <w:lang w:val="en-GB"/>
              </w:rPr>
              <w:t>’</w:t>
            </w:r>
          </w:p>
          <w:p w14:paraId="1D1BEDF9" w14:textId="77777777" w:rsidR="00927C84" w:rsidRPr="00175753" w:rsidRDefault="00927C84" w:rsidP="0027203C">
            <w:pPr>
              <w:rPr>
                <w:rFonts w:asciiTheme="minorHAnsi" w:hAnsiTheme="minorHAnsi" w:cstheme="minorHAnsi"/>
                <w:color w:val="000000"/>
                <w:sz w:val="20"/>
                <w:szCs w:val="20"/>
                <w:lang w:val="en-GB"/>
              </w:rPr>
            </w:pPr>
          </w:p>
          <w:p w14:paraId="53851D9B"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1) ﻿Causes of the errors associated with high-risk intravenous injection</w:t>
            </w:r>
            <w:r>
              <w:rPr>
                <w:rFonts w:asciiTheme="minorHAnsi" w:hAnsiTheme="minorHAnsi" w:cstheme="minorHAnsi"/>
                <w:color w:val="000000"/>
                <w:sz w:val="20"/>
                <w:szCs w:val="20"/>
                <w:lang w:val="en-GB"/>
              </w:rPr>
              <w:t>s</w:t>
            </w:r>
          </w:p>
          <w:p w14:paraId="34CDAD55"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2) ﻿Problems associated with high-risk intravenous injection</w:t>
            </w:r>
            <w:r>
              <w:rPr>
                <w:rFonts w:asciiTheme="minorHAnsi" w:hAnsiTheme="minorHAnsi" w:cstheme="minorHAnsi"/>
                <w:color w:val="000000"/>
                <w:sz w:val="20"/>
                <w:szCs w:val="20"/>
                <w:lang w:val="en-GB"/>
              </w:rPr>
              <w:t>s</w:t>
            </w:r>
          </w:p>
        </w:tc>
        <w:tc>
          <w:tcPr>
            <w:tcW w:w="5245" w:type="dxa"/>
            <w:shd w:val="clear" w:color="auto" w:fill="auto"/>
          </w:tcPr>
          <w:p w14:paraId="517F708B"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 xml:space="preserve">1) Three causal categories responsible for errors emerged: human-related, injection procedure-related, and environmental factors. </w:t>
            </w:r>
          </w:p>
          <w:p w14:paraId="210D5618"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sz w:val="20"/>
                <w:szCs w:val="20"/>
                <w:lang w:val="en-GB"/>
              </w:rPr>
              <w:t xml:space="preserve">2) Specifically, lack of knowledge and awareness of high-risk medications, carelessness in controlling the speed and drip of fluids, injecting wrong fluid, unclear verbal prescriptions from doctors, inappropriate medication management, a shortage of </w:t>
            </w:r>
            <w:proofErr w:type="spellStart"/>
            <w:r w:rsidRPr="00175753">
              <w:rPr>
                <w:rFonts w:asciiTheme="minorHAnsi" w:hAnsiTheme="minorHAnsi" w:cstheme="minorHAnsi"/>
                <w:color w:val="000000"/>
                <w:sz w:val="20"/>
                <w:szCs w:val="20"/>
                <w:lang w:val="en-GB"/>
              </w:rPr>
              <w:t>medicators</w:t>
            </w:r>
            <w:proofErr w:type="spellEnd"/>
            <w:r w:rsidRPr="00175753">
              <w:rPr>
                <w:rFonts w:asciiTheme="minorHAnsi" w:hAnsiTheme="minorHAnsi" w:cstheme="minorHAnsi"/>
                <w:color w:val="000000"/>
                <w:sz w:val="20"/>
                <w:szCs w:val="20"/>
                <w:lang w:val="en-GB"/>
              </w:rPr>
              <w:t>, and a lack of injection experience were identified as the most common problems responsible for nurses’ errors when administering high-risk intravenous injections.</w:t>
            </w:r>
          </w:p>
        </w:tc>
      </w:tr>
      <w:tr w:rsidR="00927C84" w:rsidRPr="0090303D" w14:paraId="62DC8196" w14:textId="77777777" w:rsidTr="0027203C">
        <w:tc>
          <w:tcPr>
            <w:tcW w:w="1086" w:type="dxa"/>
            <w:shd w:val="clear" w:color="auto" w:fill="auto"/>
          </w:tcPr>
          <w:p w14:paraId="55E19C6C" w14:textId="559E5AC1" w:rsidR="00927C84" w:rsidRPr="00175753" w:rsidRDefault="00927C84" w:rsidP="0027203C">
            <w:pPr>
              <w:rPr>
                <w:rFonts w:asciiTheme="minorHAnsi" w:hAnsiTheme="minorHAnsi" w:cstheme="minorHAnsi"/>
                <w:color w:val="000000"/>
                <w:sz w:val="20"/>
                <w:szCs w:val="20"/>
                <w:lang w:val="en-GB"/>
              </w:rPr>
            </w:pPr>
            <w:proofErr w:type="spellStart"/>
            <w:r w:rsidRPr="00175753">
              <w:rPr>
                <w:rFonts w:asciiTheme="minorHAnsi" w:hAnsiTheme="minorHAnsi" w:cstheme="minorHAnsi"/>
                <w:color w:val="000000"/>
                <w:sz w:val="20"/>
                <w:szCs w:val="20"/>
                <w:lang w:val="en-GB"/>
              </w:rPr>
              <w:lastRenderedPageBreak/>
              <w:t>Nerich</w:t>
            </w:r>
            <w:proofErr w:type="spellEnd"/>
            <w:r w:rsidRPr="00175753">
              <w:rPr>
                <w:rFonts w:asciiTheme="minorHAnsi" w:hAnsiTheme="minorHAnsi" w:cstheme="minorHAnsi"/>
                <w:color w:val="000000"/>
                <w:sz w:val="20"/>
                <w:szCs w:val="20"/>
                <w:lang w:val="en-GB"/>
              </w:rPr>
              <w:t xml:space="preserve"> et al. 2010</w:t>
            </w:r>
            <w:r w:rsidR="009E5909">
              <w:rPr>
                <w:rFonts w:asciiTheme="minorHAnsi" w:hAnsiTheme="minorHAnsi" w:cstheme="minorHAnsi"/>
                <w:color w:val="000000"/>
                <w:sz w:val="20"/>
                <w:szCs w:val="20"/>
                <w:lang w:val="en-GB"/>
              </w:rPr>
              <w:t xml:space="preserve"> </w:t>
            </w:r>
            <w:r w:rsidR="00490A08" w:rsidRPr="00490A08">
              <w:rPr>
                <w:rFonts w:asciiTheme="minorHAnsi" w:hAnsiTheme="minorHAnsi" w:cstheme="minorHAnsi"/>
                <w:color w:val="000000"/>
                <w:sz w:val="20"/>
                <w:szCs w:val="20"/>
                <w:vertAlign w:val="superscript"/>
                <w:lang w:val="en-GB"/>
              </w:rPr>
              <w:t>2</w:t>
            </w:r>
            <w:r w:rsidR="0090303D">
              <w:rPr>
                <w:rFonts w:asciiTheme="minorHAnsi" w:hAnsiTheme="minorHAnsi" w:cstheme="minorHAnsi"/>
                <w:color w:val="000000"/>
                <w:sz w:val="20"/>
                <w:szCs w:val="20"/>
                <w:vertAlign w:val="superscript"/>
                <w:lang w:val="en-GB"/>
              </w:rPr>
              <w:t>6</w:t>
            </w:r>
          </w:p>
          <w:p w14:paraId="4B3ACCFA" w14:textId="77777777" w:rsidR="00927C84" w:rsidRPr="00175753" w:rsidRDefault="00927C84" w:rsidP="0027203C">
            <w:pPr>
              <w:rPr>
                <w:rFonts w:asciiTheme="minorHAnsi" w:hAnsiTheme="minorHAnsi" w:cstheme="minorHAnsi"/>
                <w:color w:val="000000"/>
                <w:sz w:val="20"/>
                <w:szCs w:val="20"/>
                <w:lang w:val="en-GB"/>
              </w:rPr>
            </w:pPr>
          </w:p>
          <w:p w14:paraId="29D66252"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France</w:t>
            </w:r>
          </w:p>
        </w:tc>
        <w:tc>
          <w:tcPr>
            <w:tcW w:w="1744" w:type="dxa"/>
            <w:shd w:val="clear" w:color="auto" w:fill="auto"/>
          </w:tcPr>
          <w:p w14:paraId="2086B2EA"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 xml:space="preserve">Prospective analysis of medication orders (Low), </w:t>
            </w:r>
            <w:r w:rsidRPr="00175753">
              <w:rPr>
                <w:rFonts w:asciiTheme="minorHAnsi" w:hAnsiTheme="minorHAnsi" w:cstheme="minorHAnsi"/>
                <w:color w:val="000000"/>
                <w:sz w:val="20"/>
                <w:szCs w:val="20"/>
                <w:lang w:val="en-GB"/>
              </w:rPr>
              <w:t>University oncology hospital setting</w:t>
            </w:r>
          </w:p>
        </w:tc>
        <w:tc>
          <w:tcPr>
            <w:tcW w:w="1701" w:type="dxa"/>
            <w:shd w:val="clear" w:color="auto" w:fill="auto"/>
          </w:tcPr>
          <w:p w14:paraId="6A8A8DA7"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To determine the incidence of prescribing medication errors (PME) and to analyse PME related to antineoplastic treatment</w:t>
            </w:r>
          </w:p>
        </w:tc>
        <w:tc>
          <w:tcPr>
            <w:tcW w:w="4253" w:type="dxa"/>
            <w:shd w:val="clear" w:color="auto" w:fill="auto"/>
          </w:tcPr>
          <w:p w14:paraId="606926EB"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All medication orders (n=14 854) over one year were analysed prospectively by a resident or pharmacist to identify PMEs. Prescribers were contacted to check and to confirm prescriptions. In case of error, the prescription was corrected.</w:t>
            </w:r>
          </w:p>
          <w:p w14:paraId="3D06EAC0" w14:textId="77777777" w:rsidR="00927C84" w:rsidRPr="00175753" w:rsidRDefault="00927C84" w:rsidP="0027203C">
            <w:pPr>
              <w:rPr>
                <w:rFonts w:asciiTheme="minorHAnsi" w:hAnsiTheme="minorHAnsi" w:cstheme="minorHAnsi"/>
                <w:color w:val="000000"/>
                <w:sz w:val="20"/>
                <w:szCs w:val="20"/>
                <w:lang w:val="en-GB"/>
              </w:rPr>
            </w:pPr>
          </w:p>
          <w:p w14:paraId="4D68985F" w14:textId="77777777"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 xml:space="preserve">1) Potential clinical impact (according to the </w:t>
            </w:r>
            <w:proofErr w:type="spellStart"/>
            <w:r w:rsidRPr="00175753">
              <w:rPr>
                <w:rFonts w:asciiTheme="minorHAnsi" w:hAnsiTheme="minorHAnsi" w:cstheme="minorHAnsi"/>
                <w:color w:val="000000"/>
                <w:sz w:val="20"/>
                <w:szCs w:val="20"/>
                <w:lang w:val="en-GB"/>
              </w:rPr>
              <w:t>Hatoum</w:t>
            </w:r>
            <w:proofErr w:type="spellEnd"/>
            <w:r w:rsidRPr="00175753">
              <w:rPr>
                <w:rFonts w:asciiTheme="minorHAnsi" w:hAnsiTheme="minorHAnsi" w:cstheme="minorHAnsi"/>
                <w:color w:val="000000"/>
                <w:sz w:val="20"/>
                <w:szCs w:val="20"/>
                <w:lang w:val="en-GB"/>
              </w:rPr>
              <w:t xml:space="preserve"> scale)</w:t>
            </w:r>
          </w:p>
          <w:p w14:paraId="40AA5F6F"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2) Error risk factors (including system-based causes)</w:t>
            </w:r>
          </w:p>
        </w:tc>
        <w:tc>
          <w:tcPr>
            <w:tcW w:w="5245" w:type="dxa"/>
            <w:shd w:val="clear" w:color="auto" w:fill="auto"/>
          </w:tcPr>
          <w:p w14:paraId="631C06E1" w14:textId="0E7B6F71"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sz w:val="20"/>
                <w:szCs w:val="20"/>
                <w:lang w:val="en-GB"/>
              </w:rPr>
              <w:t xml:space="preserve">1) </w:t>
            </w:r>
            <w:r w:rsidRPr="00175753">
              <w:rPr>
                <w:rFonts w:asciiTheme="minorHAnsi" w:hAnsiTheme="minorHAnsi" w:cstheme="minorHAnsi"/>
                <w:color w:val="000000"/>
                <w:sz w:val="20"/>
                <w:szCs w:val="20"/>
                <w:lang w:val="en-GB"/>
              </w:rPr>
              <w:t>The error incidence was 1</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5%, with significant or very significant clinical impact in 62</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9% of cases. Death-threatening events were avoided in 3</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7% of cases.</w:t>
            </w:r>
          </w:p>
          <w:p w14:paraId="4540D29C" w14:textId="295ADDD3"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 xml:space="preserve">2) </w:t>
            </w:r>
            <w:r w:rsidRPr="00175753">
              <w:rPr>
                <w:rFonts w:asciiTheme="minorHAnsi" w:hAnsiTheme="minorHAnsi" w:cstheme="minorHAnsi"/>
                <w:color w:val="000000"/>
                <w:sz w:val="20"/>
                <w:szCs w:val="20"/>
                <w:lang w:val="en-GB"/>
              </w:rPr>
              <w:t>The most common type of error was related to antineoplastic drug dosage (61</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0%): inadequate adaptation (43</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1%), not taking alarms into account (16</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1%), incorrect weight (0</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9%), incorrect unit (0</w:t>
            </w:r>
            <w:r>
              <w:rPr>
                <w:rFonts w:asciiTheme="minorHAnsi" w:hAnsiTheme="minorHAnsi" w:cstheme="minorHAnsi"/>
                <w:color w:val="000000"/>
                <w:sz w:val="20"/>
                <w:szCs w:val="20"/>
                <w:lang w:val="en-GB"/>
              </w:rPr>
              <w:t>.</w:t>
            </w:r>
            <w:r w:rsidRPr="00175753">
              <w:rPr>
                <w:rFonts w:asciiTheme="minorHAnsi" w:hAnsiTheme="minorHAnsi" w:cstheme="minorHAnsi"/>
                <w:color w:val="000000"/>
                <w:sz w:val="20"/>
                <w:szCs w:val="20"/>
                <w:lang w:val="en-GB"/>
              </w:rPr>
              <w:t>9%). More than 20% of errors were directly linked to the prescribing medication order (choice of treatment, double-prescribing, prescription forgotten or not validated).</w:t>
            </w:r>
          </w:p>
        </w:tc>
      </w:tr>
      <w:tr w:rsidR="00927C84" w:rsidRPr="0090303D" w14:paraId="0319D839" w14:textId="77777777" w:rsidTr="0027203C">
        <w:tc>
          <w:tcPr>
            <w:tcW w:w="1086" w:type="dxa"/>
            <w:shd w:val="clear" w:color="auto" w:fill="auto"/>
          </w:tcPr>
          <w:p w14:paraId="40644C4E" w14:textId="78594FA8"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White et al. 2014</w:t>
            </w:r>
            <w:r w:rsidR="009E5909">
              <w:rPr>
                <w:rFonts w:asciiTheme="minorHAnsi" w:hAnsiTheme="minorHAnsi" w:cstheme="minorHAnsi"/>
                <w:color w:val="000000"/>
                <w:sz w:val="20"/>
                <w:szCs w:val="20"/>
                <w:lang w:val="en-GB"/>
              </w:rPr>
              <w:t xml:space="preserve"> </w:t>
            </w:r>
            <w:r w:rsidR="00490A08" w:rsidRPr="00490A08">
              <w:rPr>
                <w:rFonts w:asciiTheme="minorHAnsi" w:hAnsiTheme="minorHAnsi" w:cstheme="minorHAnsi"/>
                <w:color w:val="000000"/>
                <w:sz w:val="20"/>
                <w:szCs w:val="20"/>
                <w:vertAlign w:val="superscript"/>
                <w:lang w:val="en-GB"/>
              </w:rPr>
              <w:t>2</w:t>
            </w:r>
            <w:r w:rsidR="0090303D">
              <w:rPr>
                <w:rFonts w:asciiTheme="minorHAnsi" w:hAnsiTheme="minorHAnsi" w:cstheme="minorHAnsi"/>
                <w:color w:val="000000"/>
                <w:sz w:val="20"/>
                <w:szCs w:val="20"/>
                <w:vertAlign w:val="superscript"/>
                <w:lang w:val="en-GB"/>
              </w:rPr>
              <w:t>8</w:t>
            </w:r>
            <w:bookmarkStart w:id="0" w:name="_GoBack"/>
            <w:bookmarkEnd w:id="0"/>
          </w:p>
          <w:p w14:paraId="62D02CFE" w14:textId="77777777" w:rsidR="00927C84" w:rsidRPr="00175753" w:rsidRDefault="00927C84" w:rsidP="0027203C">
            <w:pPr>
              <w:rPr>
                <w:rFonts w:asciiTheme="minorHAnsi" w:hAnsiTheme="minorHAnsi" w:cstheme="minorHAnsi"/>
                <w:color w:val="000000"/>
                <w:sz w:val="20"/>
                <w:szCs w:val="20"/>
                <w:lang w:val="en-GB"/>
              </w:rPr>
            </w:pPr>
          </w:p>
          <w:p w14:paraId="675AF240"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sz w:val="20"/>
                <w:szCs w:val="20"/>
                <w:lang w:val="en-GB"/>
              </w:rPr>
              <w:t>Canada</w:t>
            </w:r>
          </w:p>
        </w:tc>
        <w:tc>
          <w:tcPr>
            <w:tcW w:w="1744" w:type="dxa"/>
            <w:shd w:val="clear" w:color="auto" w:fill="auto"/>
          </w:tcPr>
          <w:p w14:paraId="270C6342" w14:textId="77777777" w:rsidR="00927C84" w:rsidRPr="00175753" w:rsidRDefault="00927C84" w:rsidP="0027203C">
            <w:pPr>
              <w:rPr>
                <w:rFonts w:asciiTheme="minorHAnsi" w:hAnsiTheme="minorHAnsi" w:cstheme="minorHAnsi"/>
                <w:b/>
                <w:sz w:val="20"/>
                <w:szCs w:val="20"/>
                <w:lang w:val="en-GB"/>
              </w:rPr>
            </w:pPr>
            <w:r w:rsidRPr="00175753">
              <w:rPr>
                <w:rFonts w:asciiTheme="minorHAnsi" w:hAnsiTheme="minorHAnsi" w:cstheme="minorHAnsi"/>
                <w:color w:val="000000" w:themeColor="text1"/>
                <w:sz w:val="20"/>
                <w:szCs w:val="20"/>
                <w:lang w:val="en-GB"/>
              </w:rPr>
              <w:t xml:space="preserve">Direct </w:t>
            </w:r>
            <w:r w:rsidRPr="00175753">
              <w:rPr>
                <w:rFonts w:asciiTheme="minorHAnsi" w:hAnsiTheme="minorHAnsi" w:cstheme="minorHAnsi"/>
                <w:color w:val="000000"/>
                <w:sz w:val="20"/>
                <w:szCs w:val="20"/>
                <w:lang w:val="en-GB"/>
              </w:rPr>
              <w:t>observation</w:t>
            </w:r>
            <w:r>
              <w:rPr>
                <w:rFonts w:asciiTheme="minorHAnsi" w:hAnsiTheme="minorHAnsi" w:cstheme="minorHAnsi"/>
                <w:color w:val="000000"/>
                <w:sz w:val="20"/>
                <w:szCs w:val="20"/>
                <w:lang w:val="en-GB"/>
              </w:rPr>
              <w:t>al</w:t>
            </w:r>
            <w:r w:rsidRPr="00175753">
              <w:rPr>
                <w:rFonts w:asciiTheme="minorHAnsi" w:hAnsiTheme="minorHAnsi" w:cstheme="minorHAnsi"/>
                <w:color w:val="000000"/>
                <w:sz w:val="20"/>
                <w:szCs w:val="20"/>
                <w:lang w:val="en-GB"/>
              </w:rPr>
              <w:t xml:space="preserve"> study (Low), oncology hospital setting</w:t>
            </w:r>
          </w:p>
        </w:tc>
        <w:tc>
          <w:tcPr>
            <w:tcW w:w="1701" w:type="dxa"/>
            <w:shd w:val="clear" w:color="auto" w:fill="auto"/>
          </w:tcPr>
          <w:p w14:paraId="2148A4EF" w14:textId="1DFCA159"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sz w:val="20"/>
                <w:szCs w:val="20"/>
                <w:lang w:val="en-GB"/>
              </w:rPr>
              <w:t xml:space="preserve">To examine current process </w:t>
            </w:r>
            <w:r>
              <w:rPr>
                <w:rFonts w:asciiTheme="minorHAnsi" w:hAnsiTheme="minorHAnsi" w:cstheme="minorHAnsi"/>
                <w:color w:val="000000"/>
                <w:sz w:val="20"/>
                <w:szCs w:val="20"/>
                <w:lang w:val="en-GB"/>
              </w:rPr>
              <w:t>o</w:t>
            </w:r>
            <w:r w:rsidRPr="00175753">
              <w:rPr>
                <w:rFonts w:asciiTheme="minorHAnsi" w:hAnsiTheme="minorHAnsi" w:cstheme="minorHAnsi"/>
                <w:color w:val="000000"/>
                <w:sz w:val="20"/>
                <w:szCs w:val="20"/>
                <w:lang w:val="en-GB"/>
              </w:rPr>
              <w:t>f ambulatory intravenous chemotherapy and to identify factors contributing to preventable adverse drug events</w:t>
            </w:r>
          </w:p>
        </w:tc>
        <w:tc>
          <w:tcPr>
            <w:tcW w:w="4253" w:type="dxa"/>
            <w:shd w:val="clear" w:color="auto" w:fill="auto"/>
          </w:tcPr>
          <w:p w14:paraId="7AEC2303" w14:textId="7FC6A7EC" w:rsidR="00927C84" w:rsidRPr="00175753" w:rsidRDefault="00927C84" w:rsidP="0027203C">
            <w:pPr>
              <w:rPr>
                <w:rFonts w:asciiTheme="minorHAnsi" w:hAnsiTheme="minorHAnsi" w:cstheme="minorHAnsi"/>
                <w:color w:val="000000"/>
                <w:sz w:val="20"/>
                <w:szCs w:val="20"/>
                <w:lang w:val="en-GB"/>
              </w:rPr>
            </w:pPr>
            <w:r w:rsidRPr="00175753">
              <w:rPr>
                <w:rFonts w:asciiTheme="minorHAnsi" w:hAnsiTheme="minorHAnsi" w:cstheme="minorHAnsi"/>
                <w:color w:val="000000"/>
                <w:sz w:val="20"/>
                <w:szCs w:val="20"/>
                <w:lang w:val="en-GB"/>
              </w:rPr>
              <w:t xml:space="preserve">1-week field observations were conducted </w:t>
            </w:r>
            <w:r>
              <w:rPr>
                <w:rFonts w:asciiTheme="minorHAnsi" w:hAnsiTheme="minorHAnsi" w:cstheme="minorHAnsi"/>
                <w:color w:val="000000"/>
                <w:sz w:val="20"/>
                <w:szCs w:val="20"/>
                <w:lang w:val="en-GB"/>
              </w:rPr>
              <w:t>at</w:t>
            </w:r>
            <w:r w:rsidRPr="00175753">
              <w:rPr>
                <w:rFonts w:asciiTheme="minorHAnsi" w:hAnsiTheme="minorHAnsi" w:cstheme="minorHAnsi"/>
                <w:color w:val="000000"/>
                <w:sz w:val="20"/>
                <w:szCs w:val="20"/>
                <w:lang w:val="en-GB"/>
              </w:rPr>
              <w:t xml:space="preserve"> observation sites (n=6) to identify end-to-end processes in clinic, pharmacy, and treatment areas. An adaptation of Healthcare Failure Mode and Effects Analysis was used to identify potential sources of error.</w:t>
            </w:r>
          </w:p>
          <w:p w14:paraId="50082126" w14:textId="77777777" w:rsidR="00927C84" w:rsidRPr="00175753" w:rsidRDefault="00927C84" w:rsidP="0027203C">
            <w:pPr>
              <w:rPr>
                <w:rFonts w:asciiTheme="minorHAnsi" w:hAnsiTheme="minorHAnsi" w:cstheme="minorHAnsi"/>
                <w:sz w:val="20"/>
                <w:szCs w:val="20"/>
                <w:lang w:val="en-GB"/>
              </w:rPr>
            </w:pPr>
          </w:p>
          <w:p w14:paraId="62ECA0C5" w14:textId="7777777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sz w:val="20"/>
                <w:szCs w:val="20"/>
                <w:lang w:val="en-GB"/>
              </w:rPr>
              <w:t>1) Potential causes of medication errors</w:t>
            </w:r>
          </w:p>
        </w:tc>
        <w:tc>
          <w:tcPr>
            <w:tcW w:w="5245" w:type="dxa"/>
            <w:shd w:val="clear" w:color="auto" w:fill="auto"/>
          </w:tcPr>
          <w:p w14:paraId="2AE089F9" w14:textId="03250BB7" w:rsidR="00927C84" w:rsidRPr="00175753" w:rsidRDefault="00927C84" w:rsidP="0027203C">
            <w:pPr>
              <w:rPr>
                <w:rFonts w:asciiTheme="minorHAnsi" w:hAnsiTheme="minorHAnsi" w:cstheme="minorHAnsi"/>
                <w:sz w:val="20"/>
                <w:szCs w:val="20"/>
                <w:lang w:val="en-GB"/>
              </w:rPr>
            </w:pPr>
            <w:r w:rsidRPr="00175753">
              <w:rPr>
                <w:rFonts w:asciiTheme="minorHAnsi" w:hAnsiTheme="minorHAnsi" w:cstheme="minorHAnsi"/>
                <w:color w:val="000000"/>
                <w:sz w:val="20"/>
                <w:szCs w:val="20"/>
                <w:lang w:val="en-GB"/>
              </w:rPr>
              <w:t>1) Three types of previously unrecogni</w:t>
            </w:r>
            <w:r>
              <w:rPr>
                <w:rFonts w:asciiTheme="minorHAnsi" w:hAnsiTheme="minorHAnsi" w:cstheme="minorHAnsi"/>
                <w:color w:val="000000"/>
                <w:sz w:val="20"/>
                <w:szCs w:val="20"/>
                <w:lang w:val="en-GB"/>
              </w:rPr>
              <w:t>s</w:t>
            </w:r>
            <w:r w:rsidRPr="00175753">
              <w:rPr>
                <w:rFonts w:asciiTheme="minorHAnsi" w:hAnsiTheme="minorHAnsi" w:cstheme="minorHAnsi"/>
                <w:color w:val="000000"/>
                <w:sz w:val="20"/>
                <w:szCs w:val="20"/>
                <w:lang w:val="en-GB"/>
              </w:rPr>
              <w:t xml:space="preserve">ed preparation errors were uncovered. The incorrect volume or type of diluent could be used in reconstitution because quality checks are not in routine use or may not be effective. The incorrect medication could be selected and drawn into a syringe, but the correct vial is </w:t>
            </w:r>
            <w:r>
              <w:rPr>
                <w:rFonts w:asciiTheme="minorHAnsi" w:hAnsiTheme="minorHAnsi" w:cstheme="minorHAnsi"/>
                <w:color w:val="000000"/>
                <w:sz w:val="20"/>
                <w:szCs w:val="20"/>
                <w:lang w:val="en-GB"/>
              </w:rPr>
              <w:t xml:space="preserve">then </w:t>
            </w:r>
            <w:r w:rsidRPr="00175753">
              <w:rPr>
                <w:rFonts w:asciiTheme="minorHAnsi" w:hAnsiTheme="minorHAnsi" w:cstheme="minorHAnsi"/>
                <w:color w:val="000000"/>
                <w:sz w:val="20"/>
                <w:szCs w:val="20"/>
                <w:lang w:val="en-GB"/>
              </w:rPr>
              <w:t xml:space="preserve">shown to pharmacist during their check, because multiple drugs are stored in close proximity in biological safety cabinet. The wrong patient’s label could be applied to a mixed bag because labels are not always physically affixed to the bag. </w:t>
            </w:r>
          </w:p>
        </w:tc>
      </w:tr>
    </w:tbl>
    <w:p w14:paraId="1188B01E" w14:textId="77777777" w:rsidR="00191C34" w:rsidRPr="00927C84" w:rsidRDefault="007A5492">
      <w:pPr>
        <w:rPr>
          <w:lang w:val="en-US"/>
        </w:rPr>
      </w:pPr>
    </w:p>
    <w:sectPr w:rsidR="00191C34" w:rsidRPr="00927C84" w:rsidSect="00927C84">
      <w:pgSz w:w="16840" w:h="11900"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84"/>
    <w:rsid w:val="00052375"/>
    <w:rsid w:val="00132964"/>
    <w:rsid w:val="001F4202"/>
    <w:rsid w:val="00283A8D"/>
    <w:rsid w:val="003B3747"/>
    <w:rsid w:val="00490A08"/>
    <w:rsid w:val="00490AA3"/>
    <w:rsid w:val="00627CD8"/>
    <w:rsid w:val="00731B75"/>
    <w:rsid w:val="007A5492"/>
    <w:rsid w:val="008338E7"/>
    <w:rsid w:val="00835506"/>
    <w:rsid w:val="0090303D"/>
    <w:rsid w:val="00927C84"/>
    <w:rsid w:val="00934CFA"/>
    <w:rsid w:val="009E5909"/>
    <w:rsid w:val="00A12456"/>
    <w:rsid w:val="00A207B1"/>
    <w:rsid w:val="00A84418"/>
    <w:rsid w:val="00B46D33"/>
    <w:rsid w:val="00B64FA4"/>
    <w:rsid w:val="00BD4477"/>
    <w:rsid w:val="00D3502A"/>
    <w:rsid w:val="00D83F92"/>
    <w:rsid w:val="00E67273"/>
    <w:rsid w:val="00F32A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8F16"/>
  <w15:chartTrackingRefBased/>
  <w15:docId w15:val="{C87D47C8-BC10-ED48-9E0F-9D8C7315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7C84"/>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2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27C84"/>
    <w:rPr>
      <w:sz w:val="18"/>
      <w:szCs w:val="18"/>
    </w:rPr>
  </w:style>
  <w:style w:type="paragraph" w:styleId="Kommentinteksti">
    <w:name w:val="annotation text"/>
    <w:basedOn w:val="Normaali"/>
    <w:link w:val="KommentintekstiChar"/>
    <w:uiPriority w:val="99"/>
    <w:unhideWhenUsed/>
    <w:rsid w:val="00927C84"/>
    <w:rPr>
      <w:rFonts w:eastAsiaTheme="minorHAnsi"/>
    </w:rPr>
  </w:style>
  <w:style w:type="character" w:customStyle="1" w:styleId="KommentintekstiChar">
    <w:name w:val="Kommentin teksti Char"/>
    <w:basedOn w:val="Kappaleenoletusfontti"/>
    <w:link w:val="Kommentinteksti"/>
    <w:uiPriority w:val="99"/>
    <w:rsid w:val="00927C84"/>
    <w:rPr>
      <w:rFonts w:ascii="Times New Roman" w:hAnsi="Times New Roman" w:cs="Times New Roman"/>
      <w:lang w:eastAsia="fi-FI"/>
    </w:rPr>
  </w:style>
  <w:style w:type="paragraph" w:styleId="Seliteteksti">
    <w:name w:val="Balloon Text"/>
    <w:basedOn w:val="Normaali"/>
    <w:link w:val="SelitetekstiChar"/>
    <w:uiPriority w:val="99"/>
    <w:semiHidden/>
    <w:unhideWhenUsed/>
    <w:rsid w:val="00927C84"/>
    <w:rPr>
      <w:sz w:val="18"/>
      <w:szCs w:val="18"/>
    </w:rPr>
  </w:style>
  <w:style w:type="character" w:customStyle="1" w:styleId="SelitetekstiChar">
    <w:name w:val="Seliteteksti Char"/>
    <w:basedOn w:val="Kappaleenoletusfontti"/>
    <w:link w:val="Seliteteksti"/>
    <w:uiPriority w:val="99"/>
    <w:semiHidden/>
    <w:rsid w:val="00927C84"/>
    <w:rPr>
      <w:rFonts w:ascii="Times New Roman" w:eastAsia="Times New Roman" w:hAnsi="Times New Roman" w:cs="Times New Roman"/>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12152</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Kuitunen</dc:creator>
  <cp:keywords/>
  <dc:description/>
  <cp:lastModifiedBy>Sini Kuitunen</cp:lastModifiedBy>
  <cp:revision>2</cp:revision>
  <dcterms:created xsi:type="dcterms:W3CDTF">2019-05-06T17:00:00Z</dcterms:created>
  <dcterms:modified xsi:type="dcterms:W3CDTF">2019-05-06T17:00:00Z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1027601162</vt:i4>
  </property>
  <property fmtid="{D5CDD505-2E9C-101B-9397-08002B2CF9AE}" pid="3" name="_NewReviewCycle">
    <vt:lpwstr/>
  </property>
  <property fmtid="{D5CDD505-2E9C-101B-9397-08002B2CF9AE}" pid="4" name="_EmailSubject">
    <vt:lpwstr>Supplementary file</vt:lpwstr>
  </property>
  <property fmtid="{D5CDD505-2E9C-101B-9397-08002B2CF9AE}" pid="5" name="_AuthorEmail">
    <vt:lpwstr>sini.kuitunen@hus.fi</vt:lpwstr>
  </property>
  <property fmtid="{D5CDD505-2E9C-101B-9397-08002B2CF9AE}" pid="6" name="_AuthorEmailDisplayName">
    <vt:lpwstr>Kuitunen Sini</vt:lpwstr>
  </property>
</Properties>
</file>