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C620" w14:textId="77777777" w:rsidR="00935B07" w:rsidRDefault="00935B07" w:rsidP="00935B07">
      <w:pPr>
        <w:rPr>
          <w:rFonts w:asciiTheme="majorBidi" w:hAnsiTheme="majorBidi" w:cstheme="majorBidi"/>
          <w:b/>
          <w:bCs/>
        </w:rPr>
      </w:pPr>
      <w:bookmarkStart w:id="0" w:name="_Toc32156994"/>
      <w:r w:rsidRPr="00F8714F">
        <w:rPr>
          <w:rFonts w:asciiTheme="majorBidi" w:hAnsiTheme="majorBidi" w:cstheme="majorBidi"/>
          <w:b/>
          <w:bCs/>
        </w:rPr>
        <w:t>Appendix A. Required Readings to Validate Search Terms and Test the Search Strategy</w:t>
      </w:r>
      <w:bookmarkEnd w:id="0"/>
    </w:p>
    <w:p w14:paraId="1D147220" w14:textId="77777777" w:rsidR="00935B07" w:rsidRPr="00F8714F" w:rsidRDefault="00935B07" w:rsidP="00935B07">
      <w:pPr>
        <w:rPr>
          <w:rFonts w:asciiTheme="majorBidi" w:hAnsiTheme="majorBidi" w:cstheme="majorBidi"/>
          <w:b/>
          <w:bCs/>
        </w:rPr>
      </w:pPr>
    </w:p>
    <w:p w14:paraId="346AF2F4" w14:textId="77777777" w:rsidR="00935B07" w:rsidRPr="00C56B3D" w:rsidRDefault="00935B07" w:rsidP="00935B07">
      <w:pPr>
        <w:pStyle w:val="ListParagraph"/>
        <w:numPr>
          <w:ilvl w:val="0"/>
          <w:numId w:val="1"/>
        </w:numPr>
        <w:spacing w:line="480" w:lineRule="auto"/>
        <w:rPr>
          <w:rFonts w:asciiTheme="majorBidi" w:hAnsiTheme="majorBidi" w:cstheme="majorBidi"/>
        </w:rPr>
      </w:pPr>
      <w:proofErr w:type="spellStart"/>
      <w:r w:rsidRPr="00C56B3D">
        <w:rPr>
          <w:rFonts w:asciiTheme="majorBidi" w:hAnsiTheme="majorBidi" w:cstheme="majorBidi"/>
        </w:rPr>
        <w:t>Abimanyi-Ochom</w:t>
      </w:r>
      <w:proofErr w:type="spellEnd"/>
      <w:r w:rsidRPr="00C56B3D">
        <w:rPr>
          <w:rFonts w:asciiTheme="majorBidi" w:hAnsiTheme="majorBidi" w:cstheme="majorBidi"/>
        </w:rPr>
        <w:t xml:space="preserve"> J, </w:t>
      </w:r>
      <w:proofErr w:type="spellStart"/>
      <w:r w:rsidRPr="00C56B3D">
        <w:rPr>
          <w:rFonts w:asciiTheme="majorBidi" w:hAnsiTheme="majorBidi" w:cstheme="majorBidi"/>
        </w:rPr>
        <w:t>Bohingamu</w:t>
      </w:r>
      <w:proofErr w:type="spellEnd"/>
      <w:r w:rsidRPr="00C56B3D">
        <w:rPr>
          <w:rFonts w:asciiTheme="majorBidi" w:hAnsiTheme="majorBidi" w:cstheme="majorBidi"/>
        </w:rPr>
        <w:t xml:space="preserve"> </w:t>
      </w:r>
      <w:proofErr w:type="spellStart"/>
      <w:r w:rsidRPr="00C56B3D">
        <w:rPr>
          <w:rFonts w:asciiTheme="majorBidi" w:hAnsiTheme="majorBidi" w:cstheme="majorBidi"/>
        </w:rPr>
        <w:t>Mudiyanselage</w:t>
      </w:r>
      <w:proofErr w:type="spellEnd"/>
      <w:r w:rsidRPr="00C56B3D">
        <w:rPr>
          <w:rFonts w:asciiTheme="majorBidi" w:hAnsiTheme="majorBidi" w:cstheme="majorBidi"/>
        </w:rPr>
        <w:t xml:space="preserve"> S, </w:t>
      </w:r>
      <w:proofErr w:type="spellStart"/>
      <w:r w:rsidRPr="00C56B3D">
        <w:rPr>
          <w:rFonts w:asciiTheme="majorBidi" w:hAnsiTheme="majorBidi" w:cstheme="majorBidi"/>
        </w:rPr>
        <w:t>Catchpool</w:t>
      </w:r>
      <w:proofErr w:type="spellEnd"/>
      <w:r w:rsidRPr="00C56B3D">
        <w:rPr>
          <w:rFonts w:asciiTheme="majorBidi" w:hAnsiTheme="majorBidi" w:cstheme="majorBidi"/>
        </w:rPr>
        <w:t xml:space="preserve"> M, </w:t>
      </w:r>
      <w:proofErr w:type="spellStart"/>
      <w:r w:rsidRPr="00C56B3D">
        <w:rPr>
          <w:rFonts w:asciiTheme="majorBidi" w:hAnsiTheme="majorBidi" w:cstheme="majorBidi"/>
        </w:rPr>
        <w:t>Firipis</w:t>
      </w:r>
      <w:proofErr w:type="spellEnd"/>
      <w:r w:rsidRPr="00C56B3D">
        <w:rPr>
          <w:rFonts w:asciiTheme="majorBidi" w:hAnsiTheme="majorBidi" w:cstheme="majorBidi"/>
        </w:rPr>
        <w:t xml:space="preserve"> M, </w:t>
      </w:r>
      <w:proofErr w:type="spellStart"/>
      <w:r w:rsidRPr="00C56B3D">
        <w:rPr>
          <w:rFonts w:asciiTheme="majorBidi" w:hAnsiTheme="majorBidi" w:cstheme="majorBidi"/>
        </w:rPr>
        <w:t>Wanni</w:t>
      </w:r>
      <w:proofErr w:type="spellEnd"/>
      <w:r w:rsidRPr="00C56B3D">
        <w:rPr>
          <w:rFonts w:asciiTheme="majorBidi" w:hAnsiTheme="majorBidi" w:cstheme="majorBidi"/>
        </w:rPr>
        <w:t xml:space="preserve"> </w:t>
      </w:r>
      <w:proofErr w:type="spellStart"/>
      <w:r w:rsidRPr="00C56B3D">
        <w:rPr>
          <w:rFonts w:asciiTheme="majorBidi" w:hAnsiTheme="majorBidi" w:cstheme="majorBidi"/>
        </w:rPr>
        <w:t>Arachchige</w:t>
      </w:r>
      <w:proofErr w:type="spellEnd"/>
      <w:r w:rsidRPr="00C56B3D">
        <w:rPr>
          <w:rFonts w:asciiTheme="majorBidi" w:hAnsiTheme="majorBidi" w:cstheme="majorBidi"/>
        </w:rPr>
        <w:t xml:space="preserve"> Dona S, Watts JJ. Strategies to reduce diagnostic errors: A systematic review. </w:t>
      </w:r>
      <w:r w:rsidRPr="00C56B3D">
        <w:rPr>
          <w:rFonts w:asciiTheme="majorBidi" w:hAnsiTheme="majorBidi" w:cstheme="majorBidi"/>
          <w:i/>
          <w:iCs/>
        </w:rPr>
        <w:t xml:space="preserve">BMC Med Inform </w:t>
      </w:r>
      <w:proofErr w:type="spellStart"/>
      <w:r w:rsidRPr="00C56B3D">
        <w:rPr>
          <w:rFonts w:asciiTheme="majorBidi" w:hAnsiTheme="majorBidi" w:cstheme="majorBidi"/>
          <w:i/>
          <w:iCs/>
        </w:rPr>
        <w:t>Decis</w:t>
      </w:r>
      <w:proofErr w:type="spellEnd"/>
      <w:r w:rsidRPr="00C56B3D">
        <w:rPr>
          <w:rFonts w:asciiTheme="majorBidi" w:hAnsiTheme="majorBidi" w:cstheme="majorBidi"/>
          <w:i/>
          <w:iCs/>
        </w:rPr>
        <w:t xml:space="preserve"> </w:t>
      </w:r>
      <w:proofErr w:type="spellStart"/>
      <w:r w:rsidRPr="00C56B3D">
        <w:rPr>
          <w:rFonts w:asciiTheme="majorBidi" w:hAnsiTheme="majorBidi" w:cstheme="majorBidi"/>
          <w:i/>
          <w:iCs/>
        </w:rPr>
        <w:t>Mak</w:t>
      </w:r>
      <w:proofErr w:type="spellEnd"/>
      <w:r w:rsidRPr="00C56B3D">
        <w:rPr>
          <w:rFonts w:asciiTheme="majorBidi" w:hAnsiTheme="majorBidi" w:cstheme="majorBidi"/>
        </w:rPr>
        <w:t>. 2019;19(1). doi:10.1186/s12911-019-0901-1</w:t>
      </w:r>
    </w:p>
    <w:p w14:paraId="05F75B1D" w14:textId="77777777" w:rsidR="00935B07" w:rsidRPr="00C56B3D" w:rsidRDefault="00935B07" w:rsidP="00935B07">
      <w:pPr>
        <w:pStyle w:val="ListParagraph"/>
        <w:numPr>
          <w:ilvl w:val="0"/>
          <w:numId w:val="1"/>
        </w:numPr>
        <w:spacing w:line="480" w:lineRule="auto"/>
        <w:rPr>
          <w:rFonts w:asciiTheme="majorBidi" w:hAnsiTheme="majorBidi" w:cstheme="majorBidi"/>
        </w:rPr>
      </w:pPr>
      <w:r w:rsidRPr="00C56B3D">
        <w:rPr>
          <w:rFonts w:asciiTheme="majorBidi" w:hAnsiTheme="majorBidi" w:cstheme="majorBidi"/>
          <w:lang w:val="da-DK"/>
        </w:rPr>
        <w:t xml:space="preserve">Murphy DR, Meyer AND, </w:t>
      </w:r>
      <w:proofErr w:type="spellStart"/>
      <w:r w:rsidRPr="00C56B3D">
        <w:rPr>
          <w:rFonts w:asciiTheme="majorBidi" w:hAnsiTheme="majorBidi" w:cstheme="majorBidi"/>
          <w:lang w:val="da-DK"/>
        </w:rPr>
        <w:t>Vaghani</w:t>
      </w:r>
      <w:proofErr w:type="spellEnd"/>
      <w:r w:rsidRPr="00C56B3D">
        <w:rPr>
          <w:rFonts w:asciiTheme="majorBidi" w:hAnsiTheme="majorBidi" w:cstheme="majorBidi"/>
          <w:lang w:val="da-DK"/>
        </w:rPr>
        <w:t xml:space="preserve"> V, et al. </w:t>
      </w:r>
      <w:r w:rsidRPr="00C56B3D">
        <w:rPr>
          <w:rFonts w:asciiTheme="majorBidi" w:hAnsiTheme="majorBidi" w:cstheme="majorBidi"/>
        </w:rPr>
        <w:t xml:space="preserve">Electronic Triggers to Identify Delays in Follow-Up of Mammography: Harnessing the Power of Big Data in Health Care. </w:t>
      </w:r>
      <w:r w:rsidRPr="00C56B3D">
        <w:rPr>
          <w:rFonts w:asciiTheme="majorBidi" w:hAnsiTheme="majorBidi" w:cstheme="majorBidi"/>
          <w:i/>
          <w:iCs/>
        </w:rPr>
        <w:t xml:space="preserve">J Am Coll </w:t>
      </w:r>
      <w:proofErr w:type="spellStart"/>
      <w:r w:rsidRPr="00C56B3D">
        <w:rPr>
          <w:rFonts w:asciiTheme="majorBidi" w:hAnsiTheme="majorBidi" w:cstheme="majorBidi"/>
          <w:i/>
          <w:iCs/>
        </w:rPr>
        <w:t>Radiol</w:t>
      </w:r>
      <w:proofErr w:type="spellEnd"/>
      <w:r w:rsidRPr="00C56B3D">
        <w:rPr>
          <w:rFonts w:asciiTheme="majorBidi" w:hAnsiTheme="majorBidi" w:cstheme="majorBidi"/>
        </w:rPr>
        <w:t xml:space="preserve">. 2018;15(2):287-295. </w:t>
      </w:r>
      <w:proofErr w:type="gramStart"/>
      <w:r w:rsidRPr="00C56B3D">
        <w:rPr>
          <w:rFonts w:asciiTheme="majorBidi" w:hAnsiTheme="majorBidi" w:cstheme="majorBidi"/>
        </w:rPr>
        <w:t>doi:10.1016/j.jacr</w:t>
      </w:r>
      <w:proofErr w:type="gramEnd"/>
      <w:r w:rsidRPr="00C56B3D">
        <w:rPr>
          <w:rFonts w:asciiTheme="majorBidi" w:hAnsiTheme="majorBidi" w:cstheme="majorBidi"/>
        </w:rPr>
        <w:t>.2017.10.001</w:t>
      </w:r>
    </w:p>
    <w:p w14:paraId="7D6F28E8" w14:textId="77777777" w:rsidR="00935B07" w:rsidRPr="00C56B3D" w:rsidRDefault="00935B07" w:rsidP="00935B07">
      <w:pPr>
        <w:pStyle w:val="ListParagraph"/>
        <w:numPr>
          <w:ilvl w:val="0"/>
          <w:numId w:val="1"/>
        </w:numPr>
        <w:spacing w:line="480" w:lineRule="auto"/>
        <w:rPr>
          <w:rFonts w:asciiTheme="majorBidi" w:hAnsiTheme="majorBidi" w:cstheme="majorBidi"/>
        </w:rPr>
      </w:pPr>
      <w:r w:rsidRPr="00C56B3D">
        <w:rPr>
          <w:rFonts w:asciiTheme="majorBidi" w:hAnsiTheme="majorBidi" w:cstheme="majorBidi"/>
        </w:rPr>
        <w:t xml:space="preserve">Murphy DR, </w:t>
      </w:r>
      <w:proofErr w:type="spellStart"/>
      <w:r w:rsidRPr="00C56B3D">
        <w:rPr>
          <w:rFonts w:asciiTheme="majorBidi" w:hAnsiTheme="majorBidi" w:cstheme="majorBidi"/>
        </w:rPr>
        <w:t>Sittig</w:t>
      </w:r>
      <w:proofErr w:type="spellEnd"/>
      <w:r w:rsidRPr="00C56B3D">
        <w:rPr>
          <w:rFonts w:asciiTheme="majorBidi" w:hAnsiTheme="majorBidi" w:cstheme="majorBidi"/>
        </w:rPr>
        <w:t xml:space="preserve"> DF, Singh H. Electronic health records quantify previously existing phenomenon-physicians spend hours coordinating care - Reply. </w:t>
      </w:r>
      <w:r w:rsidRPr="00C56B3D">
        <w:rPr>
          <w:rFonts w:asciiTheme="majorBidi" w:hAnsiTheme="majorBidi" w:cstheme="majorBidi"/>
          <w:i/>
          <w:iCs/>
        </w:rPr>
        <w:t>JAMA Intern Med</w:t>
      </w:r>
      <w:r w:rsidRPr="00C56B3D">
        <w:rPr>
          <w:rFonts w:asciiTheme="majorBidi" w:hAnsiTheme="majorBidi" w:cstheme="majorBidi"/>
        </w:rPr>
        <w:t>. 2016;176(8):1235-1236. doi:10.1001/jamainternmed.2016.3901</w:t>
      </w:r>
    </w:p>
    <w:p w14:paraId="2C814BC6" w14:textId="77777777" w:rsidR="00935B07" w:rsidRPr="00C56B3D" w:rsidRDefault="00935B07" w:rsidP="00935B07">
      <w:pPr>
        <w:pStyle w:val="ListParagraph"/>
        <w:numPr>
          <w:ilvl w:val="0"/>
          <w:numId w:val="1"/>
        </w:numPr>
        <w:spacing w:line="480" w:lineRule="auto"/>
        <w:rPr>
          <w:rFonts w:asciiTheme="majorBidi" w:hAnsiTheme="majorBidi" w:cstheme="majorBidi"/>
        </w:rPr>
      </w:pPr>
      <w:r w:rsidRPr="00C56B3D">
        <w:rPr>
          <w:rFonts w:asciiTheme="majorBidi" w:hAnsiTheme="majorBidi" w:cstheme="majorBidi"/>
        </w:rPr>
        <w:t xml:space="preserve">Murphy DR, Meyer AND, </w:t>
      </w:r>
      <w:proofErr w:type="spellStart"/>
      <w:r w:rsidRPr="00C56B3D">
        <w:rPr>
          <w:rFonts w:asciiTheme="majorBidi" w:hAnsiTheme="majorBidi" w:cstheme="majorBidi"/>
        </w:rPr>
        <w:t>Sittig</w:t>
      </w:r>
      <w:proofErr w:type="spellEnd"/>
      <w:r w:rsidRPr="00C56B3D">
        <w:rPr>
          <w:rFonts w:asciiTheme="majorBidi" w:hAnsiTheme="majorBidi" w:cstheme="majorBidi"/>
        </w:rPr>
        <w:t xml:space="preserve"> DF, Meeks DW, Thomas EJ, Singh H. Application of electronic trigger tools to identify targets for improving diagnostic safety. </w:t>
      </w:r>
      <w:r w:rsidRPr="00C56B3D">
        <w:rPr>
          <w:rFonts w:asciiTheme="majorBidi" w:hAnsiTheme="majorBidi" w:cstheme="majorBidi"/>
          <w:i/>
          <w:iCs/>
        </w:rPr>
        <w:t xml:space="preserve">BMJ Qual </w:t>
      </w:r>
      <w:proofErr w:type="spellStart"/>
      <w:r w:rsidRPr="00C56B3D">
        <w:rPr>
          <w:rFonts w:asciiTheme="majorBidi" w:hAnsiTheme="majorBidi" w:cstheme="majorBidi"/>
          <w:i/>
          <w:iCs/>
        </w:rPr>
        <w:t>Saf</w:t>
      </w:r>
      <w:proofErr w:type="spellEnd"/>
      <w:r w:rsidRPr="00C56B3D">
        <w:rPr>
          <w:rFonts w:asciiTheme="majorBidi" w:hAnsiTheme="majorBidi" w:cstheme="majorBidi"/>
        </w:rPr>
        <w:t>. 2019;28(2):151-159. doi:10.1136/bmjqs-2018-008086</w:t>
      </w:r>
    </w:p>
    <w:p w14:paraId="7744B3FB" w14:textId="77777777" w:rsidR="00935B07" w:rsidRPr="00C56B3D" w:rsidRDefault="00935B07" w:rsidP="00935B07">
      <w:pPr>
        <w:pStyle w:val="ListParagraph"/>
        <w:numPr>
          <w:ilvl w:val="0"/>
          <w:numId w:val="1"/>
        </w:numPr>
        <w:spacing w:line="480" w:lineRule="auto"/>
        <w:rPr>
          <w:rFonts w:asciiTheme="majorBidi" w:hAnsiTheme="majorBidi" w:cstheme="majorBidi"/>
        </w:rPr>
      </w:pPr>
      <w:r w:rsidRPr="00C56B3D">
        <w:rPr>
          <w:rFonts w:asciiTheme="majorBidi" w:hAnsiTheme="majorBidi" w:cstheme="majorBidi"/>
          <w:lang w:val="de-DE"/>
        </w:rPr>
        <w:t xml:space="preserve">Singh H, </w:t>
      </w:r>
      <w:proofErr w:type="spellStart"/>
      <w:r w:rsidRPr="00C56B3D">
        <w:rPr>
          <w:rFonts w:asciiTheme="majorBidi" w:hAnsiTheme="majorBidi" w:cstheme="majorBidi"/>
          <w:lang w:val="de-DE"/>
        </w:rPr>
        <w:t>Graber</w:t>
      </w:r>
      <w:proofErr w:type="spellEnd"/>
      <w:r w:rsidRPr="00C56B3D">
        <w:rPr>
          <w:rFonts w:asciiTheme="majorBidi" w:hAnsiTheme="majorBidi" w:cstheme="majorBidi"/>
          <w:lang w:val="de-DE"/>
        </w:rPr>
        <w:t xml:space="preserve"> ML, Hofer TP. </w:t>
      </w:r>
      <w:r w:rsidRPr="00C56B3D">
        <w:rPr>
          <w:rFonts w:asciiTheme="majorBidi" w:hAnsiTheme="majorBidi" w:cstheme="majorBidi"/>
        </w:rPr>
        <w:t xml:space="preserve">Measures to Improve Diagnostic Safety in Clinical Practice. </w:t>
      </w:r>
      <w:r w:rsidRPr="00C56B3D">
        <w:rPr>
          <w:rFonts w:asciiTheme="majorBidi" w:hAnsiTheme="majorBidi" w:cstheme="majorBidi"/>
          <w:i/>
          <w:iCs/>
        </w:rPr>
        <w:t xml:space="preserve">J Patient </w:t>
      </w:r>
      <w:proofErr w:type="spellStart"/>
      <w:r w:rsidRPr="00C56B3D">
        <w:rPr>
          <w:rFonts w:asciiTheme="majorBidi" w:hAnsiTheme="majorBidi" w:cstheme="majorBidi"/>
          <w:i/>
          <w:iCs/>
        </w:rPr>
        <w:t>Saf</w:t>
      </w:r>
      <w:proofErr w:type="spellEnd"/>
      <w:r w:rsidRPr="00C56B3D">
        <w:rPr>
          <w:rFonts w:asciiTheme="majorBidi" w:hAnsiTheme="majorBidi" w:cstheme="majorBidi"/>
        </w:rPr>
        <w:t>. 2019;15(4):311-316. doi:10.1097/PTS.0000000000000338</w:t>
      </w:r>
    </w:p>
    <w:p w14:paraId="21B9A836" w14:textId="77777777" w:rsidR="00935B07" w:rsidRPr="00C6171C" w:rsidRDefault="00935B07" w:rsidP="00935B07">
      <w:pPr>
        <w:pStyle w:val="ListParagraph"/>
        <w:numPr>
          <w:ilvl w:val="0"/>
          <w:numId w:val="1"/>
        </w:numPr>
        <w:spacing w:line="480" w:lineRule="auto"/>
        <w:rPr>
          <w:rFonts w:asciiTheme="majorBidi" w:hAnsiTheme="majorBidi" w:cstheme="majorBidi"/>
        </w:rPr>
      </w:pPr>
      <w:r w:rsidRPr="00C56B3D">
        <w:rPr>
          <w:rFonts w:asciiTheme="majorBidi" w:hAnsiTheme="majorBidi" w:cstheme="majorBidi"/>
        </w:rPr>
        <w:t xml:space="preserve">Berenson R, Singh H. Payment innovations to improve diagnostic accuracy and reduce diagnostic error. </w:t>
      </w:r>
      <w:r w:rsidRPr="00C56B3D">
        <w:rPr>
          <w:rFonts w:asciiTheme="majorBidi" w:hAnsiTheme="majorBidi" w:cstheme="majorBidi"/>
          <w:i/>
          <w:iCs/>
        </w:rPr>
        <w:t xml:space="preserve">Health </w:t>
      </w:r>
      <w:proofErr w:type="spellStart"/>
      <w:r w:rsidRPr="00C56B3D">
        <w:rPr>
          <w:rFonts w:asciiTheme="majorBidi" w:hAnsiTheme="majorBidi" w:cstheme="majorBidi"/>
          <w:i/>
          <w:iCs/>
        </w:rPr>
        <w:t>Aff</w:t>
      </w:r>
      <w:proofErr w:type="spellEnd"/>
      <w:r w:rsidRPr="00C56B3D">
        <w:rPr>
          <w:rFonts w:asciiTheme="majorBidi" w:hAnsiTheme="majorBidi" w:cstheme="majorBidi"/>
        </w:rPr>
        <w:t>. 2018;37(11):1828-1835. doi:10.1377/hlthaff.2018.0714</w:t>
      </w:r>
    </w:p>
    <w:p w14:paraId="6A76D530" w14:textId="77777777" w:rsidR="00935B07" w:rsidRPr="00C56B3D" w:rsidRDefault="00935B07" w:rsidP="00935B07">
      <w:pPr>
        <w:pStyle w:val="Heading1"/>
        <w:spacing w:before="0" w:after="0" w:line="480" w:lineRule="auto"/>
        <w:rPr>
          <w:rFonts w:asciiTheme="majorBidi" w:hAnsiTheme="majorBidi" w:cstheme="majorBidi"/>
          <w:sz w:val="24"/>
          <w:szCs w:val="24"/>
        </w:rPr>
      </w:pPr>
      <w:r w:rsidRPr="00C56B3D">
        <w:rPr>
          <w:rFonts w:asciiTheme="majorBidi" w:hAnsiTheme="majorBidi" w:cstheme="majorBidi"/>
          <w:sz w:val="24"/>
          <w:szCs w:val="24"/>
        </w:rPr>
        <w:br w:type="page"/>
      </w:r>
      <w:bookmarkStart w:id="1" w:name="_Toc32156995"/>
      <w:r w:rsidRPr="00C56B3D">
        <w:rPr>
          <w:rFonts w:asciiTheme="majorBidi" w:hAnsiTheme="majorBidi" w:cstheme="majorBidi"/>
          <w:sz w:val="24"/>
          <w:szCs w:val="24"/>
        </w:rPr>
        <w:lastRenderedPageBreak/>
        <w:t>Appendix B.</w:t>
      </w:r>
      <w:r w:rsidRPr="00C56B3D">
        <w:rPr>
          <w:rFonts w:asciiTheme="majorBidi" w:hAnsiTheme="majorBidi" w:cstheme="majorBidi"/>
          <w:sz w:val="24"/>
          <w:szCs w:val="24"/>
        </w:rPr>
        <w:tab/>
        <w:t>Search Strategy</w:t>
      </w:r>
      <w:bookmarkEnd w:id="1"/>
    </w:p>
    <w:p w14:paraId="6BDD8DC4" w14:textId="77777777" w:rsidR="00935B07" w:rsidRPr="00C56B3D" w:rsidRDefault="00935B07" w:rsidP="00935B07">
      <w:pPr>
        <w:spacing w:line="480" w:lineRule="auto"/>
        <w:rPr>
          <w:rFonts w:asciiTheme="majorBidi" w:hAnsiTheme="majorBidi" w:cstheme="majorBidi"/>
          <w:b/>
          <w:color w:val="000000"/>
        </w:rPr>
      </w:pPr>
      <w:r w:rsidRPr="00C56B3D">
        <w:rPr>
          <w:rFonts w:asciiTheme="majorBidi" w:hAnsiTheme="majorBidi" w:cstheme="majorBidi"/>
          <w:b/>
        </w:rPr>
        <w:t>Search Strategy</w:t>
      </w:r>
      <w:r w:rsidRPr="00C56B3D">
        <w:rPr>
          <w:rFonts w:asciiTheme="majorBidi" w:hAnsiTheme="majorBidi" w:cstheme="majorBidi"/>
          <w:b/>
          <w:color w:val="000000"/>
        </w:rPr>
        <w:t xml:space="preserve"> for Database: Ovid Medline(R) without Revisions</w:t>
      </w:r>
    </w:p>
    <w:p w14:paraId="2D9497A8"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1</w:t>
      </w:r>
      <w:r w:rsidRPr="00C56B3D">
        <w:rPr>
          <w:rFonts w:asciiTheme="majorBidi" w:hAnsiTheme="majorBidi" w:cstheme="majorBidi"/>
          <w:color w:val="000000"/>
        </w:rPr>
        <w:tab/>
        <w:t xml:space="preserve">cognitive </w:t>
      </w:r>
      <w:proofErr w:type="gramStart"/>
      <w:r w:rsidRPr="00C56B3D">
        <w:rPr>
          <w:rFonts w:asciiTheme="majorBidi" w:hAnsiTheme="majorBidi" w:cstheme="majorBidi"/>
          <w:color w:val="000000"/>
        </w:rPr>
        <w:t>interventions</w:t>
      </w:r>
      <w:proofErr w:type="gramEnd"/>
      <w:r w:rsidRPr="00C56B3D">
        <w:rPr>
          <w:rFonts w:asciiTheme="majorBidi" w:hAnsiTheme="majorBidi" w:cstheme="majorBidi"/>
          <w:color w:val="000000"/>
        </w:rPr>
        <w:t xml:space="preserve"> to reduce </w:t>
      </w:r>
      <w:proofErr w:type="spellStart"/>
      <w:r w:rsidRPr="00C56B3D">
        <w:rPr>
          <w:rFonts w:asciiTheme="majorBidi" w:hAnsiTheme="majorBidi" w:cstheme="majorBidi"/>
          <w:color w:val="000000"/>
        </w:rPr>
        <w:t>diagnostic.m_titl</w:t>
      </w:r>
      <w:proofErr w:type="spellEnd"/>
      <w:r w:rsidRPr="00C56B3D">
        <w:rPr>
          <w:rFonts w:asciiTheme="majorBidi" w:hAnsiTheme="majorBidi" w:cstheme="majorBidi"/>
          <w:color w:val="000000"/>
        </w:rPr>
        <w:t xml:space="preserve">. </w:t>
      </w:r>
    </w:p>
    <w:p w14:paraId="388AE0D2"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2</w:t>
      </w:r>
      <w:r w:rsidRPr="00C56B3D">
        <w:rPr>
          <w:rFonts w:asciiTheme="majorBidi" w:hAnsiTheme="majorBidi" w:cstheme="majorBidi"/>
          <w:color w:val="000000"/>
        </w:rPr>
        <w:tab/>
        <w:t xml:space="preserve">system-related interventions to reduce diagnostic </w:t>
      </w:r>
      <w:proofErr w:type="spellStart"/>
      <w:r w:rsidRPr="00C56B3D">
        <w:rPr>
          <w:rFonts w:asciiTheme="majorBidi" w:hAnsiTheme="majorBidi" w:cstheme="majorBidi"/>
          <w:color w:val="000000"/>
        </w:rPr>
        <w:t>errors.m_titl</w:t>
      </w:r>
      <w:proofErr w:type="spellEnd"/>
      <w:r w:rsidRPr="00C56B3D">
        <w:rPr>
          <w:rFonts w:asciiTheme="majorBidi" w:hAnsiTheme="majorBidi" w:cstheme="majorBidi"/>
          <w:color w:val="000000"/>
        </w:rPr>
        <w:t xml:space="preserve">. </w:t>
      </w:r>
    </w:p>
    <w:p w14:paraId="42DFBB7F"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3</w:t>
      </w:r>
      <w:r w:rsidRPr="00C56B3D">
        <w:rPr>
          <w:rFonts w:asciiTheme="majorBidi" w:hAnsiTheme="majorBidi" w:cstheme="majorBidi"/>
          <w:color w:val="000000"/>
        </w:rPr>
        <w:tab/>
        <w:t xml:space="preserve">patient safety strategies targeted at diagnostic </w:t>
      </w:r>
      <w:proofErr w:type="spellStart"/>
      <w:r w:rsidRPr="00C56B3D">
        <w:rPr>
          <w:rFonts w:asciiTheme="majorBidi" w:hAnsiTheme="majorBidi" w:cstheme="majorBidi"/>
          <w:color w:val="000000"/>
        </w:rPr>
        <w:t>errors.m_titl</w:t>
      </w:r>
      <w:proofErr w:type="spellEnd"/>
      <w:r w:rsidRPr="00C56B3D">
        <w:rPr>
          <w:rFonts w:asciiTheme="majorBidi" w:hAnsiTheme="majorBidi" w:cstheme="majorBidi"/>
          <w:color w:val="000000"/>
        </w:rPr>
        <w:t xml:space="preserve">. </w:t>
      </w:r>
    </w:p>
    <w:p w14:paraId="1C28BD7F"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4</w:t>
      </w:r>
      <w:r w:rsidRPr="00C56B3D">
        <w:rPr>
          <w:rFonts w:asciiTheme="majorBidi" w:hAnsiTheme="majorBidi" w:cstheme="majorBidi"/>
          <w:color w:val="000000"/>
        </w:rPr>
        <w:tab/>
        <w:t xml:space="preserve">electronic triggers to identify delays in follow up of </w:t>
      </w:r>
      <w:proofErr w:type="spellStart"/>
      <w:r w:rsidRPr="00C56B3D">
        <w:rPr>
          <w:rFonts w:asciiTheme="majorBidi" w:hAnsiTheme="majorBidi" w:cstheme="majorBidi"/>
          <w:color w:val="000000"/>
        </w:rPr>
        <w:t>mammography.m_titl</w:t>
      </w:r>
      <w:proofErr w:type="spellEnd"/>
      <w:r w:rsidRPr="00C56B3D">
        <w:rPr>
          <w:rFonts w:asciiTheme="majorBidi" w:hAnsiTheme="majorBidi" w:cstheme="majorBidi"/>
          <w:color w:val="000000"/>
        </w:rPr>
        <w:t xml:space="preserve">. </w:t>
      </w:r>
    </w:p>
    <w:p w14:paraId="61FA7A1D"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5</w:t>
      </w:r>
      <w:r w:rsidRPr="00C56B3D">
        <w:rPr>
          <w:rFonts w:asciiTheme="majorBidi" w:hAnsiTheme="majorBidi" w:cstheme="majorBidi"/>
          <w:color w:val="000000"/>
        </w:rPr>
        <w:tab/>
        <w:t xml:space="preserve">recommendations for using the revised safer </w:t>
      </w:r>
      <w:proofErr w:type="spellStart"/>
      <w:r w:rsidRPr="00C56B3D">
        <w:rPr>
          <w:rFonts w:asciiTheme="majorBidi" w:hAnsiTheme="majorBidi" w:cstheme="majorBidi"/>
          <w:color w:val="000000"/>
        </w:rPr>
        <w:t>dx.m_titl</w:t>
      </w:r>
      <w:proofErr w:type="spellEnd"/>
      <w:r w:rsidRPr="00C56B3D">
        <w:rPr>
          <w:rFonts w:asciiTheme="majorBidi" w:hAnsiTheme="majorBidi" w:cstheme="majorBidi"/>
          <w:color w:val="000000"/>
        </w:rPr>
        <w:t xml:space="preserve">. </w:t>
      </w:r>
    </w:p>
    <w:p w14:paraId="612BA797"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6</w:t>
      </w:r>
      <w:r w:rsidRPr="00C56B3D">
        <w:rPr>
          <w:rFonts w:asciiTheme="majorBidi" w:hAnsiTheme="majorBidi" w:cstheme="majorBidi"/>
          <w:color w:val="000000"/>
        </w:rPr>
        <w:tab/>
        <w:t xml:space="preserve">computerized triggers of big data to detect delays in follow up of chest </w:t>
      </w:r>
      <w:proofErr w:type="spellStart"/>
      <w:r w:rsidRPr="00C56B3D">
        <w:rPr>
          <w:rFonts w:asciiTheme="majorBidi" w:hAnsiTheme="majorBidi" w:cstheme="majorBidi"/>
          <w:color w:val="000000"/>
        </w:rPr>
        <w:t>imaging.m_titl</w:t>
      </w:r>
      <w:proofErr w:type="spellEnd"/>
      <w:r w:rsidRPr="00C56B3D">
        <w:rPr>
          <w:rFonts w:asciiTheme="majorBidi" w:hAnsiTheme="majorBidi" w:cstheme="majorBidi"/>
          <w:color w:val="000000"/>
        </w:rPr>
        <w:t xml:space="preserve">. </w:t>
      </w:r>
    </w:p>
    <w:p w14:paraId="62C92BC3" w14:textId="77777777" w:rsidR="00935B07" w:rsidRPr="00C56B3D" w:rsidRDefault="00935B07" w:rsidP="00935B07">
      <w:pPr>
        <w:tabs>
          <w:tab w:val="left" w:pos="360"/>
        </w:tabs>
        <w:spacing w:line="480" w:lineRule="auto"/>
        <w:ind w:left="360" w:hanging="360"/>
        <w:rPr>
          <w:rFonts w:asciiTheme="majorBidi" w:hAnsiTheme="majorBidi" w:cstheme="majorBidi"/>
          <w:color w:val="000000"/>
        </w:rPr>
      </w:pPr>
      <w:r w:rsidRPr="00C56B3D">
        <w:rPr>
          <w:rFonts w:asciiTheme="majorBidi" w:hAnsiTheme="majorBidi" w:cstheme="majorBidi"/>
          <w:color w:val="000000"/>
        </w:rPr>
        <w:t>7</w:t>
      </w:r>
      <w:r w:rsidRPr="00C56B3D">
        <w:rPr>
          <w:rFonts w:asciiTheme="majorBidi" w:hAnsiTheme="majorBidi" w:cstheme="majorBidi"/>
          <w:color w:val="000000"/>
        </w:rPr>
        <w:tab/>
        <w:t>(development and validation of trigger algorithms to identify delays in diagnostic evaluation).</w:t>
      </w:r>
      <w:proofErr w:type="spellStart"/>
      <w:r w:rsidRPr="00C56B3D">
        <w:rPr>
          <w:rFonts w:asciiTheme="majorBidi" w:hAnsiTheme="majorBidi" w:cstheme="majorBidi"/>
          <w:color w:val="000000"/>
        </w:rPr>
        <w:t>m_titl</w:t>
      </w:r>
      <w:proofErr w:type="spellEnd"/>
      <w:r w:rsidRPr="00C56B3D">
        <w:rPr>
          <w:rFonts w:asciiTheme="majorBidi" w:hAnsiTheme="majorBidi" w:cstheme="majorBidi"/>
          <w:color w:val="000000"/>
        </w:rPr>
        <w:t>.</w:t>
      </w:r>
    </w:p>
    <w:p w14:paraId="5AA0C4DC"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8</w:t>
      </w:r>
      <w:r w:rsidRPr="00C56B3D">
        <w:rPr>
          <w:rFonts w:asciiTheme="majorBidi" w:hAnsiTheme="majorBidi" w:cstheme="majorBidi"/>
          <w:color w:val="000000"/>
        </w:rPr>
        <w:tab/>
        <w:t xml:space="preserve">payment innovations to improve diagnostic </w:t>
      </w:r>
      <w:proofErr w:type="spellStart"/>
      <w:r w:rsidRPr="00C56B3D">
        <w:rPr>
          <w:rFonts w:asciiTheme="majorBidi" w:hAnsiTheme="majorBidi" w:cstheme="majorBidi"/>
          <w:color w:val="000000"/>
        </w:rPr>
        <w:t>accuracy.m_titl</w:t>
      </w:r>
      <w:proofErr w:type="spellEnd"/>
      <w:r w:rsidRPr="00C56B3D">
        <w:rPr>
          <w:rFonts w:asciiTheme="majorBidi" w:hAnsiTheme="majorBidi" w:cstheme="majorBidi"/>
          <w:color w:val="000000"/>
        </w:rPr>
        <w:t>.</w:t>
      </w:r>
    </w:p>
    <w:p w14:paraId="64AD10C6"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9</w:t>
      </w:r>
      <w:r w:rsidRPr="00C56B3D">
        <w:rPr>
          <w:rFonts w:asciiTheme="majorBidi" w:hAnsiTheme="majorBidi" w:cstheme="majorBidi"/>
          <w:color w:val="000000"/>
        </w:rPr>
        <w:tab/>
        <w:t xml:space="preserve">strategies to reduce diagnostic </w:t>
      </w:r>
      <w:proofErr w:type="spellStart"/>
      <w:r w:rsidRPr="00C56B3D">
        <w:rPr>
          <w:rFonts w:asciiTheme="majorBidi" w:hAnsiTheme="majorBidi" w:cstheme="majorBidi"/>
          <w:color w:val="000000"/>
        </w:rPr>
        <w:t>errors.m_titl</w:t>
      </w:r>
      <w:proofErr w:type="spellEnd"/>
      <w:r w:rsidRPr="00C56B3D">
        <w:rPr>
          <w:rFonts w:asciiTheme="majorBidi" w:hAnsiTheme="majorBidi" w:cstheme="majorBidi"/>
          <w:color w:val="000000"/>
        </w:rPr>
        <w:t>.</w:t>
      </w:r>
    </w:p>
    <w:p w14:paraId="5E696880"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10</w:t>
      </w:r>
      <w:r w:rsidRPr="00C56B3D">
        <w:rPr>
          <w:rFonts w:asciiTheme="majorBidi" w:hAnsiTheme="majorBidi" w:cstheme="majorBidi"/>
          <w:color w:val="000000"/>
        </w:rPr>
        <w:tab/>
        <w:t>1 or 2 or 3 or 4 or 5 or 6 or 7 or 8 or 9 (9)</w:t>
      </w:r>
    </w:p>
    <w:p w14:paraId="0CDAD7E9"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11</w:t>
      </w:r>
      <w:r w:rsidRPr="00C56B3D">
        <w:rPr>
          <w:rFonts w:asciiTheme="majorBidi" w:hAnsiTheme="majorBidi" w:cstheme="majorBidi"/>
          <w:color w:val="000000"/>
        </w:rPr>
        <w:tab/>
        <w:t xml:space="preserve">*Diagnostic Errors/ </w:t>
      </w:r>
    </w:p>
    <w:p w14:paraId="4299BE37"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12</w:t>
      </w:r>
      <w:r w:rsidRPr="00C56B3D">
        <w:rPr>
          <w:rFonts w:asciiTheme="majorBidi" w:hAnsiTheme="majorBidi" w:cstheme="majorBidi"/>
          <w:color w:val="000000"/>
        </w:rPr>
        <w:tab/>
        <w:t xml:space="preserve">exp *Delayed Diagnosis/ </w:t>
      </w:r>
    </w:p>
    <w:p w14:paraId="1F232324"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13</w:t>
      </w:r>
      <w:r w:rsidRPr="00C56B3D">
        <w:rPr>
          <w:rFonts w:asciiTheme="majorBidi" w:hAnsiTheme="majorBidi" w:cstheme="majorBidi"/>
          <w:color w:val="000000"/>
        </w:rPr>
        <w:tab/>
        <w:t xml:space="preserve">exp *Defensive Medicine/ </w:t>
      </w:r>
    </w:p>
    <w:p w14:paraId="2207E9C8" w14:textId="77777777" w:rsidR="00935B07" w:rsidRPr="00C56B3D" w:rsidRDefault="00935B07" w:rsidP="00935B07">
      <w:pPr>
        <w:tabs>
          <w:tab w:val="left" w:pos="360"/>
        </w:tabs>
        <w:spacing w:line="480" w:lineRule="auto"/>
        <w:ind w:left="360" w:hanging="360"/>
        <w:rPr>
          <w:rFonts w:asciiTheme="majorBidi" w:hAnsiTheme="majorBidi" w:cstheme="majorBidi"/>
          <w:color w:val="000000"/>
        </w:rPr>
      </w:pPr>
      <w:r w:rsidRPr="00C56B3D">
        <w:rPr>
          <w:rFonts w:asciiTheme="majorBidi" w:hAnsiTheme="majorBidi" w:cstheme="majorBidi"/>
          <w:color w:val="000000"/>
        </w:rPr>
        <w:t>14</w:t>
      </w:r>
      <w:r w:rsidRPr="00C56B3D">
        <w:rPr>
          <w:rFonts w:asciiTheme="majorBidi" w:hAnsiTheme="majorBidi" w:cstheme="majorBidi"/>
          <w:color w:val="000000"/>
        </w:rPr>
        <w:tab/>
        <w:t xml:space="preserve">("Diagnostic error$" or "Error in diagnosis" or "Delayed </w:t>
      </w:r>
      <w:proofErr w:type="spellStart"/>
      <w:r w:rsidRPr="00C56B3D">
        <w:rPr>
          <w:rFonts w:asciiTheme="majorBidi" w:hAnsiTheme="majorBidi" w:cstheme="majorBidi"/>
          <w:color w:val="000000"/>
        </w:rPr>
        <w:t>diagnos</w:t>
      </w:r>
      <w:proofErr w:type="spellEnd"/>
      <w:r w:rsidRPr="00C56B3D">
        <w:rPr>
          <w:rFonts w:asciiTheme="majorBidi" w:hAnsiTheme="majorBidi" w:cstheme="majorBidi"/>
          <w:color w:val="000000"/>
        </w:rPr>
        <w:t xml:space="preserve">$" or "Diagnostic delay$" or "Late </w:t>
      </w:r>
      <w:proofErr w:type="spellStart"/>
      <w:r w:rsidRPr="00C56B3D">
        <w:rPr>
          <w:rFonts w:asciiTheme="majorBidi" w:hAnsiTheme="majorBidi" w:cstheme="majorBidi"/>
          <w:color w:val="000000"/>
        </w:rPr>
        <w:t>diagnos</w:t>
      </w:r>
      <w:proofErr w:type="spellEnd"/>
      <w:r w:rsidRPr="00C56B3D">
        <w:rPr>
          <w:rFonts w:asciiTheme="majorBidi" w:hAnsiTheme="majorBidi" w:cstheme="majorBidi"/>
          <w:color w:val="000000"/>
        </w:rPr>
        <w:t xml:space="preserve">$" or "Misdiagnosis" or "Missed </w:t>
      </w:r>
      <w:proofErr w:type="spellStart"/>
      <w:r w:rsidRPr="00C56B3D">
        <w:rPr>
          <w:rFonts w:asciiTheme="majorBidi" w:hAnsiTheme="majorBidi" w:cstheme="majorBidi"/>
          <w:color w:val="000000"/>
        </w:rPr>
        <w:t>diagnos</w:t>
      </w:r>
      <w:proofErr w:type="spellEnd"/>
      <w:r w:rsidRPr="00C56B3D">
        <w:rPr>
          <w:rFonts w:asciiTheme="majorBidi" w:hAnsiTheme="majorBidi" w:cstheme="majorBidi"/>
          <w:color w:val="000000"/>
        </w:rPr>
        <w:t xml:space="preserve">$" or "Wrong </w:t>
      </w:r>
      <w:proofErr w:type="spellStart"/>
      <w:r w:rsidRPr="00C56B3D">
        <w:rPr>
          <w:rFonts w:asciiTheme="majorBidi" w:hAnsiTheme="majorBidi" w:cstheme="majorBidi"/>
          <w:color w:val="000000"/>
        </w:rPr>
        <w:t>diagnos</w:t>
      </w:r>
      <w:proofErr w:type="spellEnd"/>
      <w:r w:rsidRPr="00C56B3D">
        <w:rPr>
          <w:rFonts w:asciiTheme="majorBidi" w:hAnsiTheme="majorBidi" w:cstheme="majorBidi"/>
          <w:color w:val="000000"/>
        </w:rPr>
        <w:t>$" or "Diagnostic failure$" or "Missed test result$").</w:t>
      </w:r>
      <w:proofErr w:type="spellStart"/>
      <w:r w:rsidRPr="00C56B3D">
        <w:rPr>
          <w:rFonts w:asciiTheme="majorBidi" w:hAnsiTheme="majorBidi" w:cstheme="majorBidi"/>
          <w:color w:val="000000"/>
        </w:rPr>
        <w:t>m_titl</w:t>
      </w:r>
      <w:proofErr w:type="spellEnd"/>
      <w:r w:rsidRPr="00C56B3D">
        <w:rPr>
          <w:rFonts w:asciiTheme="majorBidi" w:hAnsiTheme="majorBidi" w:cstheme="majorBidi"/>
          <w:color w:val="000000"/>
        </w:rPr>
        <w:t xml:space="preserve">. </w:t>
      </w:r>
    </w:p>
    <w:p w14:paraId="24A05EFF"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15</w:t>
      </w:r>
      <w:r w:rsidRPr="00C56B3D">
        <w:rPr>
          <w:rFonts w:asciiTheme="majorBidi" w:hAnsiTheme="majorBidi" w:cstheme="majorBidi"/>
          <w:color w:val="000000"/>
        </w:rPr>
        <w:tab/>
        <w:t xml:space="preserve">("Defensive medicine" or "Diagnostic safety" or "Safe </w:t>
      </w:r>
      <w:proofErr w:type="spellStart"/>
      <w:r w:rsidRPr="00C56B3D">
        <w:rPr>
          <w:rFonts w:asciiTheme="majorBidi" w:hAnsiTheme="majorBidi" w:cstheme="majorBidi"/>
          <w:color w:val="000000"/>
        </w:rPr>
        <w:t>diagnos</w:t>
      </w:r>
      <w:proofErr w:type="spellEnd"/>
      <w:r w:rsidRPr="00C56B3D">
        <w:rPr>
          <w:rFonts w:asciiTheme="majorBidi" w:hAnsiTheme="majorBidi" w:cstheme="majorBidi"/>
          <w:color w:val="000000"/>
        </w:rPr>
        <w:t>$" or "Safer DX").</w:t>
      </w:r>
      <w:proofErr w:type="spellStart"/>
      <w:r w:rsidRPr="00C56B3D">
        <w:rPr>
          <w:rFonts w:asciiTheme="majorBidi" w:hAnsiTheme="majorBidi" w:cstheme="majorBidi"/>
          <w:color w:val="000000"/>
        </w:rPr>
        <w:t>m_titl</w:t>
      </w:r>
      <w:proofErr w:type="spellEnd"/>
      <w:r w:rsidRPr="00C56B3D">
        <w:rPr>
          <w:rFonts w:asciiTheme="majorBidi" w:hAnsiTheme="majorBidi" w:cstheme="majorBidi"/>
          <w:color w:val="000000"/>
        </w:rPr>
        <w:t xml:space="preserve">. </w:t>
      </w:r>
    </w:p>
    <w:p w14:paraId="37691F19" w14:textId="77777777" w:rsidR="00935B07" w:rsidRPr="00C56B3D" w:rsidRDefault="00935B07" w:rsidP="00935B07">
      <w:pPr>
        <w:tabs>
          <w:tab w:val="left" w:pos="360"/>
        </w:tabs>
        <w:spacing w:line="480" w:lineRule="auto"/>
        <w:rPr>
          <w:rFonts w:asciiTheme="majorBidi" w:hAnsiTheme="majorBidi" w:cstheme="majorBidi"/>
          <w:color w:val="000000"/>
          <w:lang w:val="es-US"/>
        </w:rPr>
      </w:pPr>
      <w:r w:rsidRPr="00C56B3D">
        <w:rPr>
          <w:rFonts w:asciiTheme="majorBidi" w:hAnsiTheme="majorBidi" w:cstheme="majorBidi"/>
          <w:color w:val="000000"/>
          <w:lang w:val="es-US"/>
        </w:rPr>
        <w:t>16</w:t>
      </w:r>
      <w:r w:rsidRPr="00C56B3D">
        <w:rPr>
          <w:rFonts w:asciiTheme="majorBidi" w:hAnsiTheme="majorBidi" w:cstheme="majorBidi"/>
          <w:color w:val="000000"/>
          <w:lang w:val="es-US"/>
        </w:rPr>
        <w:tab/>
        <w:t>(</w:t>
      </w:r>
      <w:proofErr w:type="spellStart"/>
      <w:r w:rsidRPr="00C56B3D">
        <w:rPr>
          <w:rFonts w:asciiTheme="majorBidi" w:hAnsiTheme="majorBidi" w:cstheme="majorBidi"/>
          <w:color w:val="000000"/>
          <w:lang w:val="es-US"/>
        </w:rPr>
        <w:t>Diagnos</w:t>
      </w:r>
      <w:proofErr w:type="spellEnd"/>
      <w:r w:rsidRPr="00C56B3D">
        <w:rPr>
          <w:rFonts w:asciiTheme="majorBidi" w:hAnsiTheme="majorBidi" w:cstheme="majorBidi"/>
          <w:color w:val="000000"/>
          <w:lang w:val="es-US"/>
        </w:rPr>
        <w:t>$ adj2 error$).</w:t>
      </w:r>
      <w:proofErr w:type="spellStart"/>
      <w:r w:rsidRPr="00C56B3D">
        <w:rPr>
          <w:rFonts w:asciiTheme="majorBidi" w:hAnsiTheme="majorBidi" w:cstheme="majorBidi"/>
          <w:color w:val="000000"/>
          <w:lang w:val="es-US"/>
        </w:rPr>
        <w:t>m_titl</w:t>
      </w:r>
      <w:proofErr w:type="spellEnd"/>
      <w:r w:rsidRPr="00C56B3D">
        <w:rPr>
          <w:rFonts w:asciiTheme="majorBidi" w:hAnsiTheme="majorBidi" w:cstheme="majorBidi"/>
          <w:color w:val="000000"/>
          <w:lang w:val="es-US"/>
        </w:rPr>
        <w:t xml:space="preserve">. </w:t>
      </w:r>
    </w:p>
    <w:p w14:paraId="56DAE057" w14:textId="77777777" w:rsidR="00935B07" w:rsidRPr="00C56B3D" w:rsidRDefault="00935B07" w:rsidP="00935B07">
      <w:pPr>
        <w:tabs>
          <w:tab w:val="left" w:pos="360"/>
        </w:tabs>
        <w:spacing w:line="480" w:lineRule="auto"/>
        <w:rPr>
          <w:rFonts w:asciiTheme="majorBidi" w:hAnsiTheme="majorBidi" w:cstheme="majorBidi"/>
          <w:color w:val="000000"/>
          <w:lang w:val="es-US"/>
        </w:rPr>
      </w:pPr>
      <w:r w:rsidRPr="00C56B3D">
        <w:rPr>
          <w:rFonts w:asciiTheme="majorBidi" w:hAnsiTheme="majorBidi" w:cstheme="majorBidi"/>
          <w:color w:val="000000"/>
          <w:lang w:val="es-US"/>
        </w:rPr>
        <w:t>17</w:t>
      </w:r>
      <w:r w:rsidRPr="00C56B3D">
        <w:rPr>
          <w:rFonts w:asciiTheme="majorBidi" w:hAnsiTheme="majorBidi" w:cstheme="majorBidi"/>
          <w:color w:val="000000"/>
          <w:lang w:val="es-US"/>
        </w:rPr>
        <w:tab/>
        <w:t>(</w:t>
      </w:r>
      <w:proofErr w:type="spellStart"/>
      <w:r w:rsidRPr="00C56B3D">
        <w:rPr>
          <w:rFonts w:asciiTheme="majorBidi" w:hAnsiTheme="majorBidi" w:cstheme="majorBidi"/>
          <w:color w:val="000000"/>
          <w:lang w:val="es-US"/>
        </w:rPr>
        <w:t>Diagnos</w:t>
      </w:r>
      <w:proofErr w:type="spellEnd"/>
      <w:r w:rsidRPr="00C56B3D">
        <w:rPr>
          <w:rFonts w:asciiTheme="majorBidi" w:hAnsiTheme="majorBidi" w:cstheme="majorBidi"/>
          <w:color w:val="000000"/>
          <w:lang w:val="es-US"/>
        </w:rPr>
        <w:t xml:space="preserve">$ adj2 </w:t>
      </w:r>
      <w:proofErr w:type="spellStart"/>
      <w:r w:rsidRPr="00C56B3D">
        <w:rPr>
          <w:rFonts w:asciiTheme="majorBidi" w:hAnsiTheme="majorBidi" w:cstheme="majorBidi"/>
          <w:color w:val="000000"/>
          <w:lang w:val="es-US"/>
        </w:rPr>
        <w:t>delay</w:t>
      </w:r>
      <w:proofErr w:type="spellEnd"/>
      <w:r w:rsidRPr="00C56B3D">
        <w:rPr>
          <w:rFonts w:asciiTheme="majorBidi" w:hAnsiTheme="majorBidi" w:cstheme="majorBidi"/>
          <w:color w:val="000000"/>
          <w:lang w:val="es-US"/>
        </w:rPr>
        <w:t>$).</w:t>
      </w:r>
      <w:proofErr w:type="spellStart"/>
      <w:r w:rsidRPr="00C56B3D">
        <w:rPr>
          <w:rFonts w:asciiTheme="majorBidi" w:hAnsiTheme="majorBidi" w:cstheme="majorBidi"/>
          <w:color w:val="000000"/>
          <w:lang w:val="es-US"/>
        </w:rPr>
        <w:t>m_titl</w:t>
      </w:r>
      <w:proofErr w:type="spellEnd"/>
      <w:r w:rsidRPr="00C56B3D">
        <w:rPr>
          <w:rFonts w:asciiTheme="majorBidi" w:hAnsiTheme="majorBidi" w:cstheme="majorBidi"/>
          <w:color w:val="000000"/>
          <w:lang w:val="es-US"/>
        </w:rPr>
        <w:t xml:space="preserve">. </w:t>
      </w:r>
    </w:p>
    <w:p w14:paraId="25DD56C7"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18</w:t>
      </w:r>
      <w:r w:rsidRPr="00C56B3D">
        <w:rPr>
          <w:rFonts w:asciiTheme="majorBidi" w:hAnsiTheme="majorBidi" w:cstheme="majorBidi"/>
          <w:color w:val="000000"/>
        </w:rPr>
        <w:tab/>
        <w:t>(Delay$ adj2 follow$).</w:t>
      </w:r>
      <w:proofErr w:type="spellStart"/>
      <w:r w:rsidRPr="00C56B3D">
        <w:rPr>
          <w:rFonts w:asciiTheme="majorBidi" w:hAnsiTheme="majorBidi" w:cstheme="majorBidi"/>
          <w:color w:val="000000"/>
        </w:rPr>
        <w:t>m_titl</w:t>
      </w:r>
      <w:proofErr w:type="spellEnd"/>
      <w:r w:rsidRPr="00C56B3D">
        <w:rPr>
          <w:rFonts w:asciiTheme="majorBidi" w:hAnsiTheme="majorBidi" w:cstheme="majorBidi"/>
          <w:color w:val="000000"/>
        </w:rPr>
        <w:t xml:space="preserve">. </w:t>
      </w:r>
    </w:p>
    <w:p w14:paraId="3756DCB8" w14:textId="77777777" w:rsidR="00935B07" w:rsidRPr="00C56B3D" w:rsidRDefault="00935B07" w:rsidP="00935B07">
      <w:pPr>
        <w:tabs>
          <w:tab w:val="left" w:pos="360"/>
        </w:tabs>
        <w:spacing w:line="480" w:lineRule="auto"/>
        <w:ind w:left="360" w:hanging="360"/>
        <w:rPr>
          <w:rFonts w:asciiTheme="majorBidi" w:hAnsiTheme="majorBidi" w:cstheme="majorBidi"/>
          <w:color w:val="000000"/>
        </w:rPr>
      </w:pPr>
      <w:r w:rsidRPr="00C56B3D">
        <w:rPr>
          <w:rFonts w:asciiTheme="majorBidi" w:hAnsiTheme="majorBidi" w:cstheme="majorBidi"/>
          <w:color w:val="000000"/>
        </w:rPr>
        <w:lastRenderedPageBreak/>
        <w:t>19</w:t>
      </w:r>
      <w:r w:rsidRPr="00C56B3D">
        <w:rPr>
          <w:rFonts w:asciiTheme="majorBidi" w:hAnsiTheme="majorBidi" w:cstheme="majorBidi"/>
          <w:color w:val="000000"/>
        </w:rPr>
        <w:tab/>
        <w:t xml:space="preserve">((Delay$ adj3 Follow$) or (Delay$ adj3 </w:t>
      </w:r>
      <w:proofErr w:type="spellStart"/>
      <w:r w:rsidRPr="00C56B3D">
        <w:rPr>
          <w:rFonts w:asciiTheme="majorBidi" w:hAnsiTheme="majorBidi" w:cstheme="majorBidi"/>
          <w:color w:val="000000"/>
        </w:rPr>
        <w:t>Diagnos</w:t>
      </w:r>
      <w:proofErr w:type="spellEnd"/>
      <w:r w:rsidRPr="00C56B3D">
        <w:rPr>
          <w:rFonts w:asciiTheme="majorBidi" w:hAnsiTheme="majorBidi" w:cstheme="majorBidi"/>
          <w:color w:val="000000"/>
        </w:rPr>
        <w:t xml:space="preserve">$) or (Missed adj3 </w:t>
      </w:r>
      <w:proofErr w:type="spellStart"/>
      <w:r w:rsidRPr="00C56B3D">
        <w:rPr>
          <w:rFonts w:asciiTheme="majorBidi" w:hAnsiTheme="majorBidi" w:cstheme="majorBidi"/>
          <w:color w:val="000000"/>
        </w:rPr>
        <w:t>Diagnos</w:t>
      </w:r>
      <w:proofErr w:type="spellEnd"/>
      <w:r w:rsidRPr="00C56B3D">
        <w:rPr>
          <w:rFonts w:asciiTheme="majorBidi" w:hAnsiTheme="majorBidi" w:cstheme="majorBidi"/>
          <w:color w:val="000000"/>
        </w:rPr>
        <w:t>$) or (Improv$ adj3 "Diagnostic Accuracy") or (</w:t>
      </w:r>
      <w:proofErr w:type="spellStart"/>
      <w:r w:rsidRPr="00C56B3D">
        <w:rPr>
          <w:rFonts w:asciiTheme="majorBidi" w:hAnsiTheme="majorBidi" w:cstheme="majorBidi"/>
          <w:color w:val="000000"/>
        </w:rPr>
        <w:t>Decreas</w:t>
      </w:r>
      <w:proofErr w:type="spellEnd"/>
      <w:r w:rsidRPr="00C56B3D">
        <w:rPr>
          <w:rFonts w:asciiTheme="majorBidi" w:hAnsiTheme="majorBidi" w:cstheme="majorBidi"/>
          <w:color w:val="000000"/>
        </w:rPr>
        <w:t>$ adj3 "</w:t>
      </w:r>
      <w:proofErr w:type="spellStart"/>
      <w:r w:rsidRPr="00C56B3D">
        <w:rPr>
          <w:rFonts w:asciiTheme="majorBidi" w:hAnsiTheme="majorBidi" w:cstheme="majorBidi"/>
          <w:color w:val="000000"/>
        </w:rPr>
        <w:t>Diagnos</w:t>
      </w:r>
      <w:proofErr w:type="spellEnd"/>
      <w:r w:rsidRPr="00C56B3D">
        <w:rPr>
          <w:rFonts w:asciiTheme="majorBidi" w:hAnsiTheme="majorBidi" w:cstheme="majorBidi"/>
          <w:color w:val="000000"/>
        </w:rPr>
        <w:t>$ Error$") or (Prevent$ adj3 "</w:t>
      </w:r>
      <w:proofErr w:type="spellStart"/>
      <w:r w:rsidRPr="00C56B3D">
        <w:rPr>
          <w:rFonts w:asciiTheme="majorBidi" w:hAnsiTheme="majorBidi" w:cstheme="majorBidi"/>
          <w:color w:val="000000"/>
        </w:rPr>
        <w:t>Diagnos</w:t>
      </w:r>
      <w:proofErr w:type="spellEnd"/>
      <w:r w:rsidRPr="00C56B3D">
        <w:rPr>
          <w:rFonts w:asciiTheme="majorBidi" w:hAnsiTheme="majorBidi" w:cstheme="majorBidi"/>
          <w:color w:val="000000"/>
        </w:rPr>
        <w:t>$ Error") or "</w:t>
      </w:r>
      <w:proofErr w:type="spellStart"/>
      <w:r w:rsidRPr="00C56B3D">
        <w:rPr>
          <w:rFonts w:asciiTheme="majorBidi" w:hAnsiTheme="majorBidi" w:cstheme="majorBidi"/>
          <w:color w:val="000000"/>
        </w:rPr>
        <w:t>Reduc</w:t>
      </w:r>
      <w:proofErr w:type="spellEnd"/>
      <w:r w:rsidRPr="00C56B3D">
        <w:rPr>
          <w:rFonts w:asciiTheme="majorBidi" w:hAnsiTheme="majorBidi" w:cstheme="majorBidi"/>
          <w:color w:val="000000"/>
        </w:rPr>
        <w:t xml:space="preserve">$ adj3 </w:t>
      </w:r>
      <w:proofErr w:type="spellStart"/>
      <w:r w:rsidRPr="00C56B3D">
        <w:rPr>
          <w:rFonts w:asciiTheme="majorBidi" w:hAnsiTheme="majorBidi" w:cstheme="majorBidi"/>
          <w:color w:val="000000"/>
        </w:rPr>
        <w:t>Diagnos</w:t>
      </w:r>
      <w:proofErr w:type="spellEnd"/>
      <w:r w:rsidRPr="00C56B3D">
        <w:rPr>
          <w:rFonts w:asciiTheme="majorBidi" w:hAnsiTheme="majorBidi" w:cstheme="majorBidi"/>
          <w:color w:val="000000"/>
        </w:rPr>
        <w:t>* Error$").</w:t>
      </w:r>
      <w:proofErr w:type="spellStart"/>
      <w:r w:rsidRPr="00C56B3D">
        <w:rPr>
          <w:rFonts w:asciiTheme="majorBidi" w:hAnsiTheme="majorBidi" w:cstheme="majorBidi"/>
          <w:color w:val="000000"/>
        </w:rPr>
        <w:t>m_titl</w:t>
      </w:r>
      <w:proofErr w:type="spellEnd"/>
      <w:r w:rsidRPr="00C56B3D">
        <w:rPr>
          <w:rFonts w:asciiTheme="majorBidi" w:hAnsiTheme="majorBidi" w:cstheme="majorBidi"/>
          <w:color w:val="000000"/>
        </w:rPr>
        <w:t xml:space="preserve">. </w:t>
      </w:r>
    </w:p>
    <w:p w14:paraId="1A5E632D"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20</w:t>
      </w:r>
      <w:r w:rsidRPr="00C56B3D">
        <w:rPr>
          <w:rFonts w:asciiTheme="majorBidi" w:hAnsiTheme="majorBidi" w:cstheme="majorBidi"/>
          <w:color w:val="000000"/>
        </w:rPr>
        <w:tab/>
        <w:t xml:space="preserve">11 or 12 or 13 or 14 or 15 or 16 or 17 or 18 or 19 </w:t>
      </w:r>
    </w:p>
    <w:p w14:paraId="320F7124"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21</w:t>
      </w:r>
      <w:r w:rsidRPr="00C56B3D">
        <w:rPr>
          <w:rFonts w:asciiTheme="majorBidi" w:hAnsiTheme="majorBidi" w:cstheme="majorBidi"/>
          <w:color w:val="000000"/>
        </w:rPr>
        <w:tab/>
        <w:t xml:space="preserve">exp Diagnostic Errors/ or Delayed diagnosis/ </w:t>
      </w:r>
    </w:p>
    <w:p w14:paraId="157449F9"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22</w:t>
      </w:r>
      <w:r w:rsidRPr="00C56B3D">
        <w:rPr>
          <w:rFonts w:asciiTheme="majorBidi" w:hAnsiTheme="majorBidi" w:cstheme="majorBidi"/>
          <w:color w:val="000000"/>
        </w:rPr>
        <w:tab/>
        <w:t xml:space="preserve">20 and 21 </w:t>
      </w:r>
    </w:p>
    <w:p w14:paraId="29468B68"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23</w:t>
      </w:r>
      <w:r w:rsidRPr="00C56B3D">
        <w:rPr>
          <w:rFonts w:asciiTheme="majorBidi" w:hAnsiTheme="majorBidi" w:cstheme="majorBidi"/>
          <w:color w:val="000000"/>
        </w:rPr>
        <w:tab/>
        <w:t xml:space="preserve">limit 22 to ("review" or "systematic review") </w:t>
      </w:r>
    </w:p>
    <w:p w14:paraId="125EE63B" w14:textId="77777777" w:rsidR="00935B07" w:rsidRPr="00C56B3D" w:rsidRDefault="00935B07" w:rsidP="00935B07">
      <w:pPr>
        <w:tabs>
          <w:tab w:val="left" w:pos="360"/>
        </w:tabs>
        <w:spacing w:line="480" w:lineRule="auto"/>
        <w:ind w:left="360" w:hanging="360"/>
        <w:rPr>
          <w:rFonts w:asciiTheme="majorBidi" w:hAnsiTheme="majorBidi" w:cstheme="majorBidi"/>
          <w:color w:val="000000"/>
        </w:rPr>
      </w:pPr>
      <w:r w:rsidRPr="00C56B3D">
        <w:rPr>
          <w:rFonts w:asciiTheme="majorBidi" w:hAnsiTheme="majorBidi" w:cstheme="majorBidi"/>
          <w:color w:val="000000"/>
        </w:rPr>
        <w:t>24</w:t>
      </w:r>
      <w:r w:rsidRPr="00C56B3D">
        <w:rPr>
          <w:rFonts w:asciiTheme="majorBidi" w:hAnsiTheme="majorBidi" w:cstheme="majorBidi"/>
          <w:color w:val="000000"/>
        </w:rPr>
        <w:tab/>
        <w:t xml:space="preserve">(algorithm$ or system or intervention$ or </w:t>
      </w:r>
      <w:proofErr w:type="spellStart"/>
      <w:r w:rsidRPr="00C56B3D">
        <w:rPr>
          <w:rFonts w:asciiTheme="majorBidi" w:hAnsiTheme="majorBidi" w:cstheme="majorBidi"/>
          <w:color w:val="000000"/>
        </w:rPr>
        <w:t>strateg</w:t>
      </w:r>
      <w:proofErr w:type="spellEnd"/>
      <w:r w:rsidRPr="00C56B3D">
        <w:rPr>
          <w:rFonts w:asciiTheme="majorBidi" w:hAnsiTheme="majorBidi" w:cstheme="majorBidi"/>
          <w:color w:val="000000"/>
        </w:rPr>
        <w:t xml:space="preserve">$ or </w:t>
      </w:r>
      <w:proofErr w:type="spellStart"/>
      <w:r w:rsidRPr="00C56B3D">
        <w:rPr>
          <w:rFonts w:asciiTheme="majorBidi" w:hAnsiTheme="majorBidi" w:cstheme="majorBidi"/>
          <w:color w:val="000000"/>
        </w:rPr>
        <w:t>innovat</w:t>
      </w:r>
      <w:proofErr w:type="spellEnd"/>
      <w:r w:rsidRPr="00C56B3D">
        <w:rPr>
          <w:rFonts w:asciiTheme="majorBidi" w:hAnsiTheme="majorBidi" w:cstheme="majorBidi"/>
          <w:color w:val="000000"/>
        </w:rPr>
        <w:t>$ or program$ or tool$ or toolkit$ or resource$ or model$ or bundle$ or "change package$" or framework$).</w:t>
      </w:r>
      <w:proofErr w:type="spellStart"/>
      <w:r w:rsidRPr="00C56B3D">
        <w:rPr>
          <w:rFonts w:asciiTheme="majorBidi" w:hAnsiTheme="majorBidi" w:cstheme="majorBidi"/>
          <w:color w:val="000000"/>
        </w:rPr>
        <w:t>mp</w:t>
      </w:r>
      <w:proofErr w:type="spellEnd"/>
      <w:r w:rsidRPr="00C56B3D">
        <w:rPr>
          <w:rFonts w:asciiTheme="majorBidi" w:hAnsiTheme="majorBidi" w:cstheme="majorBidi"/>
          <w:color w:val="000000"/>
        </w:rPr>
        <w:t xml:space="preserve">. </w:t>
      </w:r>
    </w:p>
    <w:p w14:paraId="5DB329EB" w14:textId="77777777" w:rsidR="00935B07" w:rsidRPr="00C56B3D" w:rsidRDefault="00935B07" w:rsidP="00935B07">
      <w:pPr>
        <w:tabs>
          <w:tab w:val="left" w:pos="360"/>
        </w:tabs>
        <w:spacing w:line="480" w:lineRule="auto"/>
        <w:ind w:left="360" w:hanging="360"/>
        <w:rPr>
          <w:rFonts w:asciiTheme="majorBidi" w:hAnsiTheme="majorBidi" w:cstheme="majorBidi"/>
          <w:color w:val="000000"/>
        </w:rPr>
      </w:pPr>
      <w:r w:rsidRPr="00C56B3D">
        <w:rPr>
          <w:rFonts w:asciiTheme="majorBidi" w:hAnsiTheme="majorBidi" w:cstheme="majorBidi"/>
          <w:color w:val="000000"/>
        </w:rPr>
        <w:t>25</w:t>
      </w:r>
      <w:r w:rsidRPr="00C56B3D">
        <w:rPr>
          <w:rFonts w:asciiTheme="majorBidi" w:hAnsiTheme="majorBidi" w:cstheme="majorBidi"/>
          <w:color w:val="000000"/>
        </w:rPr>
        <w:tab/>
        <w:t>("patient clinician" or " patient provider" or "patient physician").</w:t>
      </w:r>
      <w:proofErr w:type="spellStart"/>
      <w:r w:rsidRPr="00C56B3D">
        <w:rPr>
          <w:rFonts w:asciiTheme="majorBidi" w:hAnsiTheme="majorBidi" w:cstheme="majorBidi"/>
          <w:color w:val="000000"/>
        </w:rPr>
        <w:t>m_titl</w:t>
      </w:r>
      <w:proofErr w:type="spellEnd"/>
      <w:r w:rsidRPr="00C56B3D">
        <w:rPr>
          <w:rFonts w:asciiTheme="majorBidi" w:hAnsiTheme="majorBidi" w:cstheme="majorBidi"/>
          <w:color w:val="000000"/>
        </w:rPr>
        <w:t xml:space="preserve">. </w:t>
      </w:r>
    </w:p>
    <w:p w14:paraId="3D5BF6F6" w14:textId="77777777" w:rsidR="00935B07" w:rsidRPr="00C56B3D" w:rsidRDefault="00935B07" w:rsidP="00935B07">
      <w:pPr>
        <w:tabs>
          <w:tab w:val="left" w:pos="360"/>
        </w:tabs>
        <w:spacing w:line="480" w:lineRule="auto"/>
        <w:ind w:left="360" w:hanging="360"/>
        <w:rPr>
          <w:rFonts w:asciiTheme="majorBidi" w:hAnsiTheme="majorBidi" w:cstheme="majorBidi"/>
          <w:color w:val="000000"/>
        </w:rPr>
      </w:pPr>
      <w:r w:rsidRPr="00C56B3D">
        <w:rPr>
          <w:rFonts w:asciiTheme="majorBidi" w:hAnsiTheme="majorBidi" w:cstheme="majorBidi"/>
          <w:color w:val="000000"/>
        </w:rPr>
        <w:t>26</w:t>
      </w:r>
      <w:r w:rsidRPr="00C56B3D">
        <w:rPr>
          <w:rFonts w:asciiTheme="majorBidi" w:hAnsiTheme="majorBidi" w:cstheme="majorBidi"/>
          <w:color w:val="000000"/>
        </w:rPr>
        <w:tab/>
        <w:t xml:space="preserve">("Cognitive bias$" or "Observer bias$" or "Implicit bias$" or "Hindsight bias$" or </w:t>
      </w:r>
      <w:proofErr w:type="gramStart"/>
      <w:r w:rsidRPr="00C56B3D">
        <w:rPr>
          <w:rFonts w:asciiTheme="majorBidi" w:hAnsiTheme="majorBidi" w:cstheme="majorBidi"/>
          <w:color w:val="000000"/>
        </w:rPr>
        <w:t>Anchoring</w:t>
      </w:r>
      <w:proofErr w:type="gramEnd"/>
      <w:r w:rsidRPr="00C56B3D">
        <w:rPr>
          <w:rFonts w:asciiTheme="majorBidi" w:hAnsiTheme="majorBidi" w:cstheme="majorBidi"/>
          <w:color w:val="000000"/>
        </w:rPr>
        <w:t xml:space="preserve"> or "Cognitive error$" or "Systems error$" or "clinical reasoning" or "decision making").</w:t>
      </w:r>
      <w:proofErr w:type="spellStart"/>
      <w:r w:rsidRPr="00C56B3D">
        <w:rPr>
          <w:rFonts w:asciiTheme="majorBidi" w:hAnsiTheme="majorBidi" w:cstheme="majorBidi"/>
          <w:color w:val="000000"/>
        </w:rPr>
        <w:t>mp</w:t>
      </w:r>
      <w:proofErr w:type="spellEnd"/>
      <w:r w:rsidRPr="00C56B3D">
        <w:rPr>
          <w:rFonts w:asciiTheme="majorBidi" w:hAnsiTheme="majorBidi" w:cstheme="majorBidi"/>
          <w:color w:val="000000"/>
        </w:rPr>
        <w:t>.</w:t>
      </w:r>
    </w:p>
    <w:p w14:paraId="0C1E0600" w14:textId="77777777" w:rsidR="00935B07" w:rsidRPr="00C56B3D" w:rsidRDefault="00935B07" w:rsidP="00935B07">
      <w:pPr>
        <w:tabs>
          <w:tab w:val="left" w:pos="360"/>
        </w:tabs>
        <w:spacing w:line="480" w:lineRule="auto"/>
        <w:ind w:left="360" w:hanging="360"/>
        <w:rPr>
          <w:rFonts w:asciiTheme="majorBidi" w:hAnsiTheme="majorBidi" w:cstheme="majorBidi"/>
          <w:color w:val="000000"/>
        </w:rPr>
      </w:pPr>
      <w:r w:rsidRPr="00C56B3D">
        <w:rPr>
          <w:rFonts w:asciiTheme="majorBidi" w:hAnsiTheme="majorBidi" w:cstheme="majorBidi"/>
          <w:color w:val="000000"/>
        </w:rPr>
        <w:t>27</w:t>
      </w:r>
      <w:r w:rsidRPr="00C56B3D">
        <w:rPr>
          <w:rFonts w:asciiTheme="majorBidi" w:hAnsiTheme="majorBidi" w:cstheme="majorBidi"/>
          <w:color w:val="000000"/>
        </w:rPr>
        <w:tab/>
        <w:t xml:space="preserve">((Delay$ adj3 Follow$) or (Delay$ adj3 </w:t>
      </w:r>
      <w:proofErr w:type="spellStart"/>
      <w:r w:rsidRPr="00C56B3D">
        <w:rPr>
          <w:rFonts w:asciiTheme="majorBidi" w:hAnsiTheme="majorBidi" w:cstheme="majorBidi"/>
          <w:color w:val="000000"/>
        </w:rPr>
        <w:t>Diagnos</w:t>
      </w:r>
      <w:proofErr w:type="spellEnd"/>
      <w:r w:rsidRPr="00C56B3D">
        <w:rPr>
          <w:rFonts w:asciiTheme="majorBidi" w:hAnsiTheme="majorBidi" w:cstheme="majorBidi"/>
          <w:color w:val="000000"/>
        </w:rPr>
        <w:t>$) or (Improv$ adj3 "Diagnostic Accuracy") or (</w:t>
      </w:r>
      <w:proofErr w:type="spellStart"/>
      <w:r w:rsidRPr="00C56B3D">
        <w:rPr>
          <w:rFonts w:asciiTheme="majorBidi" w:hAnsiTheme="majorBidi" w:cstheme="majorBidi"/>
          <w:color w:val="000000"/>
        </w:rPr>
        <w:t>Decreas</w:t>
      </w:r>
      <w:proofErr w:type="spellEnd"/>
      <w:r w:rsidRPr="00C56B3D">
        <w:rPr>
          <w:rFonts w:asciiTheme="majorBidi" w:hAnsiTheme="majorBidi" w:cstheme="majorBidi"/>
          <w:color w:val="000000"/>
        </w:rPr>
        <w:t>$ adj3 "Diagnostic Error$") or (Prevent$ adj3 "Diagnostic Error$") or (</w:t>
      </w:r>
      <w:proofErr w:type="spellStart"/>
      <w:r w:rsidRPr="00C56B3D">
        <w:rPr>
          <w:rFonts w:asciiTheme="majorBidi" w:hAnsiTheme="majorBidi" w:cstheme="majorBidi"/>
          <w:color w:val="000000"/>
        </w:rPr>
        <w:t>Reduc</w:t>
      </w:r>
      <w:proofErr w:type="spellEnd"/>
      <w:r w:rsidRPr="00C56B3D">
        <w:rPr>
          <w:rFonts w:asciiTheme="majorBidi" w:hAnsiTheme="majorBidi" w:cstheme="majorBidi"/>
          <w:color w:val="000000"/>
        </w:rPr>
        <w:t>$ adj3 "Diagnostic Error$")).</w:t>
      </w:r>
      <w:proofErr w:type="spellStart"/>
      <w:r w:rsidRPr="00C56B3D">
        <w:rPr>
          <w:rFonts w:asciiTheme="majorBidi" w:hAnsiTheme="majorBidi" w:cstheme="majorBidi"/>
          <w:color w:val="000000"/>
        </w:rPr>
        <w:t>m_titl</w:t>
      </w:r>
      <w:proofErr w:type="spellEnd"/>
      <w:r w:rsidRPr="00C56B3D">
        <w:rPr>
          <w:rFonts w:asciiTheme="majorBidi" w:hAnsiTheme="majorBidi" w:cstheme="majorBidi"/>
          <w:color w:val="000000"/>
        </w:rPr>
        <w:t xml:space="preserve">. </w:t>
      </w:r>
    </w:p>
    <w:p w14:paraId="76D8DE2D"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28</w:t>
      </w:r>
      <w:r w:rsidRPr="00C56B3D">
        <w:rPr>
          <w:rFonts w:asciiTheme="majorBidi" w:hAnsiTheme="majorBidi" w:cstheme="majorBidi"/>
          <w:color w:val="000000"/>
        </w:rPr>
        <w:tab/>
        <w:t>24 or 25 or 26 or 27</w:t>
      </w:r>
    </w:p>
    <w:p w14:paraId="78D05CAE"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29</w:t>
      </w:r>
      <w:r w:rsidRPr="00C56B3D">
        <w:rPr>
          <w:rFonts w:asciiTheme="majorBidi" w:hAnsiTheme="majorBidi" w:cstheme="majorBidi"/>
          <w:color w:val="000000"/>
        </w:rPr>
        <w:tab/>
        <w:t>22 and 28</w:t>
      </w:r>
    </w:p>
    <w:p w14:paraId="6C80749F"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30</w:t>
      </w:r>
      <w:r w:rsidRPr="00C56B3D">
        <w:rPr>
          <w:rFonts w:asciiTheme="majorBidi" w:hAnsiTheme="majorBidi" w:cstheme="majorBidi"/>
          <w:color w:val="000000"/>
        </w:rPr>
        <w:tab/>
        <w:t xml:space="preserve">exp Quality Assurance, Health Care/ </w:t>
      </w:r>
    </w:p>
    <w:p w14:paraId="1706E9E1"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31</w:t>
      </w:r>
      <w:r w:rsidRPr="00C56B3D">
        <w:rPr>
          <w:rFonts w:asciiTheme="majorBidi" w:hAnsiTheme="majorBidi" w:cstheme="majorBidi"/>
          <w:color w:val="000000"/>
        </w:rPr>
        <w:tab/>
        <w:t xml:space="preserve">exp "Outcome Assessment (Health Care)"/ </w:t>
      </w:r>
    </w:p>
    <w:p w14:paraId="7F4728C9"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32</w:t>
      </w:r>
      <w:r w:rsidRPr="00C56B3D">
        <w:rPr>
          <w:rFonts w:asciiTheme="majorBidi" w:hAnsiTheme="majorBidi" w:cstheme="majorBidi"/>
          <w:color w:val="000000"/>
        </w:rPr>
        <w:tab/>
        <w:t xml:space="preserve">exp Cognition/ </w:t>
      </w:r>
    </w:p>
    <w:p w14:paraId="67F4B53B"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33</w:t>
      </w:r>
      <w:r w:rsidRPr="00C56B3D">
        <w:rPr>
          <w:rFonts w:asciiTheme="majorBidi" w:hAnsiTheme="majorBidi" w:cstheme="majorBidi"/>
          <w:color w:val="000000"/>
        </w:rPr>
        <w:tab/>
        <w:t xml:space="preserve">exp Quality of Health Care/ </w:t>
      </w:r>
    </w:p>
    <w:p w14:paraId="31D98F59"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34</w:t>
      </w:r>
      <w:r w:rsidRPr="00C56B3D">
        <w:rPr>
          <w:rFonts w:asciiTheme="majorBidi" w:hAnsiTheme="majorBidi" w:cstheme="majorBidi"/>
          <w:color w:val="000000"/>
        </w:rPr>
        <w:tab/>
        <w:t xml:space="preserve">exp Health Services Research/ </w:t>
      </w:r>
    </w:p>
    <w:p w14:paraId="025D06ED"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35</w:t>
      </w:r>
      <w:r w:rsidRPr="00C56B3D">
        <w:rPr>
          <w:rFonts w:asciiTheme="majorBidi" w:hAnsiTheme="majorBidi" w:cstheme="majorBidi"/>
          <w:color w:val="000000"/>
        </w:rPr>
        <w:tab/>
        <w:t xml:space="preserve">exp Decision making/ </w:t>
      </w:r>
    </w:p>
    <w:p w14:paraId="45DF7169"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lastRenderedPageBreak/>
        <w:t>36</w:t>
      </w:r>
      <w:r w:rsidRPr="00C56B3D">
        <w:rPr>
          <w:rFonts w:asciiTheme="majorBidi" w:hAnsiTheme="majorBidi" w:cstheme="majorBidi"/>
          <w:color w:val="000000"/>
        </w:rPr>
        <w:tab/>
        <w:t xml:space="preserve">exp Medical Informatics/ </w:t>
      </w:r>
    </w:p>
    <w:p w14:paraId="280EB5A5"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37</w:t>
      </w:r>
      <w:r w:rsidRPr="00C56B3D">
        <w:rPr>
          <w:rFonts w:asciiTheme="majorBidi" w:hAnsiTheme="majorBidi" w:cstheme="majorBidi"/>
          <w:color w:val="000000"/>
        </w:rPr>
        <w:tab/>
        <w:t xml:space="preserve">30 or 31 or 32 or 33 or 34 or 35 or 36 </w:t>
      </w:r>
    </w:p>
    <w:p w14:paraId="575B4605"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38</w:t>
      </w:r>
      <w:r w:rsidRPr="00C56B3D">
        <w:rPr>
          <w:rFonts w:asciiTheme="majorBidi" w:hAnsiTheme="majorBidi" w:cstheme="majorBidi"/>
          <w:color w:val="000000"/>
        </w:rPr>
        <w:tab/>
        <w:t xml:space="preserve">20 and 37 </w:t>
      </w:r>
    </w:p>
    <w:p w14:paraId="639A07CE"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39</w:t>
      </w:r>
      <w:r w:rsidRPr="00C56B3D">
        <w:rPr>
          <w:rFonts w:asciiTheme="majorBidi" w:hAnsiTheme="majorBidi" w:cstheme="majorBidi"/>
          <w:color w:val="000000"/>
        </w:rPr>
        <w:tab/>
        <w:t xml:space="preserve">23 or 29 or 38 </w:t>
      </w:r>
    </w:p>
    <w:p w14:paraId="272A4972"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40</w:t>
      </w:r>
      <w:r w:rsidRPr="00C56B3D">
        <w:rPr>
          <w:rFonts w:asciiTheme="majorBidi" w:hAnsiTheme="majorBidi" w:cstheme="majorBidi"/>
          <w:color w:val="000000"/>
        </w:rPr>
        <w:tab/>
        <w:t>10 and 39</w:t>
      </w:r>
    </w:p>
    <w:p w14:paraId="1C506B90"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41</w:t>
      </w:r>
      <w:r w:rsidRPr="00C56B3D">
        <w:rPr>
          <w:rFonts w:asciiTheme="majorBidi" w:hAnsiTheme="majorBidi" w:cstheme="majorBidi"/>
          <w:color w:val="000000"/>
        </w:rPr>
        <w:tab/>
        <w:t xml:space="preserve">limit 39 to </w:t>
      </w:r>
      <w:proofErr w:type="spellStart"/>
      <w:r w:rsidRPr="00C56B3D">
        <w:rPr>
          <w:rFonts w:asciiTheme="majorBidi" w:hAnsiTheme="majorBidi" w:cstheme="majorBidi"/>
          <w:color w:val="000000"/>
        </w:rPr>
        <w:t>yr</w:t>
      </w:r>
      <w:proofErr w:type="spellEnd"/>
      <w:r w:rsidRPr="00C56B3D">
        <w:rPr>
          <w:rFonts w:asciiTheme="majorBidi" w:hAnsiTheme="majorBidi" w:cstheme="majorBidi"/>
          <w:color w:val="000000"/>
        </w:rPr>
        <w:t>="2013 -Current"</w:t>
      </w:r>
    </w:p>
    <w:p w14:paraId="543B4249"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42</w:t>
      </w:r>
      <w:r w:rsidRPr="00C56B3D">
        <w:rPr>
          <w:rFonts w:asciiTheme="majorBidi" w:hAnsiTheme="majorBidi" w:cstheme="majorBidi"/>
          <w:color w:val="000000"/>
        </w:rPr>
        <w:tab/>
        <w:t>limit 41 to English language</w:t>
      </w:r>
    </w:p>
    <w:p w14:paraId="006AD599"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43</w:t>
      </w:r>
      <w:r w:rsidRPr="00C56B3D">
        <w:rPr>
          <w:rFonts w:asciiTheme="majorBidi" w:hAnsiTheme="majorBidi" w:cstheme="majorBidi"/>
          <w:color w:val="000000"/>
        </w:rPr>
        <w:tab/>
        <w:t xml:space="preserve">41 not 42 </w:t>
      </w:r>
    </w:p>
    <w:p w14:paraId="1D90F15A" w14:textId="77777777" w:rsidR="00935B07" w:rsidRPr="00C56B3D" w:rsidRDefault="00935B07" w:rsidP="00935B07">
      <w:pPr>
        <w:tabs>
          <w:tab w:val="left" w:pos="360"/>
        </w:tabs>
        <w:spacing w:line="480" w:lineRule="auto"/>
        <w:rPr>
          <w:rFonts w:asciiTheme="majorBidi" w:hAnsiTheme="majorBidi" w:cstheme="majorBidi"/>
          <w:color w:val="000000"/>
        </w:rPr>
      </w:pPr>
      <w:r w:rsidRPr="00C56B3D">
        <w:rPr>
          <w:rFonts w:asciiTheme="majorBidi" w:hAnsiTheme="majorBidi" w:cstheme="majorBidi"/>
          <w:color w:val="000000"/>
        </w:rPr>
        <w:t>44</w:t>
      </w:r>
      <w:r w:rsidRPr="00C56B3D">
        <w:rPr>
          <w:rFonts w:asciiTheme="majorBidi" w:hAnsiTheme="majorBidi" w:cstheme="majorBidi"/>
          <w:color w:val="000000"/>
        </w:rPr>
        <w:tab/>
        <w:t xml:space="preserve">limit 43 to abstracts </w:t>
      </w:r>
    </w:p>
    <w:p w14:paraId="5C87C7F6" w14:textId="77777777" w:rsidR="00935B07" w:rsidRPr="00C56B3D" w:rsidRDefault="00935B07" w:rsidP="00935B07">
      <w:pPr>
        <w:tabs>
          <w:tab w:val="left" w:pos="360"/>
          <w:tab w:val="left" w:pos="1260"/>
        </w:tabs>
        <w:spacing w:line="480" w:lineRule="auto"/>
        <w:rPr>
          <w:rFonts w:asciiTheme="majorBidi" w:hAnsiTheme="majorBidi" w:cstheme="majorBidi"/>
          <w:color w:val="000000"/>
        </w:rPr>
      </w:pPr>
      <w:r w:rsidRPr="00C56B3D">
        <w:rPr>
          <w:rFonts w:asciiTheme="majorBidi" w:hAnsiTheme="majorBidi" w:cstheme="majorBidi"/>
          <w:color w:val="000000"/>
        </w:rPr>
        <w:t>45</w:t>
      </w:r>
      <w:r w:rsidRPr="00C56B3D">
        <w:rPr>
          <w:rFonts w:asciiTheme="majorBidi" w:hAnsiTheme="majorBidi" w:cstheme="majorBidi"/>
          <w:color w:val="000000"/>
        </w:rPr>
        <w:tab/>
        <w:t xml:space="preserve">42 or 44 </w:t>
      </w:r>
    </w:p>
    <w:p w14:paraId="600F0B88" w14:textId="77777777" w:rsidR="00935B07" w:rsidRPr="00C56B3D" w:rsidRDefault="00935B07" w:rsidP="00935B07">
      <w:pPr>
        <w:tabs>
          <w:tab w:val="left" w:pos="360"/>
        </w:tabs>
        <w:spacing w:line="480" w:lineRule="auto"/>
        <w:rPr>
          <w:rFonts w:asciiTheme="majorBidi" w:hAnsiTheme="majorBidi" w:cstheme="majorBidi"/>
          <w:color w:val="000000"/>
        </w:rPr>
        <w:sectPr w:rsidR="00935B07" w:rsidRPr="00C56B3D" w:rsidSect="00935B07">
          <w:pgSz w:w="12240" w:h="15840"/>
          <w:pgMar w:top="1440" w:right="1440" w:bottom="1440" w:left="1440" w:header="720" w:footer="720" w:gutter="0"/>
          <w:pgNumType w:start="1"/>
          <w:cols w:space="720"/>
          <w:docGrid w:linePitch="360"/>
        </w:sectPr>
      </w:pPr>
    </w:p>
    <w:p w14:paraId="3C3A5CCA" w14:textId="77777777" w:rsidR="00935B07" w:rsidRPr="00C56B3D" w:rsidRDefault="00935B07" w:rsidP="00935B07">
      <w:pPr>
        <w:spacing w:line="480" w:lineRule="auto"/>
        <w:rPr>
          <w:rFonts w:asciiTheme="majorBidi" w:hAnsiTheme="majorBidi" w:cstheme="majorBidi"/>
        </w:rPr>
      </w:pPr>
      <w:r w:rsidRPr="00C56B3D">
        <w:rPr>
          <w:rFonts w:asciiTheme="majorBidi" w:hAnsiTheme="majorBidi" w:cstheme="majorBidi"/>
        </w:rPr>
        <w:lastRenderedPageBreak/>
        <w:t>Appendix C: Articles in Final Analysis by Study Theme and Definition Used</w:t>
      </w:r>
    </w:p>
    <w:tbl>
      <w:tblPr>
        <w:tblW w:w="1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512"/>
        <w:gridCol w:w="889"/>
        <w:gridCol w:w="1573"/>
        <w:gridCol w:w="1072"/>
        <w:gridCol w:w="742"/>
        <w:gridCol w:w="913"/>
        <w:gridCol w:w="780"/>
        <w:gridCol w:w="766"/>
        <w:gridCol w:w="1144"/>
        <w:gridCol w:w="840"/>
      </w:tblGrid>
      <w:tr w:rsidR="00935B07" w:rsidRPr="00C56B3D" w14:paraId="78510A3C" w14:textId="77777777" w:rsidTr="00935B07">
        <w:trPr>
          <w:trHeight w:val="350"/>
          <w:jc w:val="center"/>
        </w:trPr>
        <w:tc>
          <w:tcPr>
            <w:tcW w:w="3009" w:type="dxa"/>
            <w:vMerge w:val="restart"/>
            <w:shd w:val="clear" w:color="auto" w:fill="auto"/>
          </w:tcPr>
          <w:p w14:paraId="260678F1" w14:textId="77777777" w:rsidR="00935B07" w:rsidRPr="00C56B3D" w:rsidRDefault="00935B07" w:rsidP="0010108A">
            <w:pPr>
              <w:jc w:val="center"/>
              <w:rPr>
                <w:rFonts w:asciiTheme="majorBidi" w:hAnsiTheme="majorBidi" w:cstheme="majorBidi"/>
                <w:b/>
                <w:bCs/>
                <w:color w:val="000000"/>
                <w:sz w:val="22"/>
                <w:szCs w:val="22"/>
              </w:rPr>
            </w:pPr>
            <w:r w:rsidRPr="00C56B3D">
              <w:rPr>
                <w:rFonts w:asciiTheme="majorBidi" w:hAnsiTheme="majorBidi" w:cstheme="majorBidi"/>
                <w:b/>
                <w:bCs/>
                <w:color w:val="000000"/>
                <w:sz w:val="22"/>
                <w:szCs w:val="22"/>
              </w:rPr>
              <w:t>Articles</w:t>
            </w:r>
          </w:p>
        </w:tc>
        <w:tc>
          <w:tcPr>
            <w:tcW w:w="5046" w:type="dxa"/>
            <w:gridSpan w:val="4"/>
            <w:shd w:val="clear" w:color="auto" w:fill="auto"/>
          </w:tcPr>
          <w:p w14:paraId="615A7AEF" w14:textId="77777777" w:rsidR="00935B07" w:rsidRPr="00C56B3D" w:rsidRDefault="00935B07" w:rsidP="0010108A">
            <w:pPr>
              <w:jc w:val="center"/>
              <w:rPr>
                <w:rFonts w:asciiTheme="majorBidi" w:hAnsiTheme="majorBidi" w:cstheme="majorBidi"/>
                <w:b/>
                <w:bCs/>
                <w:color w:val="000000"/>
                <w:sz w:val="22"/>
                <w:szCs w:val="22"/>
              </w:rPr>
            </w:pPr>
            <w:r w:rsidRPr="00C56B3D">
              <w:rPr>
                <w:rFonts w:asciiTheme="majorBidi" w:hAnsiTheme="majorBidi" w:cstheme="majorBidi"/>
                <w:b/>
                <w:bCs/>
                <w:color w:val="000000"/>
                <w:sz w:val="22"/>
                <w:szCs w:val="22"/>
              </w:rPr>
              <w:t>Study Themes</w:t>
            </w:r>
          </w:p>
        </w:tc>
        <w:tc>
          <w:tcPr>
            <w:tcW w:w="5185" w:type="dxa"/>
            <w:gridSpan w:val="6"/>
            <w:shd w:val="clear" w:color="auto" w:fill="F2F2F2" w:themeFill="background1" w:themeFillShade="F2"/>
          </w:tcPr>
          <w:p w14:paraId="672B044E" w14:textId="77777777" w:rsidR="00935B07" w:rsidRPr="00C56B3D" w:rsidRDefault="00935B07" w:rsidP="0010108A">
            <w:pPr>
              <w:jc w:val="center"/>
              <w:rPr>
                <w:rFonts w:asciiTheme="majorBidi" w:hAnsiTheme="majorBidi" w:cstheme="majorBidi"/>
                <w:b/>
                <w:bCs/>
                <w:color w:val="000000"/>
                <w:sz w:val="22"/>
                <w:szCs w:val="22"/>
              </w:rPr>
            </w:pPr>
            <w:r w:rsidRPr="00C56B3D">
              <w:rPr>
                <w:rFonts w:asciiTheme="majorBidi" w:hAnsiTheme="majorBidi" w:cstheme="majorBidi"/>
                <w:b/>
                <w:bCs/>
                <w:color w:val="000000"/>
                <w:sz w:val="22"/>
                <w:szCs w:val="22"/>
              </w:rPr>
              <w:t>Diagnostic Error Definitions</w:t>
            </w:r>
          </w:p>
        </w:tc>
      </w:tr>
      <w:tr w:rsidR="00935B07" w:rsidRPr="00C56B3D" w14:paraId="748C272C" w14:textId="77777777" w:rsidTr="00935B07">
        <w:trPr>
          <w:trHeight w:val="350"/>
          <w:jc w:val="center"/>
        </w:trPr>
        <w:tc>
          <w:tcPr>
            <w:tcW w:w="3009" w:type="dxa"/>
            <w:vMerge/>
            <w:shd w:val="clear" w:color="auto" w:fill="auto"/>
            <w:vAlign w:val="center"/>
          </w:tcPr>
          <w:p w14:paraId="5802A132" w14:textId="77777777" w:rsidR="00935B07" w:rsidRPr="00C56B3D" w:rsidRDefault="00935B07" w:rsidP="0010108A">
            <w:pPr>
              <w:jc w:val="center"/>
              <w:rPr>
                <w:rFonts w:asciiTheme="majorBidi" w:hAnsiTheme="majorBidi" w:cstheme="majorBidi"/>
                <w:b/>
                <w:bCs/>
                <w:color w:val="000000"/>
                <w:sz w:val="22"/>
                <w:szCs w:val="22"/>
              </w:rPr>
            </w:pPr>
          </w:p>
        </w:tc>
        <w:tc>
          <w:tcPr>
            <w:tcW w:w="1512" w:type="dxa"/>
            <w:shd w:val="clear" w:color="auto" w:fill="auto"/>
          </w:tcPr>
          <w:p w14:paraId="77EEEFAD" w14:textId="77777777" w:rsidR="00935B07" w:rsidRPr="00C56B3D" w:rsidRDefault="00935B07" w:rsidP="0010108A">
            <w:pPr>
              <w:rPr>
                <w:rFonts w:asciiTheme="majorBidi" w:hAnsiTheme="majorBidi" w:cstheme="majorBidi"/>
                <w:b/>
                <w:bCs/>
                <w:color w:val="000000"/>
                <w:sz w:val="22"/>
                <w:szCs w:val="22"/>
              </w:rPr>
            </w:pPr>
            <w:r w:rsidRPr="00C56B3D">
              <w:rPr>
                <w:rFonts w:asciiTheme="majorBidi" w:hAnsiTheme="majorBidi" w:cstheme="majorBidi"/>
                <w:b/>
                <w:bCs/>
                <w:color w:val="000000"/>
                <w:sz w:val="22"/>
                <w:szCs w:val="22"/>
              </w:rPr>
              <w:t>Epidemiology of Diagnostic error</w:t>
            </w:r>
          </w:p>
        </w:tc>
        <w:tc>
          <w:tcPr>
            <w:tcW w:w="889" w:type="dxa"/>
            <w:shd w:val="clear" w:color="auto" w:fill="auto"/>
          </w:tcPr>
          <w:p w14:paraId="246DAAFF" w14:textId="77777777" w:rsidR="00935B07" w:rsidRPr="00C56B3D" w:rsidRDefault="00935B07" w:rsidP="0010108A">
            <w:pPr>
              <w:rPr>
                <w:rFonts w:asciiTheme="majorBidi" w:hAnsiTheme="majorBidi" w:cstheme="majorBidi"/>
                <w:b/>
                <w:bCs/>
                <w:color w:val="000000"/>
                <w:sz w:val="22"/>
                <w:szCs w:val="22"/>
              </w:rPr>
            </w:pPr>
            <w:r w:rsidRPr="00C56B3D">
              <w:rPr>
                <w:rFonts w:asciiTheme="majorBidi" w:hAnsiTheme="majorBidi" w:cstheme="majorBidi"/>
                <w:b/>
                <w:bCs/>
                <w:color w:val="000000"/>
                <w:sz w:val="22"/>
                <w:szCs w:val="22"/>
              </w:rPr>
              <w:t>Patient focus</w:t>
            </w:r>
          </w:p>
        </w:tc>
        <w:tc>
          <w:tcPr>
            <w:tcW w:w="1573" w:type="dxa"/>
            <w:shd w:val="clear" w:color="auto" w:fill="auto"/>
          </w:tcPr>
          <w:p w14:paraId="1E45C8E3" w14:textId="77777777" w:rsidR="00935B07" w:rsidRPr="00C56B3D" w:rsidRDefault="00935B07" w:rsidP="0010108A">
            <w:pPr>
              <w:rPr>
                <w:rFonts w:asciiTheme="majorBidi" w:hAnsiTheme="majorBidi" w:cstheme="majorBidi"/>
                <w:b/>
                <w:bCs/>
                <w:color w:val="000000"/>
                <w:sz w:val="22"/>
                <w:szCs w:val="22"/>
              </w:rPr>
            </w:pPr>
            <w:r w:rsidRPr="00C56B3D">
              <w:rPr>
                <w:rFonts w:asciiTheme="majorBidi" w:hAnsiTheme="majorBidi" w:cstheme="majorBidi"/>
                <w:b/>
                <w:bCs/>
                <w:color w:val="000000"/>
                <w:sz w:val="22"/>
                <w:szCs w:val="22"/>
              </w:rPr>
              <w:t>Measurement/ surveillance</w:t>
            </w:r>
          </w:p>
        </w:tc>
        <w:tc>
          <w:tcPr>
            <w:tcW w:w="1072" w:type="dxa"/>
            <w:shd w:val="clear" w:color="auto" w:fill="auto"/>
          </w:tcPr>
          <w:p w14:paraId="7638748B" w14:textId="77777777" w:rsidR="00935B07" w:rsidRPr="00C56B3D" w:rsidRDefault="00935B07" w:rsidP="0010108A">
            <w:pPr>
              <w:rPr>
                <w:rFonts w:asciiTheme="majorBidi" w:hAnsiTheme="majorBidi" w:cstheme="majorBidi"/>
                <w:b/>
                <w:bCs/>
                <w:color w:val="000000"/>
                <w:sz w:val="22"/>
                <w:szCs w:val="22"/>
              </w:rPr>
            </w:pPr>
            <w:r w:rsidRPr="00C56B3D">
              <w:rPr>
                <w:rFonts w:asciiTheme="majorBidi" w:hAnsiTheme="majorBidi" w:cstheme="majorBidi"/>
                <w:b/>
                <w:bCs/>
                <w:color w:val="000000"/>
                <w:sz w:val="22"/>
                <w:szCs w:val="22"/>
              </w:rPr>
              <w:t>Clinician focus</w:t>
            </w:r>
          </w:p>
        </w:tc>
        <w:tc>
          <w:tcPr>
            <w:tcW w:w="742" w:type="dxa"/>
            <w:shd w:val="clear" w:color="auto" w:fill="F2F2F2" w:themeFill="background1" w:themeFillShade="F2"/>
          </w:tcPr>
          <w:p w14:paraId="6EDBEEA8" w14:textId="77777777" w:rsidR="00935B07" w:rsidRPr="00C56B3D" w:rsidRDefault="00935B07" w:rsidP="0010108A">
            <w:pPr>
              <w:rPr>
                <w:rFonts w:asciiTheme="majorBidi" w:hAnsiTheme="majorBidi" w:cstheme="majorBidi"/>
                <w:b/>
                <w:bCs/>
                <w:color w:val="000000"/>
                <w:sz w:val="22"/>
                <w:szCs w:val="22"/>
              </w:rPr>
            </w:pPr>
            <w:r w:rsidRPr="00C56B3D">
              <w:rPr>
                <w:rFonts w:asciiTheme="majorBidi" w:hAnsiTheme="majorBidi" w:cstheme="majorBidi"/>
                <w:b/>
                <w:bCs/>
                <w:color w:val="000000"/>
                <w:sz w:val="22"/>
                <w:szCs w:val="22"/>
              </w:rPr>
              <w:t>NAM</w:t>
            </w:r>
          </w:p>
        </w:tc>
        <w:tc>
          <w:tcPr>
            <w:tcW w:w="913" w:type="dxa"/>
            <w:shd w:val="clear" w:color="auto" w:fill="F2F2F2" w:themeFill="background1" w:themeFillShade="F2"/>
          </w:tcPr>
          <w:p w14:paraId="065F8E1C" w14:textId="77777777" w:rsidR="00935B07" w:rsidRPr="00C56B3D" w:rsidRDefault="00935B07" w:rsidP="0010108A">
            <w:pPr>
              <w:rPr>
                <w:rFonts w:asciiTheme="majorBidi" w:hAnsiTheme="majorBidi" w:cstheme="majorBidi"/>
                <w:b/>
                <w:bCs/>
                <w:color w:val="000000"/>
                <w:sz w:val="22"/>
                <w:szCs w:val="22"/>
              </w:rPr>
            </w:pPr>
            <w:r w:rsidRPr="00C56B3D">
              <w:rPr>
                <w:rFonts w:asciiTheme="majorBidi" w:hAnsiTheme="majorBidi" w:cstheme="majorBidi"/>
                <w:b/>
                <w:bCs/>
                <w:color w:val="000000"/>
                <w:sz w:val="22"/>
                <w:szCs w:val="22"/>
              </w:rPr>
              <w:t>Graber</w:t>
            </w:r>
          </w:p>
        </w:tc>
        <w:tc>
          <w:tcPr>
            <w:tcW w:w="780" w:type="dxa"/>
            <w:shd w:val="clear" w:color="auto" w:fill="F2F2F2" w:themeFill="background1" w:themeFillShade="F2"/>
          </w:tcPr>
          <w:p w14:paraId="1ADB6B04" w14:textId="77777777" w:rsidR="00935B07" w:rsidRPr="00C56B3D" w:rsidRDefault="00935B07" w:rsidP="0010108A">
            <w:pPr>
              <w:rPr>
                <w:rFonts w:asciiTheme="majorBidi" w:hAnsiTheme="majorBidi" w:cstheme="majorBidi"/>
                <w:b/>
                <w:bCs/>
                <w:color w:val="000000"/>
                <w:sz w:val="22"/>
                <w:szCs w:val="22"/>
              </w:rPr>
            </w:pPr>
            <w:r w:rsidRPr="00C56B3D">
              <w:rPr>
                <w:rFonts w:asciiTheme="majorBidi" w:hAnsiTheme="majorBidi" w:cstheme="majorBidi"/>
                <w:b/>
                <w:bCs/>
                <w:color w:val="000000"/>
                <w:sz w:val="22"/>
                <w:szCs w:val="22"/>
              </w:rPr>
              <w:t>Singh</w:t>
            </w:r>
          </w:p>
        </w:tc>
        <w:tc>
          <w:tcPr>
            <w:tcW w:w="766" w:type="dxa"/>
            <w:shd w:val="clear" w:color="auto" w:fill="F2F2F2" w:themeFill="background1" w:themeFillShade="F2"/>
          </w:tcPr>
          <w:p w14:paraId="6EA53DAF" w14:textId="77777777" w:rsidR="00935B07" w:rsidRPr="00C56B3D" w:rsidRDefault="00935B07" w:rsidP="0010108A">
            <w:pPr>
              <w:rPr>
                <w:rFonts w:asciiTheme="majorBidi" w:hAnsiTheme="majorBidi" w:cstheme="majorBidi"/>
                <w:b/>
                <w:bCs/>
                <w:color w:val="000000"/>
                <w:sz w:val="22"/>
                <w:szCs w:val="22"/>
              </w:rPr>
            </w:pPr>
            <w:r w:rsidRPr="00C56B3D">
              <w:rPr>
                <w:rFonts w:asciiTheme="majorBidi" w:hAnsiTheme="majorBidi" w:cstheme="majorBidi"/>
                <w:b/>
                <w:bCs/>
                <w:color w:val="000000"/>
                <w:sz w:val="22"/>
                <w:szCs w:val="22"/>
              </w:rPr>
              <w:t>Schiff</w:t>
            </w:r>
          </w:p>
        </w:tc>
        <w:tc>
          <w:tcPr>
            <w:tcW w:w="1144" w:type="dxa"/>
            <w:shd w:val="clear" w:color="auto" w:fill="F2F2F2" w:themeFill="background1" w:themeFillShade="F2"/>
          </w:tcPr>
          <w:p w14:paraId="543C5C7B" w14:textId="77777777" w:rsidR="00935B07" w:rsidRPr="00C56B3D" w:rsidRDefault="00935B07" w:rsidP="0010108A">
            <w:pPr>
              <w:rPr>
                <w:rFonts w:asciiTheme="majorBidi" w:hAnsiTheme="majorBidi" w:cstheme="majorBidi"/>
                <w:b/>
                <w:bCs/>
                <w:color w:val="000000"/>
                <w:sz w:val="22"/>
                <w:szCs w:val="22"/>
              </w:rPr>
            </w:pPr>
            <w:r w:rsidRPr="00C56B3D">
              <w:rPr>
                <w:rFonts w:asciiTheme="majorBidi" w:hAnsiTheme="majorBidi" w:cstheme="majorBidi"/>
                <w:b/>
                <w:bCs/>
                <w:color w:val="000000"/>
                <w:sz w:val="22"/>
                <w:szCs w:val="22"/>
              </w:rPr>
              <w:t xml:space="preserve">Newman- </w:t>
            </w:r>
            <w:proofErr w:type="spellStart"/>
            <w:r w:rsidRPr="00C56B3D">
              <w:rPr>
                <w:rFonts w:asciiTheme="majorBidi" w:hAnsiTheme="majorBidi" w:cstheme="majorBidi"/>
                <w:b/>
                <w:bCs/>
                <w:color w:val="000000"/>
                <w:sz w:val="22"/>
                <w:szCs w:val="22"/>
              </w:rPr>
              <w:t>Toker</w:t>
            </w:r>
            <w:proofErr w:type="spellEnd"/>
          </w:p>
        </w:tc>
        <w:tc>
          <w:tcPr>
            <w:tcW w:w="840" w:type="dxa"/>
            <w:shd w:val="clear" w:color="auto" w:fill="F2F2F2" w:themeFill="background1" w:themeFillShade="F2"/>
          </w:tcPr>
          <w:p w14:paraId="2AB4C8E8" w14:textId="77777777" w:rsidR="00935B07" w:rsidRPr="00C56B3D" w:rsidRDefault="00935B07" w:rsidP="0010108A">
            <w:pPr>
              <w:rPr>
                <w:rFonts w:asciiTheme="majorBidi" w:hAnsiTheme="majorBidi" w:cstheme="majorBidi"/>
                <w:b/>
                <w:bCs/>
                <w:color w:val="000000"/>
                <w:sz w:val="22"/>
                <w:szCs w:val="22"/>
              </w:rPr>
            </w:pPr>
            <w:r w:rsidRPr="00C56B3D">
              <w:rPr>
                <w:rFonts w:asciiTheme="majorBidi" w:hAnsiTheme="majorBidi" w:cstheme="majorBidi"/>
                <w:b/>
                <w:bCs/>
                <w:color w:val="000000"/>
                <w:sz w:val="22"/>
                <w:szCs w:val="22"/>
              </w:rPr>
              <w:t>Other/ none</w:t>
            </w:r>
          </w:p>
        </w:tc>
      </w:tr>
      <w:tr w:rsidR="00935B07" w:rsidRPr="00C56B3D" w14:paraId="3F15F6DB" w14:textId="77777777" w:rsidTr="00935B07">
        <w:trPr>
          <w:trHeight w:val="432"/>
          <w:jc w:val="center"/>
        </w:trPr>
        <w:tc>
          <w:tcPr>
            <w:tcW w:w="3009" w:type="dxa"/>
            <w:shd w:val="clear" w:color="auto" w:fill="auto"/>
            <w:vAlign w:val="center"/>
            <w:hideMark/>
          </w:tcPr>
          <w:p w14:paraId="3FC7BA58" w14:textId="77777777" w:rsidR="00935B07" w:rsidRPr="00C56B3D" w:rsidRDefault="00935B07" w:rsidP="00935B07">
            <w:pPr>
              <w:rPr>
                <w:rFonts w:asciiTheme="majorBidi" w:hAnsiTheme="majorBidi" w:cstheme="majorBidi"/>
                <w:color w:val="000000"/>
                <w:sz w:val="22"/>
                <w:szCs w:val="22"/>
              </w:rPr>
            </w:pPr>
            <w:r w:rsidRPr="00C56B3D">
              <w:rPr>
                <w:rFonts w:asciiTheme="majorBidi" w:hAnsiTheme="majorBidi" w:cstheme="majorBidi"/>
                <w:sz w:val="22"/>
                <w:szCs w:val="22"/>
              </w:rPr>
              <w:t>Newman-</w:t>
            </w:r>
            <w:proofErr w:type="spellStart"/>
            <w:r w:rsidRPr="00C56B3D">
              <w:rPr>
                <w:rFonts w:asciiTheme="majorBidi" w:hAnsiTheme="majorBidi" w:cstheme="majorBidi"/>
                <w:sz w:val="22"/>
                <w:szCs w:val="22"/>
              </w:rPr>
              <w:t>Toker</w:t>
            </w:r>
            <w:proofErr w:type="spellEnd"/>
            <w:r w:rsidRPr="00C56B3D">
              <w:rPr>
                <w:rFonts w:asciiTheme="majorBidi" w:hAnsiTheme="majorBidi" w:cstheme="majorBidi"/>
                <w:sz w:val="22"/>
                <w:szCs w:val="22"/>
              </w:rPr>
              <w:t xml:space="preserve"> et al</w:t>
            </w:r>
            <w:r w:rsidRPr="00C56B3D">
              <w:rPr>
                <w:rFonts w:asciiTheme="majorBidi" w:hAnsiTheme="majorBidi" w:cstheme="majorBidi"/>
                <w:sz w:val="22"/>
                <w:szCs w:val="22"/>
              </w:rPr>
              <w:fldChar w:fldCharType="begin"/>
            </w:r>
            <w:r>
              <w:rPr>
                <w:rFonts w:asciiTheme="majorBidi" w:hAnsiTheme="majorBidi" w:cstheme="majorBidi"/>
                <w:sz w:val="22"/>
                <w:szCs w:val="22"/>
              </w:rPr>
              <w:instrText xml:space="preserve"> ADDIN ZOTERO_ITEM CSL_CITATION {"citationID":"a2c9to41jqq","properties":{"formattedCitation":"\\super 21\\nosupersub{}","plainCitation":"21","noteIndex":0},"citationItems":[{"id":5546,"uris":["http://zotero.org/users/6494345/items/AHTMSWHC"],"uri":["http://zotero.org/users/6494345/items/AHTMSWHC"],"itemData":{"id":5546,"type":"article-journal","abstract":"Background Diagnostic errors cause substantial preventable harm, but national estimates vary widely from 40,000 to 4 million annually. This cross-sectional analysis of a large medical malpractice claims database was the first phase of a three-phase project to estimate the US burden of serious misdiagnosis-related harms. Methods We sought to identify diseases accounting for the majority of serious misdiagnosis-related harms (morbidity/mortality). Diagnostic error cases were identified from Controlled Risk Insurance Company (CRICO)’s Comparative Benchmarking System (CBS) database (2006–2015), representing 28.7% of all US malpractice claims. Diseases were grouped according to the Agency for Healthcare Research and Quality (AHRQ) Clinical Classifications Software (CCS) that aggregates the International Classification of Diseases diagnostic codes into clinically sensible groupings. We analyzed vascular events, infections, and cancers (the “Big Three”), including frequency, severity, and settings. High-severity (serious) harms were defined by scores of 6–9 (serious, permanent disability, or death) on the National Association of Insurance Commissioners (NAIC) Severity of Injury Scale. Results From 55,377 closed claims, we analyzed 11,592 diagnostic error cases [median age 49, interquartile range (IQR) 36–60; 51.7% female]. These included 7379 with high-severity harms (53.0% death). The Big Three diseases accounted for 74.1% of high-severity cases (vascular events 22.8%, infections 13.5%, and cancers 37.8%). In aggregate, the top five from each category (n = 15 diseases) accounted for 47.1% of high-severity cases. The most frequent disease in each category, respectively, was stroke, sepsis, and lung cancer. Causes were disproportionately clinical judgment factors (85.7%) across categories (range 82.0–88.8%). Conclusions The Big Three diseases account for about three-fourths of serious misdiagnosis-related harms. Initial efforts to improve diagnosis should focus on vascular events, infections, and cancers.","container-title":"Diagnosis","DOI":"10.1515/dx-2019-0019","ISSN":"2194-802X","issue":"3","language":"en","note":"publisher: De Gruyter\nsection: Diagnosis","page":"227-240","source":"www.degruyter.com","title":"Serious misdiagnosis-related harms in malpractice claims: The “Big Three” – vascular events, infections, and cancers","title-short":"Serious misdiagnosis-related harms in malpractice claims","URL":"https://www.degruyter.com/document/doi/10.1515/dx-2019-0019/html","volume":"6","author":[{"family":"Newman-Toker","given":"David E."},{"family":"Schaffer","given":"Adam C."},{"family":"Yu-Moe","given":"C. Winnie"},{"family":"Nassery","given":"Najlla"},{"family":"Tehrani","given":"Ali S. Saber"},{"family":"Clemens","given":"Gwendolyn D."},{"family":"Wang","given":"Zheyu"},{"family":"Zhu","given":"Yuxin"},{"family":"Fanai","given":"Mehdi"},{"family":"Siegal","given":"Dana"}],"accessed":{"date-parts":[["2021",3,6]]},"issued":{"date-parts":[["2019",9,1]]}}}],"schema":"https://github.com/citation-style-language/schema/raw/master/csl-citation.json"} </w:instrText>
            </w:r>
            <w:r w:rsidRPr="00C56B3D">
              <w:rPr>
                <w:rFonts w:asciiTheme="majorBidi" w:hAnsiTheme="majorBidi" w:cstheme="majorBidi"/>
                <w:sz w:val="22"/>
                <w:szCs w:val="22"/>
              </w:rPr>
              <w:fldChar w:fldCharType="separate"/>
            </w:r>
            <w:r w:rsidRPr="00745D63">
              <w:rPr>
                <w:rFonts w:hAnsiTheme="majorHAnsi"/>
                <w:sz w:val="22"/>
                <w:vertAlign w:val="superscript"/>
              </w:rPr>
              <w:t>21</w:t>
            </w:r>
            <w:r w:rsidRPr="00C56B3D">
              <w:rPr>
                <w:rFonts w:asciiTheme="majorBidi" w:hAnsiTheme="majorBidi" w:cstheme="majorBidi"/>
                <w:sz w:val="22"/>
                <w:szCs w:val="22"/>
              </w:rPr>
              <w:fldChar w:fldCharType="end"/>
            </w:r>
            <w:r w:rsidRPr="00C56B3D">
              <w:rPr>
                <w:rFonts w:asciiTheme="majorBidi" w:hAnsiTheme="majorBidi" w:cstheme="majorBidi"/>
                <w:sz w:val="22"/>
                <w:szCs w:val="22"/>
              </w:rPr>
              <w:t xml:space="preserve"> </w:t>
            </w:r>
            <w:r>
              <w:rPr>
                <w:rFonts w:asciiTheme="majorBidi" w:hAnsiTheme="majorBidi" w:cstheme="majorBidi"/>
                <w:sz w:val="22"/>
                <w:szCs w:val="22"/>
              </w:rPr>
              <w:t>2019</w:t>
            </w:r>
          </w:p>
        </w:tc>
        <w:tc>
          <w:tcPr>
            <w:tcW w:w="1512" w:type="dxa"/>
            <w:vAlign w:val="center"/>
          </w:tcPr>
          <w:p w14:paraId="6C44A971" w14:textId="77777777" w:rsidR="00935B07" w:rsidRPr="00C56B3D" w:rsidRDefault="00935B07" w:rsidP="00935B07">
            <w:pPr>
              <w:jc w:val="center"/>
              <w:rPr>
                <w:rFonts w:asciiTheme="majorBidi" w:hAnsiTheme="majorBidi" w:cstheme="majorBidi"/>
                <w:sz w:val="22"/>
                <w:szCs w:val="22"/>
              </w:rPr>
            </w:pPr>
            <w:r w:rsidRPr="00C56B3D">
              <w:rPr>
                <w:rFonts w:asciiTheme="majorBidi" w:hAnsiTheme="majorBidi" w:cstheme="majorBidi"/>
                <w:sz w:val="22"/>
                <w:szCs w:val="22"/>
              </w:rPr>
              <w:t>X</w:t>
            </w:r>
          </w:p>
        </w:tc>
        <w:tc>
          <w:tcPr>
            <w:tcW w:w="889" w:type="dxa"/>
            <w:vAlign w:val="center"/>
          </w:tcPr>
          <w:p w14:paraId="21254E56" w14:textId="77777777" w:rsidR="00935B07" w:rsidRPr="00C56B3D" w:rsidRDefault="00935B07" w:rsidP="00935B07">
            <w:pPr>
              <w:jc w:val="center"/>
              <w:rPr>
                <w:rFonts w:asciiTheme="majorBidi" w:hAnsiTheme="majorBidi" w:cstheme="majorBidi"/>
                <w:sz w:val="22"/>
                <w:szCs w:val="22"/>
              </w:rPr>
            </w:pPr>
          </w:p>
        </w:tc>
        <w:tc>
          <w:tcPr>
            <w:tcW w:w="1573" w:type="dxa"/>
            <w:vAlign w:val="center"/>
          </w:tcPr>
          <w:p w14:paraId="2F3AFD81" w14:textId="77777777" w:rsidR="00935B07" w:rsidRPr="00C56B3D" w:rsidRDefault="00935B07" w:rsidP="00935B07">
            <w:pPr>
              <w:jc w:val="center"/>
              <w:rPr>
                <w:rFonts w:asciiTheme="majorBidi" w:hAnsiTheme="majorBidi" w:cstheme="majorBidi"/>
                <w:sz w:val="22"/>
                <w:szCs w:val="22"/>
              </w:rPr>
            </w:pPr>
          </w:p>
        </w:tc>
        <w:tc>
          <w:tcPr>
            <w:tcW w:w="1072" w:type="dxa"/>
            <w:vAlign w:val="center"/>
          </w:tcPr>
          <w:p w14:paraId="051C038D" w14:textId="77777777" w:rsidR="00935B07" w:rsidRPr="00C56B3D" w:rsidRDefault="00935B07" w:rsidP="00935B07">
            <w:pPr>
              <w:jc w:val="center"/>
              <w:rPr>
                <w:rFonts w:asciiTheme="majorBidi" w:hAnsiTheme="majorBidi" w:cstheme="majorBidi"/>
                <w:sz w:val="22"/>
                <w:szCs w:val="22"/>
              </w:rPr>
            </w:pPr>
          </w:p>
        </w:tc>
        <w:tc>
          <w:tcPr>
            <w:tcW w:w="742" w:type="dxa"/>
            <w:shd w:val="clear" w:color="auto" w:fill="F2F2F2" w:themeFill="background1" w:themeFillShade="F2"/>
            <w:vAlign w:val="center"/>
          </w:tcPr>
          <w:p w14:paraId="1EC0E8DA" w14:textId="77777777" w:rsidR="00935B07" w:rsidRPr="00C56B3D" w:rsidRDefault="00935B07" w:rsidP="00935B07">
            <w:pPr>
              <w:jc w:val="center"/>
              <w:rPr>
                <w:rFonts w:asciiTheme="majorBidi" w:hAnsiTheme="majorBidi" w:cstheme="majorBidi"/>
                <w:sz w:val="22"/>
                <w:szCs w:val="22"/>
              </w:rPr>
            </w:pPr>
            <w:r w:rsidRPr="00C56B3D">
              <w:rPr>
                <w:rFonts w:asciiTheme="majorBidi" w:hAnsiTheme="majorBidi" w:cstheme="majorBidi"/>
                <w:sz w:val="22"/>
                <w:szCs w:val="22"/>
              </w:rPr>
              <w:t>X</w:t>
            </w:r>
          </w:p>
        </w:tc>
        <w:tc>
          <w:tcPr>
            <w:tcW w:w="913" w:type="dxa"/>
            <w:shd w:val="clear" w:color="auto" w:fill="F2F2F2" w:themeFill="background1" w:themeFillShade="F2"/>
            <w:vAlign w:val="center"/>
          </w:tcPr>
          <w:p w14:paraId="69B1C89D" w14:textId="77777777" w:rsidR="00935B07" w:rsidRPr="00C56B3D" w:rsidRDefault="00935B07" w:rsidP="00935B07">
            <w:pPr>
              <w:jc w:val="center"/>
              <w:rPr>
                <w:rFonts w:asciiTheme="majorBidi" w:hAnsiTheme="majorBidi" w:cstheme="majorBidi"/>
                <w:sz w:val="22"/>
                <w:szCs w:val="22"/>
              </w:rPr>
            </w:pPr>
          </w:p>
        </w:tc>
        <w:tc>
          <w:tcPr>
            <w:tcW w:w="780" w:type="dxa"/>
            <w:shd w:val="clear" w:color="auto" w:fill="F2F2F2" w:themeFill="background1" w:themeFillShade="F2"/>
            <w:vAlign w:val="center"/>
          </w:tcPr>
          <w:p w14:paraId="646A0B92" w14:textId="77777777" w:rsidR="00935B07" w:rsidRPr="00C56B3D" w:rsidRDefault="00935B07" w:rsidP="00935B07">
            <w:pPr>
              <w:jc w:val="center"/>
              <w:rPr>
                <w:rFonts w:asciiTheme="majorBidi" w:hAnsiTheme="majorBidi" w:cstheme="majorBidi"/>
                <w:sz w:val="22"/>
                <w:szCs w:val="22"/>
              </w:rPr>
            </w:pPr>
          </w:p>
        </w:tc>
        <w:tc>
          <w:tcPr>
            <w:tcW w:w="766" w:type="dxa"/>
            <w:shd w:val="clear" w:color="auto" w:fill="F2F2F2" w:themeFill="background1" w:themeFillShade="F2"/>
            <w:vAlign w:val="center"/>
          </w:tcPr>
          <w:p w14:paraId="534AC664" w14:textId="77777777" w:rsidR="00935B07" w:rsidRPr="00C56B3D" w:rsidRDefault="00935B07" w:rsidP="00935B07">
            <w:pPr>
              <w:jc w:val="center"/>
              <w:rPr>
                <w:rFonts w:asciiTheme="majorBidi" w:hAnsiTheme="majorBidi" w:cstheme="majorBidi"/>
                <w:sz w:val="22"/>
                <w:szCs w:val="22"/>
              </w:rPr>
            </w:pPr>
          </w:p>
        </w:tc>
        <w:tc>
          <w:tcPr>
            <w:tcW w:w="1144" w:type="dxa"/>
            <w:shd w:val="clear" w:color="auto" w:fill="F2F2F2" w:themeFill="background1" w:themeFillShade="F2"/>
            <w:vAlign w:val="center"/>
          </w:tcPr>
          <w:p w14:paraId="76A9C8CF" w14:textId="77777777" w:rsidR="00935B07" w:rsidRPr="00C56B3D" w:rsidRDefault="00935B07" w:rsidP="00935B07">
            <w:pPr>
              <w:jc w:val="center"/>
              <w:rPr>
                <w:rFonts w:asciiTheme="majorBidi" w:hAnsiTheme="majorBidi" w:cstheme="majorBidi"/>
                <w:sz w:val="22"/>
                <w:szCs w:val="22"/>
              </w:rPr>
            </w:pPr>
            <w:r w:rsidRPr="00C56B3D">
              <w:rPr>
                <w:rFonts w:asciiTheme="majorBidi" w:hAnsiTheme="majorBidi" w:cstheme="majorBidi"/>
                <w:sz w:val="22"/>
                <w:szCs w:val="22"/>
              </w:rPr>
              <w:t>X</w:t>
            </w:r>
          </w:p>
        </w:tc>
        <w:tc>
          <w:tcPr>
            <w:tcW w:w="840" w:type="dxa"/>
            <w:shd w:val="clear" w:color="auto" w:fill="F2F2F2" w:themeFill="background1" w:themeFillShade="F2"/>
            <w:vAlign w:val="center"/>
          </w:tcPr>
          <w:p w14:paraId="6A89AF46" w14:textId="77777777" w:rsidR="00935B07" w:rsidRPr="00C56B3D" w:rsidRDefault="00935B07" w:rsidP="00935B07">
            <w:pPr>
              <w:jc w:val="center"/>
              <w:rPr>
                <w:rFonts w:asciiTheme="majorBidi" w:hAnsiTheme="majorBidi" w:cstheme="majorBidi"/>
                <w:sz w:val="22"/>
                <w:szCs w:val="22"/>
              </w:rPr>
            </w:pPr>
          </w:p>
        </w:tc>
      </w:tr>
      <w:tr w:rsidR="00935B07" w:rsidRPr="00C56B3D" w14:paraId="6B875D44" w14:textId="77777777" w:rsidTr="00935B07">
        <w:trPr>
          <w:trHeight w:val="432"/>
          <w:jc w:val="center"/>
        </w:trPr>
        <w:tc>
          <w:tcPr>
            <w:tcW w:w="3009" w:type="dxa"/>
            <w:shd w:val="clear" w:color="auto" w:fill="auto"/>
            <w:vAlign w:val="center"/>
            <w:hideMark/>
          </w:tcPr>
          <w:p w14:paraId="48AC1503" w14:textId="77777777" w:rsidR="00935B07" w:rsidRPr="00C56B3D" w:rsidRDefault="00935B07" w:rsidP="00935B07">
            <w:pPr>
              <w:rPr>
                <w:rFonts w:asciiTheme="majorBidi" w:hAnsiTheme="majorBidi" w:cstheme="majorBidi"/>
                <w:color w:val="000000"/>
                <w:sz w:val="22"/>
                <w:szCs w:val="22"/>
              </w:rPr>
            </w:pPr>
            <w:proofErr w:type="spellStart"/>
            <w:r w:rsidRPr="00C56B3D">
              <w:rPr>
                <w:rFonts w:asciiTheme="majorBidi" w:hAnsiTheme="majorBidi" w:cstheme="majorBidi"/>
                <w:sz w:val="22"/>
                <w:szCs w:val="22"/>
              </w:rPr>
              <w:t>Watari</w:t>
            </w:r>
            <w:proofErr w:type="spellEnd"/>
            <w:r w:rsidRPr="00C56B3D">
              <w:rPr>
                <w:rFonts w:asciiTheme="majorBidi" w:hAnsiTheme="majorBidi" w:cstheme="majorBidi"/>
                <w:sz w:val="22"/>
                <w:szCs w:val="22"/>
              </w:rPr>
              <w:t xml:space="preserve"> et al</w:t>
            </w:r>
            <w:r w:rsidRPr="00C56B3D">
              <w:rPr>
                <w:rFonts w:asciiTheme="majorBidi" w:hAnsiTheme="majorBidi" w:cstheme="majorBidi"/>
                <w:sz w:val="22"/>
                <w:szCs w:val="22"/>
              </w:rPr>
              <w:fldChar w:fldCharType="begin"/>
            </w:r>
            <w:r>
              <w:rPr>
                <w:rFonts w:asciiTheme="majorBidi" w:hAnsiTheme="majorBidi" w:cstheme="majorBidi"/>
                <w:sz w:val="22"/>
                <w:szCs w:val="22"/>
              </w:rPr>
              <w:instrText xml:space="preserve"> ADDIN ZOTERO_ITEM CSL_CITATION {"citationID":"a26tr4po7on","properties":{"formattedCitation":"\\super 22\\nosupersub{}","plainCitation":"22","noteIndex":0},"citationItems":[{"id":5559,"uris":["http://zotero.org/users/6494345/items/P66N9YH6"],"uri":["http://zotero.org/users/6494345/items/P66N9YH6"],"itemData":{"id":5559,"type":"article-journal","abstract":"Background Diagnostic errors are prevalent and associated with increased economic burden; however, little is known about their characteristics at the national level in Japan. This study aimed to investigate clinical outcomes and indemnity payment in cases of diagnostic errors using Japan’s largest database of national claims. Methods We analyzed characteristics of diagnostic error cases closed between 1961 and 2017, accessed through the national Japanese malpractice claims database. We compared diagnostic error-related claims (DERC) with non-diagnostic error-related claims (non-DERC) in terms of indemnity, clinical outcomes, and factors underlying physicians’ diagnostic errors. Results All 1,802 malpractice claims were included in the analysis. The median patient age was 33 years (interquartile range = 10–54), and 54.2% were men. Deaths were the most common outcome of claims (939/1747; 53.8%). In total, 709 (39.3%, 95% CI: 37.0%–41.6%) DERC cases were observed. The adjusted total billing amount, acceptance rate, adjusted median claims payments, and proportion of deaths were significantly higher in DERC than non-DERC cases. Departments of internal medicine and surgery were 1.42 and 1.55 times more likely, respectively, to have DERC cases than others. Claims involving the emergency room (adjusted odds ratio [OR] = 5.88) and outpatient office (adjusted OR = 2.87) were more likely to be DERC than other cases. The initial diagnoses most likely to lead to diagnostic error were upper respiratory tract infection, non-bleeding digestive tract disease, and “no abnormality.” Conclusions Cases of diagnostic errors produced severe patient outcomes and were associated with high indemnity. These cases were frequently noted in general exam and emergency rooms as well as internal medicine and surgery departments and were initially considered to be common, mild diseases.","container-title":"PLOS ONE","DOI":"10.1371/journal.pone.0237145","ISSN":"1932-6203","issue":"8","journalAbbreviation":"PLOS ONE","language":"en","note":"publisher: Public Library of Science","page":"e0237145","source":"PLoS Journals","title":"Factors and impact of physicians’ diagnostic errors in malpractice claims in Japan","URL":"https://journals.plos.org/plosone/article?id=10.1371/journal.pone.0237145","volume":"15","author":[{"family":"Watari","given":"Takashi"},{"family":"Tokuda","given":"Yasuharu"},{"family":"Mitsuhashi","given":"Shohei"},{"family":"Otuki","given":"Kazuya"},{"family":"Kono","given":"Kaori"},{"family":"Nagai","given":"Nobuhiro"},{"family":"Onigata","given":"Kazumichi"},{"family":"Kanda","given":"Hideyuki"}],"accessed":{"date-parts":[["2021",3,6]]},"issued":{"date-parts":[["2020",8,3]]}}}],"schema":"https://github.com/citation-style-language/schema/raw/master/csl-citation.json"} </w:instrText>
            </w:r>
            <w:r w:rsidRPr="00C56B3D">
              <w:rPr>
                <w:rFonts w:asciiTheme="majorBidi" w:hAnsiTheme="majorBidi" w:cstheme="majorBidi"/>
                <w:sz w:val="22"/>
                <w:szCs w:val="22"/>
              </w:rPr>
              <w:fldChar w:fldCharType="separate"/>
            </w:r>
            <w:r w:rsidRPr="00745D63">
              <w:rPr>
                <w:rFonts w:hAnsiTheme="majorHAnsi"/>
                <w:sz w:val="22"/>
                <w:vertAlign w:val="superscript"/>
              </w:rPr>
              <w:t>22</w:t>
            </w:r>
            <w:r w:rsidRPr="00C56B3D">
              <w:rPr>
                <w:rFonts w:asciiTheme="majorBidi" w:hAnsiTheme="majorBidi" w:cstheme="majorBidi"/>
                <w:sz w:val="22"/>
                <w:szCs w:val="22"/>
              </w:rPr>
              <w:fldChar w:fldCharType="end"/>
            </w:r>
            <w:r w:rsidRPr="00C56B3D">
              <w:rPr>
                <w:rFonts w:asciiTheme="majorBidi" w:hAnsiTheme="majorBidi" w:cstheme="majorBidi"/>
                <w:sz w:val="22"/>
                <w:szCs w:val="22"/>
              </w:rPr>
              <w:t xml:space="preserve"> </w:t>
            </w:r>
            <w:r>
              <w:rPr>
                <w:rFonts w:asciiTheme="majorBidi" w:hAnsiTheme="majorBidi" w:cstheme="majorBidi"/>
                <w:sz w:val="22"/>
                <w:szCs w:val="22"/>
              </w:rPr>
              <w:t>2020</w:t>
            </w:r>
          </w:p>
        </w:tc>
        <w:tc>
          <w:tcPr>
            <w:tcW w:w="1512" w:type="dxa"/>
            <w:vAlign w:val="center"/>
          </w:tcPr>
          <w:p w14:paraId="0CAEEBAF" w14:textId="77777777" w:rsidR="00935B07" w:rsidRPr="00C56B3D" w:rsidRDefault="00935B07" w:rsidP="00935B07">
            <w:pPr>
              <w:jc w:val="center"/>
              <w:rPr>
                <w:rFonts w:asciiTheme="majorBidi" w:hAnsiTheme="majorBidi" w:cstheme="majorBidi"/>
                <w:sz w:val="22"/>
                <w:szCs w:val="22"/>
              </w:rPr>
            </w:pPr>
            <w:r w:rsidRPr="00C56B3D">
              <w:rPr>
                <w:rFonts w:asciiTheme="majorBidi" w:hAnsiTheme="majorBidi" w:cstheme="majorBidi"/>
                <w:sz w:val="22"/>
                <w:szCs w:val="22"/>
              </w:rPr>
              <w:t>X</w:t>
            </w:r>
          </w:p>
        </w:tc>
        <w:tc>
          <w:tcPr>
            <w:tcW w:w="889" w:type="dxa"/>
            <w:vAlign w:val="center"/>
          </w:tcPr>
          <w:p w14:paraId="2D945904" w14:textId="77777777" w:rsidR="00935B07" w:rsidRPr="00C56B3D" w:rsidRDefault="00935B07" w:rsidP="00935B07">
            <w:pPr>
              <w:jc w:val="center"/>
              <w:rPr>
                <w:rFonts w:asciiTheme="majorBidi" w:hAnsiTheme="majorBidi" w:cstheme="majorBidi"/>
                <w:sz w:val="22"/>
                <w:szCs w:val="22"/>
              </w:rPr>
            </w:pPr>
          </w:p>
        </w:tc>
        <w:tc>
          <w:tcPr>
            <w:tcW w:w="1573" w:type="dxa"/>
            <w:vAlign w:val="center"/>
          </w:tcPr>
          <w:p w14:paraId="2F27AA06" w14:textId="77777777" w:rsidR="00935B07" w:rsidRPr="00C56B3D" w:rsidRDefault="00935B07" w:rsidP="00935B07">
            <w:pPr>
              <w:jc w:val="center"/>
              <w:rPr>
                <w:rFonts w:asciiTheme="majorBidi" w:hAnsiTheme="majorBidi" w:cstheme="majorBidi"/>
                <w:sz w:val="22"/>
                <w:szCs w:val="22"/>
              </w:rPr>
            </w:pPr>
          </w:p>
        </w:tc>
        <w:tc>
          <w:tcPr>
            <w:tcW w:w="1072" w:type="dxa"/>
            <w:vAlign w:val="center"/>
          </w:tcPr>
          <w:p w14:paraId="1FB26B2B" w14:textId="77777777" w:rsidR="00935B07" w:rsidRPr="00C56B3D" w:rsidRDefault="00935B07" w:rsidP="00935B07">
            <w:pPr>
              <w:jc w:val="center"/>
              <w:rPr>
                <w:rFonts w:asciiTheme="majorBidi" w:hAnsiTheme="majorBidi" w:cstheme="majorBidi"/>
                <w:sz w:val="22"/>
                <w:szCs w:val="22"/>
              </w:rPr>
            </w:pPr>
          </w:p>
        </w:tc>
        <w:tc>
          <w:tcPr>
            <w:tcW w:w="742" w:type="dxa"/>
            <w:shd w:val="clear" w:color="auto" w:fill="F2F2F2" w:themeFill="background1" w:themeFillShade="F2"/>
            <w:vAlign w:val="center"/>
          </w:tcPr>
          <w:p w14:paraId="1AC612EF" w14:textId="77777777" w:rsidR="00935B07" w:rsidRPr="00C56B3D" w:rsidRDefault="00935B07" w:rsidP="00935B07">
            <w:pPr>
              <w:jc w:val="center"/>
              <w:rPr>
                <w:rFonts w:asciiTheme="majorBidi" w:hAnsiTheme="majorBidi" w:cstheme="majorBidi"/>
                <w:sz w:val="22"/>
                <w:szCs w:val="22"/>
              </w:rPr>
            </w:pPr>
          </w:p>
        </w:tc>
        <w:tc>
          <w:tcPr>
            <w:tcW w:w="913" w:type="dxa"/>
            <w:shd w:val="clear" w:color="auto" w:fill="F2F2F2" w:themeFill="background1" w:themeFillShade="F2"/>
            <w:vAlign w:val="center"/>
          </w:tcPr>
          <w:p w14:paraId="3BD12B26" w14:textId="77777777" w:rsidR="00935B07" w:rsidRPr="00C56B3D" w:rsidRDefault="00935B07" w:rsidP="00935B07">
            <w:pPr>
              <w:jc w:val="center"/>
              <w:rPr>
                <w:rFonts w:asciiTheme="majorBidi" w:hAnsiTheme="majorBidi" w:cstheme="majorBidi"/>
                <w:sz w:val="22"/>
                <w:szCs w:val="22"/>
              </w:rPr>
            </w:pPr>
            <w:r w:rsidRPr="00C56B3D">
              <w:rPr>
                <w:rFonts w:asciiTheme="majorBidi" w:hAnsiTheme="majorBidi" w:cstheme="majorBidi"/>
                <w:sz w:val="22"/>
                <w:szCs w:val="22"/>
              </w:rPr>
              <w:t>X</w:t>
            </w:r>
          </w:p>
        </w:tc>
        <w:tc>
          <w:tcPr>
            <w:tcW w:w="780" w:type="dxa"/>
            <w:shd w:val="clear" w:color="auto" w:fill="F2F2F2" w:themeFill="background1" w:themeFillShade="F2"/>
            <w:vAlign w:val="center"/>
          </w:tcPr>
          <w:p w14:paraId="62711FDA" w14:textId="77777777" w:rsidR="00935B07" w:rsidRPr="00C56B3D" w:rsidRDefault="00935B07" w:rsidP="00935B07">
            <w:pPr>
              <w:jc w:val="center"/>
              <w:rPr>
                <w:rFonts w:asciiTheme="majorBidi" w:hAnsiTheme="majorBidi" w:cstheme="majorBidi"/>
                <w:sz w:val="22"/>
                <w:szCs w:val="22"/>
              </w:rPr>
            </w:pPr>
          </w:p>
        </w:tc>
        <w:tc>
          <w:tcPr>
            <w:tcW w:w="766" w:type="dxa"/>
            <w:shd w:val="clear" w:color="auto" w:fill="F2F2F2" w:themeFill="background1" w:themeFillShade="F2"/>
            <w:vAlign w:val="center"/>
          </w:tcPr>
          <w:p w14:paraId="28DFE03D" w14:textId="77777777" w:rsidR="00935B07" w:rsidRPr="00C56B3D" w:rsidRDefault="00935B07" w:rsidP="00935B07">
            <w:pPr>
              <w:jc w:val="center"/>
              <w:rPr>
                <w:rFonts w:asciiTheme="majorBidi" w:hAnsiTheme="majorBidi" w:cstheme="majorBidi"/>
                <w:sz w:val="22"/>
                <w:szCs w:val="22"/>
              </w:rPr>
            </w:pPr>
          </w:p>
        </w:tc>
        <w:tc>
          <w:tcPr>
            <w:tcW w:w="1144" w:type="dxa"/>
            <w:shd w:val="clear" w:color="auto" w:fill="F2F2F2" w:themeFill="background1" w:themeFillShade="F2"/>
            <w:vAlign w:val="center"/>
          </w:tcPr>
          <w:p w14:paraId="2FAA492C" w14:textId="77777777" w:rsidR="00935B07" w:rsidRPr="00C56B3D" w:rsidRDefault="00935B07" w:rsidP="00935B07">
            <w:pPr>
              <w:jc w:val="center"/>
              <w:rPr>
                <w:rFonts w:asciiTheme="majorBidi" w:hAnsiTheme="majorBidi" w:cstheme="majorBidi"/>
                <w:sz w:val="22"/>
                <w:szCs w:val="22"/>
              </w:rPr>
            </w:pPr>
          </w:p>
        </w:tc>
        <w:tc>
          <w:tcPr>
            <w:tcW w:w="840" w:type="dxa"/>
            <w:shd w:val="clear" w:color="auto" w:fill="F2F2F2" w:themeFill="background1" w:themeFillShade="F2"/>
            <w:vAlign w:val="center"/>
          </w:tcPr>
          <w:p w14:paraId="32C5DBA0" w14:textId="77777777" w:rsidR="00935B07" w:rsidRPr="00C56B3D" w:rsidRDefault="00935B07" w:rsidP="00935B07">
            <w:pPr>
              <w:jc w:val="center"/>
              <w:rPr>
                <w:rFonts w:asciiTheme="majorBidi" w:hAnsiTheme="majorBidi" w:cstheme="majorBidi"/>
                <w:sz w:val="22"/>
                <w:szCs w:val="22"/>
              </w:rPr>
            </w:pPr>
          </w:p>
        </w:tc>
      </w:tr>
      <w:tr w:rsidR="00935B07" w:rsidRPr="00C56B3D" w14:paraId="3232CEA6" w14:textId="77777777" w:rsidTr="00935B07">
        <w:trPr>
          <w:trHeight w:val="432"/>
          <w:jc w:val="center"/>
        </w:trPr>
        <w:tc>
          <w:tcPr>
            <w:tcW w:w="3009" w:type="dxa"/>
            <w:shd w:val="clear" w:color="auto" w:fill="auto"/>
            <w:vAlign w:val="center"/>
            <w:hideMark/>
          </w:tcPr>
          <w:p w14:paraId="4311F93B" w14:textId="77777777" w:rsidR="00935B07" w:rsidRPr="00C56B3D" w:rsidRDefault="00935B07" w:rsidP="00935B07">
            <w:pPr>
              <w:rPr>
                <w:rFonts w:asciiTheme="majorBidi" w:hAnsiTheme="majorBidi" w:cstheme="majorBidi"/>
                <w:color w:val="000000"/>
                <w:sz w:val="22"/>
                <w:szCs w:val="22"/>
              </w:rPr>
            </w:pPr>
            <w:r w:rsidRPr="00C56B3D">
              <w:rPr>
                <w:rFonts w:asciiTheme="majorBidi" w:hAnsiTheme="majorBidi" w:cstheme="majorBidi"/>
                <w:sz w:val="22"/>
                <w:szCs w:val="22"/>
              </w:rPr>
              <w:t>Gupta et al</w:t>
            </w:r>
            <w:r w:rsidRPr="00C56B3D">
              <w:rPr>
                <w:rFonts w:asciiTheme="majorBidi" w:hAnsiTheme="majorBidi" w:cstheme="majorBidi"/>
                <w:sz w:val="22"/>
                <w:szCs w:val="22"/>
              </w:rPr>
              <w:fldChar w:fldCharType="begin"/>
            </w:r>
            <w:r>
              <w:rPr>
                <w:rFonts w:asciiTheme="majorBidi" w:hAnsiTheme="majorBidi" w:cstheme="majorBidi"/>
                <w:sz w:val="22"/>
                <w:szCs w:val="22"/>
              </w:rPr>
              <w:instrText xml:space="preserve"> ADDIN ZOTERO_ITEM CSL_CITATION {"citationID":"a2qblt7egv","properties":{"formattedCitation":"\\super 34\\nosupersub{}","plainCitation":"34","noteIndex":0},"citationItems":[{"id":5564,"uris":["http://zotero.org/users/6494345/items/LAPEIMFZ"],"uri":["http://zotero.org/users/6494345/items/LAPEIMFZ"],"itemData":{"id":5564,"type":"article-journal","abstract":"BACKGROUND: Little is known about the incidence or significance of diagnostic error in the inpatient setting. We used a malpractice claims database to examine incidence, predictors and consequences of diagnosis-related paid malpractice claims in hospitalised patients.\nMETHODS: The US National Practitioner Database was used to identify paid malpractice claims occurring between 1 January 1999 and 31 December 2011. Patient and provider characteristics associated with paid claims were analysed using descriptive statistics. Differences between diagnosis-related paid claims and other paid claim types (eg, surgical, anaesthesia, medication) were assessed using Wilcoxon rank-sum and χ2 tests. Multivariable logistic regression was used to identify patient and provider factors associated with diagnosis-related paid claims. Trends for incidence of diagnosis-related paid claims and median annual payment were assessed using the Cochran-Armitage and non-parametric trend test.\nRESULTS: 13 682 of 62 966 paid malpractice claims (22%) were diagnosis-related. Compared with other paid claim types, characteristics significantly associated with diagnosis-related paid claims were as follows: male patients, patient aged &gt;50 years, provider aged &lt;50 years and providers in the northeast region. Compared with other paid claim types, diagnosis-related paid claims were associated with 1.83 times more risk of disability (95% CI 1.75 to 1.91; p&lt;0.001) and 2.33 times more risk of death (95% CI 2.23 to 2.43; p&lt;0.001) than minor injury, after adjusting for patient and provider characteristics. Inpatient diagnostic error accounted for $5.7 billion in payments over the study period, and median diagnosis-related payments increased at a rate disproportionate to other types.\nCONCLUSION: Inpatient diagnosis-related malpractice payments are common and more often associated with disability and death than other claim types. Research focused on understanding and mitigating diagnostic errors in hospital settings is necessary.","container-title":"BMJ quality &amp; safety","DOI":"10.1136/bmjqs-2017-006774","ISSN":"2044-5423","issue":"1","journalAbbreviation":"BMJ Qual Saf","language":"eng","note":"PMID: 28794243","source":"PubMed","title":"Malpractice claims related to diagnostic errors in the hospital","volume":"27","author":[{"family":"Gupta","given":"Ashwin"},{"family":"Snyder","given":"Ashley"},{"family":"Kachalia","given":"Allen"},{"family":"Flanders","given":"Scott"},{"family":"Saint","given":"Sanjay"},{"family":"Chopra","given":"Vineet"}],"issued":{"date-parts":[["2017",8,9]]}}}],"schema":"https://github.com/citation-style-language/schema/raw/master/csl-citation.json"} </w:instrText>
            </w:r>
            <w:r w:rsidRPr="00C56B3D">
              <w:rPr>
                <w:rFonts w:asciiTheme="majorBidi" w:hAnsiTheme="majorBidi" w:cstheme="majorBidi"/>
                <w:sz w:val="22"/>
                <w:szCs w:val="22"/>
              </w:rPr>
              <w:fldChar w:fldCharType="separate"/>
            </w:r>
            <w:r w:rsidRPr="00745D63">
              <w:rPr>
                <w:rFonts w:hAnsiTheme="majorHAnsi"/>
                <w:sz w:val="22"/>
                <w:vertAlign w:val="superscript"/>
              </w:rPr>
              <w:t>34</w:t>
            </w:r>
            <w:r w:rsidRPr="00C56B3D">
              <w:rPr>
                <w:rFonts w:asciiTheme="majorBidi" w:hAnsiTheme="majorBidi" w:cstheme="majorBidi"/>
                <w:sz w:val="22"/>
                <w:szCs w:val="22"/>
              </w:rPr>
              <w:fldChar w:fldCharType="end"/>
            </w:r>
            <w:r w:rsidRPr="00C56B3D">
              <w:rPr>
                <w:rFonts w:asciiTheme="majorBidi" w:hAnsiTheme="majorBidi" w:cstheme="majorBidi"/>
                <w:sz w:val="22"/>
                <w:szCs w:val="22"/>
              </w:rPr>
              <w:t xml:space="preserve"> </w:t>
            </w:r>
            <w:r>
              <w:rPr>
                <w:rFonts w:asciiTheme="majorBidi" w:hAnsiTheme="majorBidi" w:cstheme="majorBidi"/>
                <w:sz w:val="22"/>
                <w:szCs w:val="22"/>
              </w:rPr>
              <w:t>2017</w:t>
            </w:r>
          </w:p>
        </w:tc>
        <w:tc>
          <w:tcPr>
            <w:tcW w:w="1512" w:type="dxa"/>
            <w:vAlign w:val="center"/>
          </w:tcPr>
          <w:p w14:paraId="23932C45" w14:textId="77777777" w:rsidR="00935B07" w:rsidRPr="00C56B3D" w:rsidRDefault="00935B07" w:rsidP="00935B07">
            <w:pPr>
              <w:jc w:val="center"/>
              <w:rPr>
                <w:rFonts w:asciiTheme="majorBidi" w:hAnsiTheme="majorBidi" w:cstheme="majorBidi"/>
                <w:sz w:val="22"/>
                <w:szCs w:val="22"/>
              </w:rPr>
            </w:pPr>
            <w:r w:rsidRPr="00C56B3D">
              <w:rPr>
                <w:rFonts w:asciiTheme="majorBidi" w:hAnsiTheme="majorBidi" w:cstheme="majorBidi"/>
                <w:sz w:val="22"/>
                <w:szCs w:val="22"/>
              </w:rPr>
              <w:t>X</w:t>
            </w:r>
          </w:p>
        </w:tc>
        <w:tc>
          <w:tcPr>
            <w:tcW w:w="889" w:type="dxa"/>
            <w:vAlign w:val="center"/>
          </w:tcPr>
          <w:p w14:paraId="601612C1" w14:textId="77777777" w:rsidR="00935B07" w:rsidRPr="00C56B3D" w:rsidRDefault="00935B07" w:rsidP="00935B07">
            <w:pPr>
              <w:jc w:val="center"/>
              <w:rPr>
                <w:rFonts w:asciiTheme="majorBidi" w:hAnsiTheme="majorBidi" w:cstheme="majorBidi"/>
                <w:sz w:val="22"/>
                <w:szCs w:val="22"/>
              </w:rPr>
            </w:pPr>
          </w:p>
        </w:tc>
        <w:tc>
          <w:tcPr>
            <w:tcW w:w="1573" w:type="dxa"/>
            <w:vAlign w:val="center"/>
          </w:tcPr>
          <w:p w14:paraId="49DA5F16" w14:textId="77777777" w:rsidR="00935B07" w:rsidRPr="00C56B3D" w:rsidRDefault="00935B07" w:rsidP="00935B07">
            <w:pPr>
              <w:jc w:val="center"/>
              <w:rPr>
                <w:rFonts w:asciiTheme="majorBidi" w:hAnsiTheme="majorBidi" w:cstheme="majorBidi"/>
                <w:sz w:val="22"/>
                <w:szCs w:val="22"/>
              </w:rPr>
            </w:pPr>
          </w:p>
        </w:tc>
        <w:tc>
          <w:tcPr>
            <w:tcW w:w="1072" w:type="dxa"/>
            <w:vAlign w:val="center"/>
          </w:tcPr>
          <w:p w14:paraId="597EBB30" w14:textId="77777777" w:rsidR="00935B07" w:rsidRPr="00C56B3D" w:rsidRDefault="00935B07" w:rsidP="00935B07">
            <w:pPr>
              <w:jc w:val="center"/>
              <w:rPr>
                <w:rFonts w:asciiTheme="majorBidi" w:hAnsiTheme="majorBidi" w:cstheme="majorBidi"/>
                <w:sz w:val="22"/>
                <w:szCs w:val="22"/>
              </w:rPr>
            </w:pPr>
          </w:p>
        </w:tc>
        <w:tc>
          <w:tcPr>
            <w:tcW w:w="742" w:type="dxa"/>
            <w:shd w:val="clear" w:color="auto" w:fill="F2F2F2" w:themeFill="background1" w:themeFillShade="F2"/>
            <w:vAlign w:val="center"/>
          </w:tcPr>
          <w:p w14:paraId="6DE0055D" w14:textId="77777777" w:rsidR="00935B07" w:rsidRPr="00C56B3D" w:rsidRDefault="00935B07" w:rsidP="00935B07">
            <w:pPr>
              <w:jc w:val="center"/>
              <w:rPr>
                <w:rFonts w:asciiTheme="majorBidi" w:hAnsiTheme="majorBidi" w:cstheme="majorBidi"/>
                <w:sz w:val="22"/>
                <w:szCs w:val="22"/>
              </w:rPr>
            </w:pPr>
          </w:p>
        </w:tc>
        <w:tc>
          <w:tcPr>
            <w:tcW w:w="913" w:type="dxa"/>
            <w:shd w:val="clear" w:color="auto" w:fill="F2F2F2" w:themeFill="background1" w:themeFillShade="F2"/>
            <w:vAlign w:val="center"/>
          </w:tcPr>
          <w:p w14:paraId="463AB453" w14:textId="77777777" w:rsidR="00935B07" w:rsidRPr="00C56B3D" w:rsidRDefault="00935B07" w:rsidP="00935B07">
            <w:pPr>
              <w:jc w:val="center"/>
              <w:rPr>
                <w:rFonts w:asciiTheme="majorBidi" w:hAnsiTheme="majorBidi" w:cstheme="majorBidi"/>
                <w:sz w:val="22"/>
                <w:szCs w:val="22"/>
              </w:rPr>
            </w:pPr>
          </w:p>
        </w:tc>
        <w:tc>
          <w:tcPr>
            <w:tcW w:w="780" w:type="dxa"/>
            <w:shd w:val="clear" w:color="auto" w:fill="F2F2F2" w:themeFill="background1" w:themeFillShade="F2"/>
            <w:vAlign w:val="center"/>
          </w:tcPr>
          <w:p w14:paraId="5524B196" w14:textId="77777777" w:rsidR="00935B07" w:rsidRPr="00C56B3D" w:rsidRDefault="00935B07" w:rsidP="00935B07">
            <w:pPr>
              <w:jc w:val="center"/>
              <w:rPr>
                <w:rFonts w:asciiTheme="majorBidi" w:hAnsiTheme="majorBidi" w:cstheme="majorBidi"/>
                <w:sz w:val="22"/>
                <w:szCs w:val="22"/>
              </w:rPr>
            </w:pPr>
          </w:p>
        </w:tc>
        <w:tc>
          <w:tcPr>
            <w:tcW w:w="766" w:type="dxa"/>
            <w:shd w:val="clear" w:color="auto" w:fill="F2F2F2" w:themeFill="background1" w:themeFillShade="F2"/>
            <w:vAlign w:val="center"/>
          </w:tcPr>
          <w:p w14:paraId="7BBDB4BC" w14:textId="77777777" w:rsidR="00935B07" w:rsidRPr="00C56B3D" w:rsidRDefault="00935B07" w:rsidP="00935B07">
            <w:pPr>
              <w:jc w:val="center"/>
              <w:rPr>
                <w:rFonts w:asciiTheme="majorBidi" w:hAnsiTheme="majorBidi" w:cstheme="majorBidi"/>
                <w:sz w:val="22"/>
                <w:szCs w:val="22"/>
              </w:rPr>
            </w:pPr>
          </w:p>
        </w:tc>
        <w:tc>
          <w:tcPr>
            <w:tcW w:w="1144" w:type="dxa"/>
            <w:shd w:val="clear" w:color="auto" w:fill="F2F2F2" w:themeFill="background1" w:themeFillShade="F2"/>
            <w:vAlign w:val="center"/>
          </w:tcPr>
          <w:p w14:paraId="37CB8A0E" w14:textId="77777777" w:rsidR="00935B07" w:rsidRPr="00C56B3D" w:rsidRDefault="00935B07" w:rsidP="00935B07">
            <w:pPr>
              <w:jc w:val="center"/>
              <w:rPr>
                <w:rFonts w:asciiTheme="majorBidi" w:hAnsiTheme="majorBidi" w:cstheme="majorBidi"/>
                <w:sz w:val="22"/>
                <w:szCs w:val="22"/>
              </w:rPr>
            </w:pPr>
          </w:p>
        </w:tc>
        <w:tc>
          <w:tcPr>
            <w:tcW w:w="840" w:type="dxa"/>
            <w:shd w:val="clear" w:color="auto" w:fill="F2F2F2" w:themeFill="background1" w:themeFillShade="F2"/>
            <w:vAlign w:val="center"/>
          </w:tcPr>
          <w:p w14:paraId="167C1B5F" w14:textId="77777777" w:rsidR="00935B07" w:rsidRPr="00C56B3D" w:rsidRDefault="00935B07" w:rsidP="00935B07">
            <w:pPr>
              <w:jc w:val="center"/>
              <w:rPr>
                <w:rFonts w:asciiTheme="majorBidi" w:hAnsiTheme="majorBidi" w:cstheme="majorBidi"/>
                <w:sz w:val="22"/>
                <w:szCs w:val="22"/>
              </w:rPr>
            </w:pPr>
            <w:r w:rsidRPr="00C56B3D">
              <w:rPr>
                <w:rFonts w:asciiTheme="majorBidi" w:hAnsiTheme="majorBidi" w:cstheme="majorBidi"/>
                <w:sz w:val="22"/>
                <w:szCs w:val="22"/>
              </w:rPr>
              <w:t>X</w:t>
            </w:r>
          </w:p>
        </w:tc>
      </w:tr>
      <w:tr w:rsidR="00935B07" w:rsidRPr="00C56B3D" w14:paraId="44D76F17" w14:textId="77777777" w:rsidTr="00935B07">
        <w:trPr>
          <w:trHeight w:val="432"/>
          <w:jc w:val="center"/>
        </w:trPr>
        <w:tc>
          <w:tcPr>
            <w:tcW w:w="3009" w:type="dxa"/>
            <w:shd w:val="clear" w:color="auto" w:fill="auto"/>
            <w:vAlign w:val="center"/>
            <w:hideMark/>
          </w:tcPr>
          <w:p w14:paraId="622E868D" w14:textId="77777777" w:rsidR="00935B07" w:rsidRPr="00C56B3D" w:rsidRDefault="00935B07" w:rsidP="00935B07">
            <w:pPr>
              <w:rPr>
                <w:rFonts w:asciiTheme="majorBidi" w:hAnsiTheme="majorBidi" w:cstheme="majorBidi"/>
                <w:color w:val="000000"/>
                <w:sz w:val="22"/>
                <w:szCs w:val="22"/>
              </w:rPr>
            </w:pPr>
            <w:r w:rsidRPr="00C56B3D">
              <w:rPr>
                <w:rFonts w:asciiTheme="majorBidi" w:hAnsiTheme="majorBidi" w:cstheme="majorBidi"/>
                <w:color w:val="000000"/>
                <w:sz w:val="22"/>
                <w:szCs w:val="22"/>
              </w:rPr>
              <w:t>Lee et al</w:t>
            </w:r>
            <w:r w:rsidRPr="00C56B3D">
              <w:rPr>
                <w:rFonts w:asciiTheme="majorBidi" w:hAnsiTheme="majorBidi" w:cstheme="majorBidi"/>
                <w:color w:val="000000"/>
                <w:sz w:val="22"/>
                <w:szCs w:val="22"/>
              </w:rPr>
              <w:fldChar w:fldCharType="begin"/>
            </w:r>
            <w:r w:rsidRPr="00C56B3D">
              <w:rPr>
                <w:rFonts w:asciiTheme="majorBidi" w:hAnsiTheme="majorBidi" w:cstheme="majorBidi"/>
                <w:color w:val="000000"/>
                <w:sz w:val="22"/>
                <w:szCs w:val="22"/>
              </w:rPr>
              <w:instrText xml:space="preserve"> ADDIN ZOTERO_ITEM CSL_CITATION {"citationID":"wvJ3Q0F5","properties":{"formattedCitation":"\\super 23\\nosupersub{}","plainCitation":"23","noteIndex":0},"citationItems":[{"id":5549,"uris":["http://zotero.org/users/6494345/items/VG7VML6W"],"uri":["http://zotero.org/users/6494345/items/VG7VML6W"],"itemData":{"id":5549,"type":"article-journal","abstract":"Background: Early-stage cerebellar hemorrhage can present with nausea or vomiting absent other neurological symptoms or signs, potentially leading to an incorrect diagnosis of gastroenteritis. We sought to determine the frequency of gastroenteritis-like presentations and delayed or missed diagnoses among patients with spontaneous cerebellar hemorrhage. Methods: This is a retrospective, case-control analysis of atraumatic, primary cerebellar hemorrhages derived from a systematic search of surgical pathology and autopsy databases at two large urban, academic medical centers from 1984 to 2006. Hospital visit and clinical symptom data were abstracted from electronic and paper medical records for included patients. Delayed or missed diagnoses were defined as those at least one previous visit for relevant clinical symptoms in the 7 days prior to the correct diagnosis being confirmed. Results: Among 254 records captured by our search filter, we identified 35 cases of pathologically proven primary cerebellar hemorrhage. Four patients (11%) were misdiagnosed initially – three with “gastroenteritis” and one with “hypertension”. In this small sample, misdiagnosed patients presented more often with normal mental state (100% vs. 35%, p=0.07) and nausea/vomiting (100% vs. 58%, p=0.22). Although patients deteriorated clinically after the initial misdiagnosis, and potentially dangerous diagnostic tests and treatment strategies were instituted as a result of misdiagnosis, none of the misdiagnosed patients died or suffered major permanent harms due to diagnostic delay. Conclusions: Our study is limited by the small number of identified cases. Nevertheless, it appears that patients with cerebellar hemorrhages can present with relatively unimpressive clinical findings without obvious neurological manifestations. Such individuals are sometimes misdiagnosed with gastroenteritis or other benign disorders initially, possibly when neurologic examination, particularly gait testing, is omitted or abridged. A careful search for subtle cerebellar signs, including dysarthria, limb ataxia, nystagmus or tandem gait instability, absent in true gastroenteritis cases, could potentially reduce misdiagnosis.","container-title":"Diagnosis","DOI":"10.1515/dx-2016-0038","ISSN":"2194-802X","issue":"1","language":"en","note":"publisher: De Gruyter\nsection: Diagnosis","page":"27-33","source":"www.degruyter.com","title":"Misdiagnosis of cerebellar hemorrhage – features of ‘pseudo-gastroenteritis’ clinical presentations to the ED and primary care","URL":"https://www.degruyter.com/document/doi/10.1515/dx-2016-0038/html","volume":"4","author":[{"family":"Lee","given":"Seung-Han"},{"family":"Stanton","given":"Victoria"},{"family":"Rothman","given":"Richard E."},{"family":"Crain","given":"Barbara"},{"family":"Wityk","given":"Robert"},{"family":"Wang","given":"Zheyu"},{"family":"Newman-Toker","given":"David E."}],"accessed":{"date-parts":[["2021",3,6]]},"issued":{"date-parts":[["2017",3,1]]}}}],"schema":"https://github.com/citation-style-language/schema/raw/master/csl-citation.json"} </w:instrText>
            </w:r>
            <w:r w:rsidRPr="00C56B3D">
              <w:rPr>
                <w:rFonts w:asciiTheme="majorBidi" w:hAnsiTheme="majorBidi" w:cstheme="majorBidi"/>
                <w:color w:val="000000"/>
                <w:sz w:val="22"/>
                <w:szCs w:val="22"/>
              </w:rPr>
              <w:fldChar w:fldCharType="separate"/>
            </w:r>
            <w:r w:rsidRPr="00C56B3D">
              <w:rPr>
                <w:rFonts w:asciiTheme="majorBidi" w:hAnsiTheme="majorBidi" w:cstheme="majorBidi"/>
                <w:color w:val="000000"/>
                <w:sz w:val="22"/>
                <w:szCs w:val="22"/>
                <w:vertAlign w:val="superscript"/>
              </w:rPr>
              <w:t>23</w:t>
            </w:r>
            <w:r w:rsidRPr="00C56B3D">
              <w:rPr>
                <w:rFonts w:asciiTheme="majorBidi" w:hAnsiTheme="majorBidi" w:cstheme="majorBidi"/>
                <w:color w:val="000000"/>
                <w:sz w:val="22"/>
                <w:szCs w:val="22"/>
              </w:rPr>
              <w:fldChar w:fldCharType="end"/>
            </w:r>
            <w:r w:rsidRPr="00C56B3D">
              <w:rPr>
                <w:rFonts w:asciiTheme="majorBidi" w:hAnsiTheme="majorBidi" w:cstheme="majorBidi"/>
                <w:color w:val="000000"/>
                <w:sz w:val="22"/>
                <w:szCs w:val="22"/>
              </w:rPr>
              <w:t xml:space="preserve"> 2017</w:t>
            </w:r>
          </w:p>
        </w:tc>
        <w:tc>
          <w:tcPr>
            <w:tcW w:w="1512" w:type="dxa"/>
            <w:vAlign w:val="center"/>
          </w:tcPr>
          <w:p w14:paraId="2DECBDAB"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889" w:type="dxa"/>
            <w:vAlign w:val="center"/>
          </w:tcPr>
          <w:p w14:paraId="6E3518EB" w14:textId="77777777" w:rsidR="00935B07" w:rsidRPr="00C56B3D" w:rsidRDefault="00935B07" w:rsidP="00935B07">
            <w:pPr>
              <w:jc w:val="center"/>
              <w:rPr>
                <w:rFonts w:asciiTheme="majorBidi" w:hAnsiTheme="majorBidi" w:cstheme="majorBidi"/>
                <w:color w:val="000000"/>
                <w:sz w:val="22"/>
                <w:szCs w:val="22"/>
              </w:rPr>
            </w:pPr>
          </w:p>
        </w:tc>
        <w:tc>
          <w:tcPr>
            <w:tcW w:w="1573" w:type="dxa"/>
            <w:vAlign w:val="center"/>
          </w:tcPr>
          <w:p w14:paraId="0609DA5F" w14:textId="77777777" w:rsidR="00935B07" w:rsidRPr="00C56B3D" w:rsidRDefault="00935B07" w:rsidP="00935B07">
            <w:pPr>
              <w:jc w:val="center"/>
              <w:rPr>
                <w:rFonts w:asciiTheme="majorBidi" w:hAnsiTheme="majorBidi" w:cstheme="majorBidi"/>
                <w:color w:val="000000"/>
                <w:sz w:val="22"/>
                <w:szCs w:val="22"/>
              </w:rPr>
            </w:pPr>
          </w:p>
        </w:tc>
        <w:tc>
          <w:tcPr>
            <w:tcW w:w="1072" w:type="dxa"/>
            <w:vAlign w:val="center"/>
          </w:tcPr>
          <w:p w14:paraId="430B30AC" w14:textId="77777777" w:rsidR="00935B07" w:rsidRPr="00C56B3D" w:rsidRDefault="00935B07" w:rsidP="00935B07">
            <w:pPr>
              <w:jc w:val="center"/>
              <w:rPr>
                <w:rFonts w:asciiTheme="majorBidi" w:hAnsiTheme="majorBidi" w:cstheme="majorBidi"/>
                <w:color w:val="000000"/>
                <w:sz w:val="22"/>
                <w:szCs w:val="22"/>
              </w:rPr>
            </w:pPr>
          </w:p>
        </w:tc>
        <w:tc>
          <w:tcPr>
            <w:tcW w:w="742" w:type="dxa"/>
            <w:shd w:val="clear" w:color="auto" w:fill="F2F2F2" w:themeFill="background1" w:themeFillShade="F2"/>
            <w:vAlign w:val="center"/>
          </w:tcPr>
          <w:p w14:paraId="1F571F3D"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913" w:type="dxa"/>
            <w:shd w:val="clear" w:color="auto" w:fill="F2F2F2" w:themeFill="background1" w:themeFillShade="F2"/>
            <w:vAlign w:val="center"/>
          </w:tcPr>
          <w:p w14:paraId="6C561816"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780" w:type="dxa"/>
            <w:shd w:val="clear" w:color="auto" w:fill="F2F2F2" w:themeFill="background1" w:themeFillShade="F2"/>
            <w:vAlign w:val="center"/>
          </w:tcPr>
          <w:p w14:paraId="3DE6F549" w14:textId="77777777" w:rsidR="00935B07" w:rsidRPr="00C56B3D" w:rsidRDefault="00935B07" w:rsidP="00935B07">
            <w:pPr>
              <w:jc w:val="center"/>
              <w:rPr>
                <w:rFonts w:asciiTheme="majorBidi" w:hAnsiTheme="majorBidi" w:cstheme="majorBidi"/>
                <w:color w:val="000000"/>
                <w:sz w:val="22"/>
                <w:szCs w:val="22"/>
              </w:rPr>
            </w:pPr>
          </w:p>
        </w:tc>
        <w:tc>
          <w:tcPr>
            <w:tcW w:w="766" w:type="dxa"/>
            <w:shd w:val="clear" w:color="auto" w:fill="F2F2F2" w:themeFill="background1" w:themeFillShade="F2"/>
            <w:vAlign w:val="center"/>
          </w:tcPr>
          <w:p w14:paraId="605CBD92" w14:textId="77777777" w:rsidR="00935B07" w:rsidRPr="00C56B3D" w:rsidRDefault="00935B07" w:rsidP="00935B07">
            <w:pPr>
              <w:jc w:val="center"/>
              <w:rPr>
                <w:rFonts w:asciiTheme="majorBidi" w:hAnsiTheme="majorBidi" w:cstheme="majorBidi"/>
                <w:color w:val="000000"/>
                <w:sz w:val="22"/>
                <w:szCs w:val="22"/>
              </w:rPr>
            </w:pPr>
          </w:p>
        </w:tc>
        <w:tc>
          <w:tcPr>
            <w:tcW w:w="1144" w:type="dxa"/>
            <w:shd w:val="clear" w:color="auto" w:fill="F2F2F2" w:themeFill="background1" w:themeFillShade="F2"/>
            <w:vAlign w:val="center"/>
          </w:tcPr>
          <w:p w14:paraId="60E171E3"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840" w:type="dxa"/>
            <w:shd w:val="clear" w:color="auto" w:fill="F2F2F2" w:themeFill="background1" w:themeFillShade="F2"/>
            <w:vAlign w:val="center"/>
          </w:tcPr>
          <w:p w14:paraId="43DB083A" w14:textId="77777777" w:rsidR="00935B07" w:rsidRPr="00C56B3D" w:rsidRDefault="00935B07" w:rsidP="00935B07">
            <w:pPr>
              <w:jc w:val="center"/>
              <w:rPr>
                <w:rFonts w:asciiTheme="majorBidi" w:hAnsiTheme="majorBidi" w:cstheme="majorBidi"/>
                <w:color w:val="000000"/>
                <w:sz w:val="22"/>
                <w:szCs w:val="22"/>
              </w:rPr>
            </w:pPr>
          </w:p>
        </w:tc>
      </w:tr>
      <w:tr w:rsidR="00935B07" w:rsidRPr="00C56B3D" w14:paraId="72A5EA29" w14:textId="77777777" w:rsidTr="00935B07">
        <w:trPr>
          <w:trHeight w:val="432"/>
          <w:jc w:val="center"/>
        </w:trPr>
        <w:tc>
          <w:tcPr>
            <w:tcW w:w="3009" w:type="dxa"/>
            <w:shd w:val="clear" w:color="auto" w:fill="auto"/>
            <w:vAlign w:val="center"/>
          </w:tcPr>
          <w:p w14:paraId="17CD8CEA" w14:textId="77777777" w:rsidR="00935B07" w:rsidRPr="00C56B3D" w:rsidRDefault="00935B07" w:rsidP="00935B07">
            <w:pPr>
              <w:rPr>
                <w:rFonts w:asciiTheme="majorBidi" w:hAnsiTheme="majorBidi" w:cstheme="majorBidi"/>
                <w:color w:val="000000"/>
                <w:sz w:val="22"/>
                <w:szCs w:val="22"/>
              </w:rPr>
            </w:pPr>
            <w:r w:rsidRPr="00C56B3D">
              <w:rPr>
                <w:rFonts w:asciiTheme="majorBidi" w:hAnsiTheme="majorBidi" w:cstheme="majorBidi"/>
                <w:color w:val="000000"/>
                <w:sz w:val="22"/>
                <w:szCs w:val="22"/>
              </w:rPr>
              <w:t>Rinke et al</w:t>
            </w:r>
            <w:r w:rsidRPr="00C56B3D">
              <w:rPr>
                <w:rFonts w:asciiTheme="majorBidi" w:hAnsiTheme="majorBidi" w:cstheme="majorBidi"/>
                <w:color w:val="000000"/>
                <w:sz w:val="22"/>
                <w:szCs w:val="22"/>
              </w:rPr>
              <w:fldChar w:fldCharType="begin"/>
            </w:r>
            <w:r w:rsidRPr="00C56B3D">
              <w:rPr>
                <w:rFonts w:asciiTheme="majorBidi" w:hAnsiTheme="majorBidi" w:cstheme="majorBidi"/>
                <w:color w:val="000000"/>
                <w:sz w:val="22"/>
                <w:szCs w:val="22"/>
              </w:rPr>
              <w:instrText xml:space="preserve"> ADDIN ZOTERO_ITEM CSL_CITATION {"citationID":"1gqumajQ","properties":{"formattedCitation":"\\super 25\\nosupersub{}","plainCitation":"25","noteIndex":0},"citationItems":[{"id":5602,"uris":["http://zotero.org/users/6494345/items/9CEED7FA"],"uri":["http://zotero.org/users/6494345/items/9CEED7FA"],"itemData":{"id":5602,"type":"article-journal","abstract":"Objective\nDiagnostic errors (DEs), which encompass failures of accuracy, timeliness, or patient communication, cause appreciable morbidity but are understudied in pediatrics. Pediatricians have expressed interest in reducing high-frequency/subacute DEs, but their epidemiology remains unknown. The objective of this study was to investigate the frequency of two high-frequency/subacute DEs and one missed opportunity for diagnosis (MOD) in primary care pediatrics.\nMethods\nAs part of a national quality improvement collaborative, 25 primary care pediatric practices were randomized to collect 5 months of retrospective data on one DE or MOD: elevated blood pressure (BP) and abnormal laboratory values (DEs), or adolescent depression evaluation (MOD). Relationships between DE or MOD proportions and patient age, gender, and insurance status were explored with mixed-effects logistic regression models.\nResults\nDE or MOD rates in pediatric primary care were found to be 54% for patients with elevated BP (n = 389), 11% for patients with abnormal laboratory values (n = 381), and 62% for adolescents with an opportunity to evaluate for depression (n = 400). When examining the number of times a pediatrician may have recognized an abnormal condition but either knowingly or unknowingly did not act according to recommended guidelines, providers did not document recognition of an elevated BP in 51% of patients with elevated BP, and they did not document recognition of an abnormal laboratory value without a delay in 9% of patients with abnormal laboratory values.\nConclusions\nDEs and MODs occur at an appreciable frequency in pediatric primary care. These errors may contribute to care delays and patient harm.","container-title":"Academic Pediatrics","DOI":"10.1016/j.acap.2017.08.005","ISSN":"1876-2859","issue":"2","journalAbbreviation":"Academic Pediatrics","language":"en","page":"220-227","source":"ScienceDirect","title":"Diagnostic Errors in Primary Care Pediatrics: Project RedDE","title-short":"Diagnostic Errors in Primary Care Pediatrics","URL":"https://www.sciencedirect.com/science/article/pii/S1876285917304631","volume":"18","author":[{"family":"Rinke","given":"Michael L."},{"family":"Singh","given":"Hardeep"},{"family":"Heo","given":"Moonseong"},{"family":"Adelman","given":"Jason S."},{"family":"O'Donnell","given":"Heather C."},{"family":"Choi","given":"Steven J."},{"family":"Norton","given":"Amanda"},{"family":"Stein","given":"Ruth E. K."},{"family":"Brady","given":"Tammy M."},{"family":"Lehmann","given":"Christoph U."},{"family":"Kairys","given":"Steven W."},{"family":"Rice-Conboy","given":"Elizabeth"},{"family":"Thiessen","given":"Keri"},{"family":"Bundy","given":"David G."}],"accessed":{"date-parts":[["2021",3,10]]},"issued":{"date-parts":[["2018",3,1]]}}}],"schema":"https://github.com/citation-style-language/schema/raw/master/csl-citation.json"} </w:instrText>
            </w:r>
            <w:r w:rsidRPr="00C56B3D">
              <w:rPr>
                <w:rFonts w:asciiTheme="majorBidi" w:hAnsiTheme="majorBidi" w:cstheme="majorBidi"/>
                <w:color w:val="000000"/>
                <w:sz w:val="22"/>
                <w:szCs w:val="22"/>
              </w:rPr>
              <w:fldChar w:fldCharType="separate"/>
            </w:r>
            <w:r w:rsidRPr="00C56B3D">
              <w:rPr>
                <w:rFonts w:asciiTheme="majorBidi" w:hAnsiTheme="majorBidi" w:cstheme="majorBidi"/>
                <w:color w:val="000000"/>
                <w:sz w:val="22"/>
                <w:szCs w:val="22"/>
                <w:vertAlign w:val="superscript"/>
              </w:rPr>
              <w:t>25</w:t>
            </w:r>
            <w:r w:rsidRPr="00C56B3D">
              <w:rPr>
                <w:rFonts w:asciiTheme="majorBidi" w:hAnsiTheme="majorBidi" w:cstheme="majorBidi"/>
                <w:color w:val="000000"/>
                <w:sz w:val="22"/>
                <w:szCs w:val="22"/>
              </w:rPr>
              <w:fldChar w:fldCharType="end"/>
            </w:r>
            <w:r w:rsidRPr="00C56B3D">
              <w:rPr>
                <w:rFonts w:asciiTheme="majorBidi" w:hAnsiTheme="majorBidi" w:cstheme="majorBidi"/>
                <w:color w:val="000000"/>
                <w:sz w:val="22"/>
                <w:szCs w:val="22"/>
              </w:rPr>
              <w:t xml:space="preserve"> 2018</w:t>
            </w:r>
          </w:p>
        </w:tc>
        <w:tc>
          <w:tcPr>
            <w:tcW w:w="1512" w:type="dxa"/>
            <w:vAlign w:val="center"/>
          </w:tcPr>
          <w:p w14:paraId="43A3B264"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889" w:type="dxa"/>
            <w:vAlign w:val="center"/>
          </w:tcPr>
          <w:p w14:paraId="79FF87CE" w14:textId="77777777" w:rsidR="00935B07" w:rsidRPr="00C56B3D" w:rsidRDefault="00935B07" w:rsidP="00935B07">
            <w:pPr>
              <w:jc w:val="center"/>
              <w:rPr>
                <w:rFonts w:asciiTheme="majorBidi" w:hAnsiTheme="majorBidi" w:cstheme="majorBidi"/>
                <w:color w:val="000000"/>
                <w:sz w:val="22"/>
                <w:szCs w:val="22"/>
                <w:highlight w:val="yellow"/>
              </w:rPr>
            </w:pPr>
          </w:p>
        </w:tc>
        <w:tc>
          <w:tcPr>
            <w:tcW w:w="1573" w:type="dxa"/>
            <w:vAlign w:val="center"/>
          </w:tcPr>
          <w:p w14:paraId="5B09F61A" w14:textId="77777777" w:rsidR="00935B07" w:rsidRPr="00C56B3D" w:rsidRDefault="00935B07" w:rsidP="00935B07">
            <w:pPr>
              <w:jc w:val="center"/>
              <w:rPr>
                <w:rFonts w:asciiTheme="majorBidi" w:hAnsiTheme="majorBidi" w:cstheme="majorBidi"/>
                <w:color w:val="000000"/>
                <w:sz w:val="22"/>
                <w:szCs w:val="22"/>
                <w:highlight w:val="yellow"/>
              </w:rPr>
            </w:pPr>
          </w:p>
        </w:tc>
        <w:tc>
          <w:tcPr>
            <w:tcW w:w="1072" w:type="dxa"/>
            <w:vAlign w:val="center"/>
          </w:tcPr>
          <w:p w14:paraId="28331E7C" w14:textId="77777777" w:rsidR="00935B07" w:rsidRPr="00C56B3D" w:rsidRDefault="00935B07" w:rsidP="00935B07">
            <w:pPr>
              <w:jc w:val="center"/>
              <w:rPr>
                <w:rFonts w:asciiTheme="majorBidi" w:hAnsiTheme="majorBidi" w:cstheme="majorBidi"/>
                <w:color w:val="000000"/>
                <w:sz w:val="22"/>
                <w:szCs w:val="22"/>
                <w:highlight w:val="yellow"/>
              </w:rPr>
            </w:pPr>
          </w:p>
        </w:tc>
        <w:tc>
          <w:tcPr>
            <w:tcW w:w="742" w:type="dxa"/>
            <w:shd w:val="clear" w:color="auto" w:fill="F2F2F2" w:themeFill="background1" w:themeFillShade="F2"/>
            <w:vAlign w:val="center"/>
          </w:tcPr>
          <w:p w14:paraId="4C25491F" w14:textId="77777777" w:rsidR="00935B07" w:rsidRPr="00C56B3D" w:rsidRDefault="00935B07" w:rsidP="00935B07">
            <w:pPr>
              <w:jc w:val="center"/>
              <w:rPr>
                <w:rFonts w:asciiTheme="majorBidi" w:hAnsiTheme="majorBidi" w:cstheme="majorBidi"/>
                <w:color w:val="000000"/>
                <w:sz w:val="22"/>
                <w:szCs w:val="22"/>
                <w:highlight w:val="yellow"/>
              </w:rPr>
            </w:pPr>
          </w:p>
        </w:tc>
        <w:tc>
          <w:tcPr>
            <w:tcW w:w="913" w:type="dxa"/>
            <w:shd w:val="clear" w:color="auto" w:fill="F2F2F2" w:themeFill="background1" w:themeFillShade="F2"/>
            <w:vAlign w:val="center"/>
          </w:tcPr>
          <w:p w14:paraId="4D730E71" w14:textId="77777777" w:rsidR="00935B07" w:rsidRPr="00C56B3D" w:rsidRDefault="00935B07" w:rsidP="00935B07">
            <w:pPr>
              <w:jc w:val="center"/>
              <w:rPr>
                <w:rFonts w:asciiTheme="majorBidi" w:hAnsiTheme="majorBidi" w:cstheme="majorBidi"/>
                <w:color w:val="000000"/>
                <w:sz w:val="22"/>
                <w:szCs w:val="22"/>
                <w:highlight w:val="yellow"/>
              </w:rPr>
            </w:pPr>
          </w:p>
        </w:tc>
        <w:tc>
          <w:tcPr>
            <w:tcW w:w="780" w:type="dxa"/>
            <w:shd w:val="clear" w:color="auto" w:fill="F2F2F2" w:themeFill="background1" w:themeFillShade="F2"/>
            <w:vAlign w:val="center"/>
          </w:tcPr>
          <w:p w14:paraId="51FDD945" w14:textId="77777777" w:rsidR="00935B07" w:rsidRPr="00C56B3D" w:rsidRDefault="00935B07" w:rsidP="00935B07">
            <w:pPr>
              <w:jc w:val="center"/>
              <w:rPr>
                <w:rFonts w:asciiTheme="majorBidi" w:hAnsiTheme="majorBidi" w:cstheme="majorBidi"/>
                <w:color w:val="000000"/>
                <w:sz w:val="22"/>
                <w:szCs w:val="22"/>
                <w:highlight w:val="yellow"/>
              </w:rPr>
            </w:pPr>
            <w:r w:rsidRPr="00C56B3D">
              <w:rPr>
                <w:rFonts w:asciiTheme="majorBidi" w:hAnsiTheme="majorBidi" w:cstheme="majorBidi"/>
                <w:color w:val="000000"/>
                <w:sz w:val="22"/>
                <w:szCs w:val="22"/>
              </w:rPr>
              <w:t>X</w:t>
            </w:r>
          </w:p>
        </w:tc>
        <w:tc>
          <w:tcPr>
            <w:tcW w:w="766" w:type="dxa"/>
            <w:shd w:val="clear" w:color="auto" w:fill="F2F2F2" w:themeFill="background1" w:themeFillShade="F2"/>
            <w:vAlign w:val="center"/>
          </w:tcPr>
          <w:p w14:paraId="12850C34" w14:textId="77777777" w:rsidR="00935B07" w:rsidRPr="00C56B3D" w:rsidRDefault="00935B07" w:rsidP="00935B07">
            <w:pPr>
              <w:jc w:val="center"/>
              <w:rPr>
                <w:rFonts w:asciiTheme="majorBidi" w:hAnsiTheme="majorBidi" w:cstheme="majorBidi"/>
                <w:color w:val="000000"/>
                <w:sz w:val="22"/>
                <w:szCs w:val="22"/>
                <w:highlight w:val="yellow"/>
              </w:rPr>
            </w:pPr>
          </w:p>
        </w:tc>
        <w:tc>
          <w:tcPr>
            <w:tcW w:w="1144" w:type="dxa"/>
            <w:shd w:val="clear" w:color="auto" w:fill="F2F2F2" w:themeFill="background1" w:themeFillShade="F2"/>
            <w:vAlign w:val="center"/>
          </w:tcPr>
          <w:p w14:paraId="1531DC18" w14:textId="77777777" w:rsidR="00935B07" w:rsidRPr="00C56B3D" w:rsidRDefault="00935B07" w:rsidP="00935B07">
            <w:pPr>
              <w:jc w:val="center"/>
              <w:rPr>
                <w:rFonts w:asciiTheme="majorBidi" w:hAnsiTheme="majorBidi" w:cstheme="majorBidi"/>
                <w:color w:val="000000"/>
                <w:sz w:val="22"/>
                <w:szCs w:val="22"/>
                <w:highlight w:val="yellow"/>
              </w:rPr>
            </w:pPr>
          </w:p>
        </w:tc>
        <w:tc>
          <w:tcPr>
            <w:tcW w:w="840" w:type="dxa"/>
            <w:shd w:val="clear" w:color="auto" w:fill="F2F2F2" w:themeFill="background1" w:themeFillShade="F2"/>
            <w:vAlign w:val="center"/>
          </w:tcPr>
          <w:p w14:paraId="34D536D9" w14:textId="77777777" w:rsidR="00935B07" w:rsidRPr="00C56B3D" w:rsidRDefault="00935B07" w:rsidP="00935B07">
            <w:pPr>
              <w:jc w:val="center"/>
              <w:rPr>
                <w:rFonts w:asciiTheme="majorBidi" w:hAnsiTheme="majorBidi" w:cstheme="majorBidi"/>
                <w:color w:val="000000"/>
                <w:sz w:val="22"/>
                <w:szCs w:val="22"/>
                <w:highlight w:val="yellow"/>
              </w:rPr>
            </w:pPr>
          </w:p>
        </w:tc>
      </w:tr>
      <w:tr w:rsidR="00935B07" w:rsidRPr="00C56B3D" w14:paraId="7E5BAC2F" w14:textId="77777777" w:rsidTr="00935B07">
        <w:trPr>
          <w:trHeight w:val="432"/>
          <w:jc w:val="center"/>
        </w:trPr>
        <w:tc>
          <w:tcPr>
            <w:tcW w:w="3009" w:type="dxa"/>
            <w:shd w:val="clear" w:color="auto" w:fill="auto"/>
            <w:vAlign w:val="center"/>
          </w:tcPr>
          <w:p w14:paraId="62152419" w14:textId="77777777" w:rsidR="00935B07" w:rsidRPr="00C56B3D" w:rsidRDefault="00935B07" w:rsidP="00935B07">
            <w:pPr>
              <w:rPr>
                <w:rFonts w:asciiTheme="majorBidi" w:hAnsiTheme="majorBidi" w:cstheme="majorBidi"/>
                <w:color w:val="000000"/>
                <w:sz w:val="22"/>
                <w:szCs w:val="22"/>
              </w:rPr>
            </w:pPr>
            <w:proofErr w:type="spellStart"/>
            <w:r>
              <w:rPr>
                <w:rFonts w:asciiTheme="majorBidi" w:hAnsiTheme="majorBidi" w:cstheme="majorBidi"/>
                <w:color w:val="000000"/>
                <w:sz w:val="22"/>
                <w:szCs w:val="22"/>
              </w:rPr>
              <w:t>Dadlez</w:t>
            </w:r>
            <w:proofErr w:type="spellEnd"/>
            <w:r>
              <w:rPr>
                <w:rFonts w:asciiTheme="majorBidi" w:hAnsiTheme="majorBidi" w:cstheme="majorBidi"/>
                <w:color w:val="000000"/>
                <w:sz w:val="22"/>
                <w:szCs w:val="22"/>
              </w:rPr>
              <w:t xml:space="preserve"> et al</w:t>
            </w:r>
            <w:r>
              <w:rPr>
                <w:rFonts w:asciiTheme="majorBidi" w:hAnsiTheme="majorBidi" w:cstheme="majorBidi"/>
                <w:color w:val="000000"/>
                <w:sz w:val="22"/>
                <w:szCs w:val="22"/>
              </w:rPr>
              <w:fldChar w:fldCharType="begin"/>
            </w:r>
            <w:r>
              <w:rPr>
                <w:rFonts w:asciiTheme="majorBidi" w:hAnsiTheme="majorBidi" w:cstheme="majorBidi"/>
                <w:color w:val="000000"/>
                <w:sz w:val="22"/>
                <w:szCs w:val="22"/>
              </w:rPr>
              <w:instrText xml:space="preserve"> ADDIN ZOTERO_ITEM CSL_CITATION {"citationID":"4b7WED8S","properties":{"formattedCitation":"\\super 36\\nosupersub{}","plainCitation":"36","noteIndex":0},"citationItems":[{"id":6019,"uris":["http://zotero.org/users/6494345/items/VUEZQB6K"],"uri":["http://zotero.org/users/6494345/items/VUEZQB6K"],"itemData":{"id":6019,"type":"article-journal","abstract":"Supplemental Digital Content is available in the text.","container-title":"Pediatric Quality &amp; Safety","DOI":"10.1097/pq9.0000000000000299","ISSN":"2472-0054","issue":"3","journalAbbreviation":"Pediatr Qual Saf","note":"PMID: 32656467\nPMCID: PMC7297397","page":"e299","source":"PubMed Central","title":"Contributing Factors for Pediatric Ambulatory Diagnostic Process Errors: Project RedDE","title-short":"Contributing Factors for Pediatric Ambulatory Diagnostic Process Errors","URL":"https://www.ncbi.nlm.nih.gov/pmc/articles/PMC7297397/","volume":"5","author":[{"family":"Dadlez","given":"Nina M."},{"family":"Adelman","given":"Jason"},{"family":"Bundy","given":"David G."},{"family":"Singh","given":"Hardeep"},{"family":"Applebaum","given":"Jo R."},{"family":"Rinke","given":"Michael L."}],"accessed":{"date-parts":[["2021",6,29]]},"issued":{"date-parts":[["2020",5,12]]}}}],"schema":"https://github.com/citation-style-language/schema/raw/master/csl-citation.json"} </w:instrText>
            </w:r>
            <w:r>
              <w:rPr>
                <w:rFonts w:asciiTheme="majorBidi" w:hAnsiTheme="majorBidi" w:cstheme="majorBidi"/>
                <w:color w:val="000000"/>
                <w:sz w:val="22"/>
                <w:szCs w:val="22"/>
              </w:rPr>
              <w:fldChar w:fldCharType="separate"/>
            </w:r>
            <w:r w:rsidRPr="00DA7637">
              <w:rPr>
                <w:rFonts w:hAnsiTheme="majorHAnsi"/>
                <w:color w:val="000000"/>
                <w:sz w:val="22"/>
                <w:vertAlign w:val="superscript"/>
              </w:rPr>
              <w:t>36</w:t>
            </w:r>
            <w:r>
              <w:rPr>
                <w:rFonts w:asciiTheme="majorBidi" w:hAnsiTheme="majorBidi" w:cstheme="majorBidi"/>
                <w:color w:val="000000"/>
                <w:sz w:val="22"/>
                <w:szCs w:val="22"/>
              </w:rPr>
              <w:fldChar w:fldCharType="end"/>
            </w:r>
            <w:r>
              <w:rPr>
                <w:rFonts w:asciiTheme="majorBidi" w:hAnsiTheme="majorBidi" w:cstheme="majorBidi"/>
                <w:color w:val="000000"/>
                <w:sz w:val="22"/>
                <w:szCs w:val="22"/>
              </w:rPr>
              <w:t xml:space="preserve"> 2020</w:t>
            </w:r>
          </w:p>
        </w:tc>
        <w:tc>
          <w:tcPr>
            <w:tcW w:w="1512" w:type="dxa"/>
            <w:vAlign w:val="center"/>
          </w:tcPr>
          <w:p w14:paraId="6016C100" w14:textId="77777777" w:rsidR="00935B07" w:rsidRPr="00C56B3D" w:rsidRDefault="00935B07" w:rsidP="00935B07">
            <w:pPr>
              <w:jc w:val="center"/>
              <w:rPr>
                <w:rFonts w:asciiTheme="majorBidi" w:hAnsiTheme="majorBidi" w:cstheme="majorBidi"/>
                <w:color w:val="000000"/>
                <w:sz w:val="22"/>
                <w:szCs w:val="22"/>
              </w:rPr>
            </w:pPr>
            <w:r>
              <w:rPr>
                <w:rFonts w:asciiTheme="majorBidi" w:hAnsiTheme="majorBidi" w:cstheme="majorBidi"/>
                <w:color w:val="000000"/>
                <w:sz w:val="22"/>
                <w:szCs w:val="22"/>
              </w:rPr>
              <w:t>X</w:t>
            </w:r>
          </w:p>
        </w:tc>
        <w:tc>
          <w:tcPr>
            <w:tcW w:w="889" w:type="dxa"/>
            <w:vAlign w:val="center"/>
          </w:tcPr>
          <w:p w14:paraId="63F708BF" w14:textId="77777777" w:rsidR="00935B07" w:rsidRPr="00C56B3D" w:rsidRDefault="00935B07" w:rsidP="00935B07">
            <w:pPr>
              <w:jc w:val="center"/>
              <w:rPr>
                <w:rFonts w:asciiTheme="majorBidi" w:hAnsiTheme="majorBidi" w:cstheme="majorBidi"/>
                <w:color w:val="000000"/>
                <w:sz w:val="22"/>
                <w:szCs w:val="22"/>
                <w:highlight w:val="yellow"/>
              </w:rPr>
            </w:pPr>
          </w:p>
        </w:tc>
        <w:tc>
          <w:tcPr>
            <w:tcW w:w="1573" w:type="dxa"/>
            <w:vAlign w:val="center"/>
          </w:tcPr>
          <w:p w14:paraId="171768DF" w14:textId="77777777" w:rsidR="00935B07" w:rsidRPr="00C56B3D" w:rsidRDefault="00935B07" w:rsidP="00935B07">
            <w:pPr>
              <w:jc w:val="center"/>
              <w:rPr>
                <w:rFonts w:asciiTheme="majorBidi" w:hAnsiTheme="majorBidi" w:cstheme="majorBidi"/>
                <w:color w:val="000000"/>
                <w:sz w:val="22"/>
                <w:szCs w:val="22"/>
                <w:highlight w:val="yellow"/>
              </w:rPr>
            </w:pPr>
          </w:p>
        </w:tc>
        <w:tc>
          <w:tcPr>
            <w:tcW w:w="1072" w:type="dxa"/>
            <w:vAlign w:val="center"/>
          </w:tcPr>
          <w:p w14:paraId="781EF28C" w14:textId="77777777" w:rsidR="00935B07" w:rsidRPr="00C56B3D" w:rsidRDefault="00935B07" w:rsidP="00935B07">
            <w:pPr>
              <w:jc w:val="center"/>
              <w:rPr>
                <w:rFonts w:asciiTheme="majorBidi" w:hAnsiTheme="majorBidi" w:cstheme="majorBidi"/>
                <w:color w:val="000000"/>
                <w:sz w:val="22"/>
                <w:szCs w:val="22"/>
                <w:highlight w:val="yellow"/>
              </w:rPr>
            </w:pPr>
          </w:p>
        </w:tc>
        <w:tc>
          <w:tcPr>
            <w:tcW w:w="742" w:type="dxa"/>
            <w:shd w:val="clear" w:color="auto" w:fill="F2F2F2" w:themeFill="background1" w:themeFillShade="F2"/>
            <w:vAlign w:val="center"/>
          </w:tcPr>
          <w:p w14:paraId="564BE642" w14:textId="77777777" w:rsidR="00935B07" w:rsidRPr="00C56B3D" w:rsidRDefault="00935B07" w:rsidP="00935B07">
            <w:pPr>
              <w:jc w:val="center"/>
              <w:rPr>
                <w:rFonts w:asciiTheme="majorBidi" w:hAnsiTheme="majorBidi" w:cstheme="majorBidi"/>
                <w:color w:val="000000"/>
                <w:sz w:val="22"/>
                <w:szCs w:val="22"/>
                <w:highlight w:val="yellow"/>
              </w:rPr>
            </w:pPr>
          </w:p>
        </w:tc>
        <w:tc>
          <w:tcPr>
            <w:tcW w:w="913" w:type="dxa"/>
            <w:shd w:val="clear" w:color="auto" w:fill="F2F2F2" w:themeFill="background1" w:themeFillShade="F2"/>
            <w:vAlign w:val="center"/>
          </w:tcPr>
          <w:p w14:paraId="38CD667E" w14:textId="77777777" w:rsidR="00935B07" w:rsidRPr="00C56B3D" w:rsidRDefault="00935B07" w:rsidP="00935B07">
            <w:pPr>
              <w:jc w:val="center"/>
              <w:rPr>
                <w:rFonts w:asciiTheme="majorBidi" w:hAnsiTheme="majorBidi" w:cstheme="majorBidi"/>
                <w:color w:val="000000"/>
                <w:sz w:val="22"/>
                <w:szCs w:val="22"/>
                <w:highlight w:val="yellow"/>
              </w:rPr>
            </w:pPr>
          </w:p>
        </w:tc>
        <w:tc>
          <w:tcPr>
            <w:tcW w:w="780" w:type="dxa"/>
            <w:shd w:val="clear" w:color="auto" w:fill="F2F2F2" w:themeFill="background1" w:themeFillShade="F2"/>
            <w:vAlign w:val="center"/>
          </w:tcPr>
          <w:p w14:paraId="3AE1B48F" w14:textId="77777777" w:rsidR="00935B07" w:rsidRPr="00C56B3D" w:rsidRDefault="00935B07" w:rsidP="00935B07">
            <w:pPr>
              <w:jc w:val="center"/>
              <w:rPr>
                <w:rFonts w:asciiTheme="majorBidi" w:hAnsiTheme="majorBidi" w:cstheme="majorBidi"/>
                <w:color w:val="000000"/>
                <w:sz w:val="22"/>
                <w:szCs w:val="22"/>
              </w:rPr>
            </w:pPr>
          </w:p>
        </w:tc>
        <w:tc>
          <w:tcPr>
            <w:tcW w:w="766" w:type="dxa"/>
            <w:shd w:val="clear" w:color="auto" w:fill="F2F2F2" w:themeFill="background1" w:themeFillShade="F2"/>
            <w:vAlign w:val="center"/>
          </w:tcPr>
          <w:p w14:paraId="7FD8A20B" w14:textId="77777777" w:rsidR="00935B07" w:rsidRPr="00C56B3D" w:rsidRDefault="00935B07" w:rsidP="00935B07">
            <w:pPr>
              <w:jc w:val="center"/>
              <w:rPr>
                <w:rFonts w:asciiTheme="majorBidi" w:hAnsiTheme="majorBidi" w:cstheme="majorBidi"/>
                <w:color w:val="000000"/>
                <w:sz w:val="22"/>
                <w:szCs w:val="22"/>
                <w:highlight w:val="yellow"/>
              </w:rPr>
            </w:pPr>
          </w:p>
        </w:tc>
        <w:tc>
          <w:tcPr>
            <w:tcW w:w="1144" w:type="dxa"/>
            <w:shd w:val="clear" w:color="auto" w:fill="F2F2F2" w:themeFill="background1" w:themeFillShade="F2"/>
            <w:vAlign w:val="center"/>
          </w:tcPr>
          <w:p w14:paraId="34CD86DE" w14:textId="77777777" w:rsidR="00935B07" w:rsidRPr="00C56B3D" w:rsidRDefault="00935B07" w:rsidP="00935B07">
            <w:pPr>
              <w:jc w:val="center"/>
              <w:rPr>
                <w:rFonts w:asciiTheme="majorBidi" w:hAnsiTheme="majorBidi" w:cstheme="majorBidi"/>
                <w:color w:val="000000"/>
                <w:sz w:val="22"/>
                <w:szCs w:val="22"/>
                <w:highlight w:val="yellow"/>
              </w:rPr>
            </w:pPr>
          </w:p>
        </w:tc>
        <w:tc>
          <w:tcPr>
            <w:tcW w:w="840" w:type="dxa"/>
            <w:shd w:val="clear" w:color="auto" w:fill="F2F2F2" w:themeFill="background1" w:themeFillShade="F2"/>
            <w:vAlign w:val="center"/>
          </w:tcPr>
          <w:p w14:paraId="4BBBCAB0" w14:textId="77777777" w:rsidR="00935B07" w:rsidRPr="00C56B3D" w:rsidRDefault="00935B07" w:rsidP="00935B07">
            <w:pPr>
              <w:jc w:val="center"/>
              <w:rPr>
                <w:rFonts w:asciiTheme="majorBidi" w:hAnsiTheme="majorBidi" w:cstheme="majorBidi"/>
                <w:color w:val="000000"/>
                <w:sz w:val="22"/>
                <w:szCs w:val="22"/>
                <w:highlight w:val="yellow"/>
              </w:rPr>
            </w:pPr>
            <w:r w:rsidRPr="004A5F24">
              <w:rPr>
                <w:rFonts w:asciiTheme="majorBidi" w:hAnsiTheme="majorBidi" w:cstheme="majorBidi"/>
                <w:color w:val="000000"/>
                <w:sz w:val="22"/>
                <w:szCs w:val="22"/>
              </w:rPr>
              <w:t>X</w:t>
            </w:r>
          </w:p>
        </w:tc>
      </w:tr>
      <w:tr w:rsidR="00935B07" w:rsidRPr="00C56B3D" w14:paraId="631ABCEB" w14:textId="77777777" w:rsidTr="00935B07">
        <w:trPr>
          <w:trHeight w:val="432"/>
          <w:jc w:val="center"/>
        </w:trPr>
        <w:tc>
          <w:tcPr>
            <w:tcW w:w="3009" w:type="dxa"/>
            <w:shd w:val="clear" w:color="auto" w:fill="auto"/>
            <w:vAlign w:val="center"/>
            <w:hideMark/>
          </w:tcPr>
          <w:p w14:paraId="1DE976A5" w14:textId="77777777" w:rsidR="00935B07" w:rsidRPr="00C56B3D" w:rsidRDefault="00935B07" w:rsidP="00935B07">
            <w:pPr>
              <w:rPr>
                <w:rFonts w:asciiTheme="majorBidi" w:hAnsiTheme="majorBidi" w:cstheme="majorBidi"/>
                <w:color w:val="000000"/>
                <w:sz w:val="22"/>
                <w:szCs w:val="22"/>
              </w:rPr>
            </w:pPr>
            <w:r w:rsidRPr="00C56B3D">
              <w:rPr>
                <w:rFonts w:asciiTheme="majorBidi" w:hAnsiTheme="majorBidi" w:cstheme="majorBidi"/>
                <w:color w:val="000000"/>
                <w:sz w:val="22"/>
                <w:szCs w:val="22"/>
              </w:rPr>
              <w:t>Sacco et al</w:t>
            </w:r>
            <w:r w:rsidRPr="00C56B3D">
              <w:rPr>
                <w:rFonts w:asciiTheme="majorBidi" w:hAnsiTheme="majorBidi" w:cstheme="majorBidi"/>
                <w:color w:val="000000"/>
                <w:sz w:val="22"/>
                <w:szCs w:val="22"/>
              </w:rPr>
              <w:fldChar w:fldCharType="begin"/>
            </w:r>
            <w:r w:rsidRPr="00C56B3D">
              <w:rPr>
                <w:rFonts w:asciiTheme="majorBidi" w:hAnsiTheme="majorBidi" w:cstheme="majorBidi"/>
                <w:color w:val="000000"/>
                <w:sz w:val="22"/>
                <w:szCs w:val="22"/>
              </w:rPr>
              <w:instrText xml:space="preserve"> ADDIN ZOTERO_ITEM CSL_CITATION {"citationID":"ZFoKecb2","properties":{"formattedCitation":"\\super 35\\nosupersub{}","plainCitation":"35","noteIndex":0},"citationItems":[{"id":5567,"uris":["http://zotero.org/users/6494345/items/3ZXMUCYJ"],"uri":["http://zotero.org/users/6494345/items/3ZXMUCYJ"],"itemData":{"id":5567,"type":"article-journal","abstract":"OBJECTIVES: The Institute of Medicine (IOM) defines diagnostic error as the failure to establish an accurate or timely explanation for the patient's health problem(s) or effectively communicate the explanation to the patient. Using this definition, we sought to characterize diagnostic errors experienced by patients and describe patient perspectives on causes, impacts, and prevention strategies.\nMETHODS: We conducted interviews of adults hospitalized at an academic medical center. We used the framework of the IOM definition of diagnostic error to perform thematic analysis of qualitative data. Descriptive statistics were used to summarize quantitative data.\nRESULTS: Based on the IOM's definition of diagnostic error, 27 of the 69 included patients reported at least one diagnostic error in the past 5 years. The errors were distributed evenly across the following three dimensions of the IOM definition: accuracy, communication, and timeliness. Limited time with doctors, communication, clinical assessment, and clinical management emerged as major themes for causes of diagnostic error and for strategies to reduce diagnostic error. Impacts of errors included emotional distress, adverse health outcomes, and impaired activities of daily living.\nCONCLUSIONS: This study uses the recent IOM definition of diagnostic error to provide insights into diagnostic error from the patient perspective. We found that diagnostic errors were commonly reported by hospitalized adults and have a profound impact on patients' well-being. Patients' insights regarding potential causes and prevention strategies may help identify opportunities to reduce diagnostic errors.","container-title":"Journal of Patient Safety","DOI":"10.1097/PTS.0000000000000642","ISSN":"1549-8425","journalAbbreviation":"J Patient Saf","language":"eng","note":"PMID: 32168272","source":"PubMed","title":"Patients' Perspectives of Diagnostic Error: A Qualitative Study","title-short":"Patients' Perspectives of Diagnostic Error","author":[{"family":"Sacco","given":"Alden Y."},{"family":"Self","given":"Quinn R."},{"family":"Worswick","given":"Erica L."},{"family":"Couperus","given":"Cody J."},{"family":"Kolli","given":"Sree S."},{"family":"Muñoz","given":"Sergio A."},{"family":"Carney","given":"Jan K."},{"family":"Repp","given":"Allen B."}],"issued":{"date-parts":[["2020",3,11]]}}}],"schema":"https://github.com/citation-style-language/schema/raw/master/csl-citation.json"} </w:instrText>
            </w:r>
            <w:r w:rsidRPr="00C56B3D">
              <w:rPr>
                <w:rFonts w:asciiTheme="majorBidi" w:hAnsiTheme="majorBidi" w:cstheme="majorBidi"/>
                <w:color w:val="000000"/>
                <w:sz w:val="22"/>
                <w:szCs w:val="22"/>
              </w:rPr>
              <w:fldChar w:fldCharType="separate"/>
            </w:r>
            <w:r w:rsidRPr="00C56B3D">
              <w:rPr>
                <w:rFonts w:asciiTheme="majorBidi" w:hAnsiTheme="majorBidi" w:cstheme="majorBidi"/>
                <w:color w:val="000000"/>
                <w:sz w:val="22"/>
                <w:szCs w:val="22"/>
                <w:vertAlign w:val="superscript"/>
              </w:rPr>
              <w:t>35</w:t>
            </w:r>
            <w:r w:rsidRPr="00C56B3D">
              <w:rPr>
                <w:rFonts w:asciiTheme="majorBidi" w:hAnsiTheme="majorBidi" w:cstheme="majorBidi"/>
                <w:color w:val="000000"/>
                <w:sz w:val="22"/>
                <w:szCs w:val="22"/>
              </w:rPr>
              <w:fldChar w:fldCharType="end"/>
            </w:r>
            <w:r w:rsidRPr="00C56B3D">
              <w:rPr>
                <w:rFonts w:asciiTheme="majorBidi" w:hAnsiTheme="majorBidi" w:cstheme="majorBidi"/>
                <w:color w:val="000000"/>
                <w:sz w:val="22"/>
                <w:szCs w:val="22"/>
              </w:rPr>
              <w:t xml:space="preserve"> 2020</w:t>
            </w:r>
          </w:p>
        </w:tc>
        <w:tc>
          <w:tcPr>
            <w:tcW w:w="1512" w:type="dxa"/>
            <w:vAlign w:val="center"/>
          </w:tcPr>
          <w:p w14:paraId="20795D41" w14:textId="77777777" w:rsidR="00935B07" w:rsidRPr="00C56B3D" w:rsidRDefault="00935B07" w:rsidP="00935B07">
            <w:pPr>
              <w:jc w:val="center"/>
              <w:rPr>
                <w:rFonts w:asciiTheme="majorBidi" w:hAnsiTheme="majorBidi" w:cstheme="majorBidi"/>
                <w:color w:val="000000"/>
                <w:sz w:val="22"/>
                <w:szCs w:val="22"/>
              </w:rPr>
            </w:pPr>
          </w:p>
        </w:tc>
        <w:tc>
          <w:tcPr>
            <w:tcW w:w="889" w:type="dxa"/>
            <w:vAlign w:val="center"/>
          </w:tcPr>
          <w:p w14:paraId="6AFB3AC3"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1573" w:type="dxa"/>
            <w:vAlign w:val="center"/>
          </w:tcPr>
          <w:p w14:paraId="430A34DD" w14:textId="77777777" w:rsidR="00935B07" w:rsidRPr="00C56B3D" w:rsidRDefault="00935B07" w:rsidP="00935B07">
            <w:pPr>
              <w:jc w:val="center"/>
              <w:rPr>
                <w:rFonts w:asciiTheme="majorBidi" w:hAnsiTheme="majorBidi" w:cstheme="majorBidi"/>
                <w:color w:val="000000"/>
                <w:sz w:val="22"/>
                <w:szCs w:val="22"/>
              </w:rPr>
            </w:pPr>
          </w:p>
        </w:tc>
        <w:tc>
          <w:tcPr>
            <w:tcW w:w="1072" w:type="dxa"/>
            <w:vAlign w:val="center"/>
          </w:tcPr>
          <w:p w14:paraId="799ADD05" w14:textId="77777777" w:rsidR="00935B07" w:rsidRPr="00C56B3D" w:rsidRDefault="00935B07" w:rsidP="00935B07">
            <w:pPr>
              <w:jc w:val="center"/>
              <w:rPr>
                <w:rFonts w:asciiTheme="majorBidi" w:hAnsiTheme="majorBidi" w:cstheme="majorBidi"/>
                <w:color w:val="000000"/>
                <w:sz w:val="22"/>
                <w:szCs w:val="22"/>
              </w:rPr>
            </w:pPr>
          </w:p>
        </w:tc>
        <w:tc>
          <w:tcPr>
            <w:tcW w:w="742" w:type="dxa"/>
            <w:shd w:val="clear" w:color="auto" w:fill="F2F2F2" w:themeFill="background1" w:themeFillShade="F2"/>
            <w:vAlign w:val="center"/>
          </w:tcPr>
          <w:p w14:paraId="451E07BF"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913" w:type="dxa"/>
            <w:shd w:val="clear" w:color="auto" w:fill="F2F2F2" w:themeFill="background1" w:themeFillShade="F2"/>
            <w:vAlign w:val="center"/>
          </w:tcPr>
          <w:p w14:paraId="2C1BF8D7" w14:textId="77777777" w:rsidR="00935B07" w:rsidRPr="00C56B3D" w:rsidRDefault="00935B07" w:rsidP="00935B07">
            <w:pPr>
              <w:jc w:val="center"/>
              <w:rPr>
                <w:rFonts w:asciiTheme="majorBidi" w:hAnsiTheme="majorBidi" w:cstheme="majorBidi"/>
                <w:color w:val="000000"/>
                <w:sz w:val="22"/>
                <w:szCs w:val="22"/>
              </w:rPr>
            </w:pPr>
          </w:p>
        </w:tc>
        <w:tc>
          <w:tcPr>
            <w:tcW w:w="780" w:type="dxa"/>
            <w:shd w:val="clear" w:color="auto" w:fill="F2F2F2" w:themeFill="background1" w:themeFillShade="F2"/>
            <w:vAlign w:val="center"/>
          </w:tcPr>
          <w:p w14:paraId="48260A66" w14:textId="77777777" w:rsidR="00935B07" w:rsidRPr="00C56B3D" w:rsidRDefault="00935B07" w:rsidP="00935B07">
            <w:pPr>
              <w:jc w:val="center"/>
              <w:rPr>
                <w:rFonts w:asciiTheme="majorBidi" w:hAnsiTheme="majorBidi" w:cstheme="majorBidi"/>
                <w:color w:val="000000"/>
                <w:sz w:val="22"/>
                <w:szCs w:val="22"/>
              </w:rPr>
            </w:pPr>
          </w:p>
        </w:tc>
        <w:tc>
          <w:tcPr>
            <w:tcW w:w="766" w:type="dxa"/>
            <w:shd w:val="clear" w:color="auto" w:fill="F2F2F2" w:themeFill="background1" w:themeFillShade="F2"/>
            <w:vAlign w:val="center"/>
          </w:tcPr>
          <w:p w14:paraId="7669D107" w14:textId="77777777" w:rsidR="00935B07" w:rsidRPr="00C56B3D" w:rsidRDefault="00935B07" w:rsidP="00935B07">
            <w:pPr>
              <w:jc w:val="center"/>
              <w:rPr>
                <w:rFonts w:asciiTheme="majorBidi" w:hAnsiTheme="majorBidi" w:cstheme="majorBidi"/>
                <w:color w:val="000000"/>
                <w:sz w:val="22"/>
                <w:szCs w:val="22"/>
              </w:rPr>
            </w:pPr>
          </w:p>
        </w:tc>
        <w:tc>
          <w:tcPr>
            <w:tcW w:w="1144" w:type="dxa"/>
            <w:shd w:val="clear" w:color="auto" w:fill="F2F2F2" w:themeFill="background1" w:themeFillShade="F2"/>
            <w:vAlign w:val="center"/>
          </w:tcPr>
          <w:p w14:paraId="548501E9" w14:textId="77777777" w:rsidR="00935B07" w:rsidRPr="00C56B3D" w:rsidRDefault="00935B07" w:rsidP="00935B07">
            <w:pPr>
              <w:jc w:val="center"/>
              <w:rPr>
                <w:rFonts w:asciiTheme="majorBidi" w:hAnsiTheme="majorBidi" w:cstheme="majorBidi"/>
                <w:color w:val="000000"/>
                <w:sz w:val="22"/>
                <w:szCs w:val="22"/>
              </w:rPr>
            </w:pPr>
          </w:p>
        </w:tc>
        <w:tc>
          <w:tcPr>
            <w:tcW w:w="840" w:type="dxa"/>
            <w:shd w:val="clear" w:color="auto" w:fill="F2F2F2" w:themeFill="background1" w:themeFillShade="F2"/>
            <w:vAlign w:val="center"/>
          </w:tcPr>
          <w:p w14:paraId="0DA737F7" w14:textId="77777777" w:rsidR="00935B07" w:rsidRPr="00C56B3D" w:rsidRDefault="00935B07" w:rsidP="00935B07">
            <w:pPr>
              <w:jc w:val="center"/>
              <w:rPr>
                <w:rFonts w:asciiTheme="majorBidi" w:hAnsiTheme="majorBidi" w:cstheme="majorBidi"/>
                <w:color w:val="000000"/>
                <w:sz w:val="22"/>
                <w:szCs w:val="22"/>
              </w:rPr>
            </w:pPr>
          </w:p>
        </w:tc>
      </w:tr>
      <w:tr w:rsidR="00935B07" w:rsidRPr="00C56B3D" w14:paraId="2CDA35B0" w14:textId="77777777" w:rsidTr="00935B07">
        <w:trPr>
          <w:trHeight w:val="432"/>
          <w:jc w:val="center"/>
        </w:trPr>
        <w:tc>
          <w:tcPr>
            <w:tcW w:w="3009" w:type="dxa"/>
            <w:shd w:val="clear" w:color="auto" w:fill="auto"/>
            <w:vAlign w:val="center"/>
            <w:hideMark/>
          </w:tcPr>
          <w:p w14:paraId="13CE7A6F" w14:textId="77777777" w:rsidR="00935B07" w:rsidRPr="00C56B3D" w:rsidRDefault="00935B07" w:rsidP="00935B07">
            <w:pPr>
              <w:rPr>
                <w:rFonts w:asciiTheme="majorBidi" w:hAnsiTheme="majorBidi" w:cstheme="majorBidi"/>
                <w:color w:val="000000"/>
                <w:sz w:val="22"/>
                <w:szCs w:val="22"/>
              </w:rPr>
            </w:pPr>
            <w:r w:rsidRPr="00C56B3D">
              <w:rPr>
                <w:rFonts w:asciiTheme="majorBidi" w:hAnsiTheme="majorBidi" w:cstheme="majorBidi"/>
                <w:color w:val="000000"/>
                <w:sz w:val="22"/>
                <w:szCs w:val="22"/>
              </w:rPr>
              <w:t>Aoki &amp; Watanuki</w:t>
            </w:r>
            <w:r w:rsidRPr="00C56B3D">
              <w:rPr>
                <w:rFonts w:asciiTheme="majorBidi" w:hAnsiTheme="majorBidi" w:cstheme="majorBidi"/>
                <w:color w:val="000000"/>
                <w:sz w:val="22"/>
                <w:szCs w:val="22"/>
              </w:rPr>
              <w:fldChar w:fldCharType="begin"/>
            </w:r>
            <w:r w:rsidRPr="00C56B3D">
              <w:rPr>
                <w:rFonts w:asciiTheme="majorBidi" w:hAnsiTheme="majorBidi" w:cstheme="majorBidi"/>
                <w:color w:val="000000"/>
                <w:sz w:val="22"/>
                <w:szCs w:val="22"/>
              </w:rPr>
              <w:instrText xml:space="preserve"> ADDIN ZOTERO_ITEM CSL_CITATION {"citationID":"z4UR1FFX","properties":{"formattedCitation":"\\super 33\\nosupersub{}","plainCitation":"33","noteIndex":0},"citationItems":[{"id":5569,"uris":["http://zotero.org/users/6494345/items/78A2ZUTY"],"uri":["http://zotero.org/users/6494345/items/78A2ZUTY"],"itemData":{"id":5569,"type":"article-journal","abstract":"Objectives There is lack of evidence for the association between multimorbidity and diagnostic errors. Information on diagnostic errors from patients’ perspectives is crucial to improve the diagnostic process. In this study, we aimed to investigate patient-reported diagnostic errors and to examine the relationship between multimorbidity and patient-reported diagnostic errors in the primary care setting.\nDesign Multicentre cross-sectional study.\nSetting A primary care practice-based research network in Japan (25 primary care facilities).\nParticipants Adult outpatients filled out a standardised questionnaire.\nPrimary outcome measure Patient-reported diagnostic errors.\nResults Data collected from 1474 primary care outpatients were analysed. The number of participants who reported diagnostic errors was 57 (3.9%). Most of the missed diagnoses were common conditions in primary care, such as cancer, dermatitis and hypertension. After adjustment for possible confounders and clustering within facilities, multimorbidity was positively associated with patient-reported diagnostic errors (adjusted OR=1.83, 95% CI 1.01 to 3.31). The results of the sensitivity analysis were consistent with those of the primary analysis.\nConclusions The present study showed a lower proportion of patients reporting experiences of diagnostic errors in primary care than those reported in previous studies in other countries. However, patients with multimorbidity are more likely to report diagnostic errors in primary care; thus, further research is necessary to improve the diagnostic process for patients with multimorbidity.","container-title":"BMJ Open","DOI":"10.1136/bmjopen-2020-039040","ISSN":"2044-6055, 2044-6055","issue":"8","language":"en","note":"publisher: British Medical Journal Publishing Group\nsection: General practice / Family practice\nPMID: 32819954","page":"e039040","source":"bmjopen.bmj.com","title":"Multimorbidity and patient-reported diagnostic errors in the primary care setting: multicentre cross-sectional study in Japan","title-short":"Multimorbidity and patient-reported diagnostic errors in the primary care setting","URL":"https://bmjopen.bmj.com/content/10/8/e039040","volume":"10","author":[{"family":"Aoki","given":"Takuya"},{"family":"Watanuki","given":"Satoshi"}],"accessed":{"date-parts":[["2021",3,6]]},"issued":{"date-parts":[["2020",8,1]]}}}],"schema":"https://github.com/citation-style-language/schema/raw/master/csl-citation.json"} </w:instrText>
            </w:r>
            <w:r w:rsidRPr="00C56B3D">
              <w:rPr>
                <w:rFonts w:asciiTheme="majorBidi" w:hAnsiTheme="majorBidi" w:cstheme="majorBidi"/>
                <w:color w:val="000000"/>
                <w:sz w:val="22"/>
                <w:szCs w:val="22"/>
              </w:rPr>
              <w:fldChar w:fldCharType="separate"/>
            </w:r>
            <w:r w:rsidRPr="00C56B3D">
              <w:rPr>
                <w:rFonts w:asciiTheme="majorBidi" w:hAnsiTheme="majorBidi" w:cstheme="majorBidi"/>
                <w:color w:val="000000"/>
                <w:sz w:val="22"/>
                <w:szCs w:val="22"/>
                <w:vertAlign w:val="superscript"/>
              </w:rPr>
              <w:t>33</w:t>
            </w:r>
            <w:r w:rsidRPr="00C56B3D">
              <w:rPr>
                <w:rFonts w:asciiTheme="majorBidi" w:hAnsiTheme="majorBidi" w:cstheme="majorBidi"/>
                <w:color w:val="000000"/>
                <w:sz w:val="22"/>
                <w:szCs w:val="22"/>
              </w:rPr>
              <w:fldChar w:fldCharType="end"/>
            </w:r>
            <w:r w:rsidRPr="00C56B3D">
              <w:rPr>
                <w:rFonts w:asciiTheme="majorBidi" w:hAnsiTheme="majorBidi" w:cstheme="majorBidi"/>
                <w:color w:val="000000"/>
                <w:sz w:val="22"/>
                <w:szCs w:val="22"/>
              </w:rPr>
              <w:t xml:space="preserve"> 2020</w:t>
            </w:r>
          </w:p>
        </w:tc>
        <w:tc>
          <w:tcPr>
            <w:tcW w:w="1512" w:type="dxa"/>
            <w:vAlign w:val="center"/>
          </w:tcPr>
          <w:p w14:paraId="733BBFD9" w14:textId="77777777" w:rsidR="00935B07" w:rsidRPr="00C56B3D" w:rsidRDefault="00935B07" w:rsidP="00935B07">
            <w:pPr>
              <w:jc w:val="center"/>
              <w:rPr>
                <w:rFonts w:asciiTheme="majorBidi" w:hAnsiTheme="majorBidi" w:cstheme="majorBidi"/>
                <w:color w:val="000000"/>
                <w:sz w:val="22"/>
                <w:szCs w:val="22"/>
              </w:rPr>
            </w:pPr>
          </w:p>
        </w:tc>
        <w:tc>
          <w:tcPr>
            <w:tcW w:w="889" w:type="dxa"/>
            <w:vAlign w:val="center"/>
          </w:tcPr>
          <w:p w14:paraId="563BEBA1"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1573" w:type="dxa"/>
            <w:vAlign w:val="center"/>
          </w:tcPr>
          <w:p w14:paraId="53CB6CCF" w14:textId="77777777" w:rsidR="00935B07" w:rsidRPr="00C56B3D" w:rsidRDefault="00935B07" w:rsidP="00935B07">
            <w:pPr>
              <w:jc w:val="center"/>
              <w:rPr>
                <w:rFonts w:asciiTheme="majorBidi" w:hAnsiTheme="majorBidi" w:cstheme="majorBidi"/>
                <w:color w:val="000000"/>
                <w:sz w:val="22"/>
                <w:szCs w:val="22"/>
              </w:rPr>
            </w:pPr>
          </w:p>
        </w:tc>
        <w:tc>
          <w:tcPr>
            <w:tcW w:w="1072" w:type="dxa"/>
            <w:vAlign w:val="center"/>
          </w:tcPr>
          <w:p w14:paraId="3E1A1B90" w14:textId="77777777" w:rsidR="00935B07" w:rsidRPr="00C56B3D" w:rsidRDefault="00935B07" w:rsidP="00935B07">
            <w:pPr>
              <w:jc w:val="center"/>
              <w:rPr>
                <w:rFonts w:asciiTheme="majorBidi" w:hAnsiTheme="majorBidi" w:cstheme="majorBidi"/>
                <w:color w:val="000000"/>
                <w:sz w:val="22"/>
                <w:szCs w:val="22"/>
              </w:rPr>
            </w:pPr>
          </w:p>
        </w:tc>
        <w:tc>
          <w:tcPr>
            <w:tcW w:w="742" w:type="dxa"/>
            <w:shd w:val="clear" w:color="auto" w:fill="F2F2F2" w:themeFill="background1" w:themeFillShade="F2"/>
            <w:vAlign w:val="center"/>
          </w:tcPr>
          <w:p w14:paraId="0AA03F67" w14:textId="77777777" w:rsidR="00935B07" w:rsidRPr="00C56B3D" w:rsidRDefault="00935B07" w:rsidP="00935B07">
            <w:pPr>
              <w:jc w:val="center"/>
              <w:rPr>
                <w:rFonts w:asciiTheme="majorBidi" w:hAnsiTheme="majorBidi" w:cstheme="majorBidi"/>
                <w:color w:val="000000"/>
                <w:sz w:val="22"/>
                <w:szCs w:val="22"/>
              </w:rPr>
            </w:pPr>
          </w:p>
        </w:tc>
        <w:tc>
          <w:tcPr>
            <w:tcW w:w="913" w:type="dxa"/>
            <w:shd w:val="clear" w:color="auto" w:fill="F2F2F2" w:themeFill="background1" w:themeFillShade="F2"/>
            <w:vAlign w:val="center"/>
          </w:tcPr>
          <w:p w14:paraId="40AD0EF6" w14:textId="77777777" w:rsidR="00935B07" w:rsidRPr="00C56B3D" w:rsidRDefault="00935B07" w:rsidP="00935B07">
            <w:pPr>
              <w:jc w:val="center"/>
              <w:rPr>
                <w:rFonts w:asciiTheme="majorBidi" w:hAnsiTheme="majorBidi" w:cstheme="majorBidi"/>
                <w:color w:val="000000"/>
                <w:sz w:val="22"/>
                <w:szCs w:val="22"/>
              </w:rPr>
            </w:pPr>
          </w:p>
        </w:tc>
        <w:tc>
          <w:tcPr>
            <w:tcW w:w="780" w:type="dxa"/>
            <w:shd w:val="clear" w:color="auto" w:fill="F2F2F2" w:themeFill="background1" w:themeFillShade="F2"/>
            <w:vAlign w:val="center"/>
          </w:tcPr>
          <w:p w14:paraId="4A23C437" w14:textId="77777777" w:rsidR="00935B07" w:rsidRPr="00C56B3D" w:rsidRDefault="00935B07" w:rsidP="00935B07">
            <w:pPr>
              <w:jc w:val="center"/>
              <w:rPr>
                <w:rFonts w:asciiTheme="majorBidi" w:hAnsiTheme="majorBidi" w:cstheme="majorBidi"/>
                <w:color w:val="000000"/>
                <w:sz w:val="22"/>
                <w:szCs w:val="22"/>
              </w:rPr>
            </w:pPr>
          </w:p>
        </w:tc>
        <w:tc>
          <w:tcPr>
            <w:tcW w:w="766" w:type="dxa"/>
            <w:shd w:val="clear" w:color="auto" w:fill="F2F2F2" w:themeFill="background1" w:themeFillShade="F2"/>
            <w:vAlign w:val="center"/>
          </w:tcPr>
          <w:p w14:paraId="592B4B72" w14:textId="77777777" w:rsidR="00935B07" w:rsidRPr="00C56B3D" w:rsidRDefault="00935B07" w:rsidP="00935B07">
            <w:pPr>
              <w:jc w:val="center"/>
              <w:rPr>
                <w:rFonts w:asciiTheme="majorBidi" w:hAnsiTheme="majorBidi" w:cstheme="majorBidi"/>
                <w:color w:val="000000"/>
                <w:sz w:val="22"/>
                <w:szCs w:val="22"/>
              </w:rPr>
            </w:pPr>
          </w:p>
        </w:tc>
        <w:tc>
          <w:tcPr>
            <w:tcW w:w="1144" w:type="dxa"/>
            <w:shd w:val="clear" w:color="auto" w:fill="F2F2F2" w:themeFill="background1" w:themeFillShade="F2"/>
            <w:vAlign w:val="center"/>
          </w:tcPr>
          <w:p w14:paraId="6CFA299B" w14:textId="77777777" w:rsidR="00935B07" w:rsidRPr="00C56B3D" w:rsidRDefault="00935B07" w:rsidP="00935B07">
            <w:pPr>
              <w:jc w:val="center"/>
              <w:rPr>
                <w:rFonts w:asciiTheme="majorBidi" w:hAnsiTheme="majorBidi" w:cstheme="majorBidi"/>
                <w:color w:val="000000"/>
                <w:sz w:val="22"/>
                <w:szCs w:val="22"/>
              </w:rPr>
            </w:pPr>
          </w:p>
        </w:tc>
        <w:tc>
          <w:tcPr>
            <w:tcW w:w="840" w:type="dxa"/>
            <w:shd w:val="clear" w:color="auto" w:fill="F2F2F2" w:themeFill="background1" w:themeFillShade="F2"/>
            <w:vAlign w:val="center"/>
          </w:tcPr>
          <w:p w14:paraId="541B0D4D"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r>
      <w:tr w:rsidR="00935B07" w:rsidRPr="00C56B3D" w14:paraId="2D4768F5" w14:textId="77777777" w:rsidTr="00935B07">
        <w:trPr>
          <w:trHeight w:val="432"/>
          <w:jc w:val="center"/>
        </w:trPr>
        <w:tc>
          <w:tcPr>
            <w:tcW w:w="3009" w:type="dxa"/>
            <w:shd w:val="clear" w:color="auto" w:fill="auto"/>
            <w:vAlign w:val="center"/>
          </w:tcPr>
          <w:p w14:paraId="4A4A7E4C" w14:textId="77777777" w:rsidR="00935B07" w:rsidRPr="00C56B3D" w:rsidRDefault="00935B07" w:rsidP="00935B07">
            <w:pPr>
              <w:rPr>
                <w:rFonts w:asciiTheme="majorBidi" w:hAnsiTheme="majorBidi" w:cstheme="majorBidi"/>
                <w:color w:val="000000"/>
                <w:sz w:val="22"/>
                <w:szCs w:val="22"/>
              </w:rPr>
            </w:pPr>
            <w:proofErr w:type="spellStart"/>
            <w:r w:rsidRPr="00C56B3D">
              <w:rPr>
                <w:rFonts w:asciiTheme="majorBidi" w:hAnsiTheme="majorBidi" w:cstheme="majorBidi"/>
                <w:color w:val="000000"/>
                <w:sz w:val="22"/>
                <w:szCs w:val="22"/>
              </w:rPr>
              <w:t>Bontempo</w:t>
            </w:r>
            <w:proofErr w:type="spellEnd"/>
            <w:r w:rsidRPr="00C56B3D">
              <w:rPr>
                <w:rFonts w:asciiTheme="majorBidi" w:hAnsiTheme="majorBidi" w:cstheme="majorBidi"/>
                <w:color w:val="000000"/>
                <w:sz w:val="22"/>
                <w:szCs w:val="22"/>
              </w:rPr>
              <w:t xml:space="preserve"> &amp; Mikesell</w:t>
            </w:r>
            <w:r w:rsidRPr="00C56B3D">
              <w:rPr>
                <w:rFonts w:asciiTheme="majorBidi" w:hAnsiTheme="majorBidi" w:cstheme="majorBidi"/>
                <w:color w:val="000000"/>
                <w:sz w:val="22"/>
                <w:szCs w:val="22"/>
              </w:rPr>
              <w:fldChar w:fldCharType="begin"/>
            </w:r>
            <w:r w:rsidRPr="00C56B3D">
              <w:rPr>
                <w:rFonts w:asciiTheme="majorBidi" w:hAnsiTheme="majorBidi" w:cstheme="majorBidi"/>
                <w:color w:val="000000"/>
                <w:sz w:val="22"/>
                <w:szCs w:val="22"/>
              </w:rPr>
              <w:instrText xml:space="preserve"> ADDIN ZOTERO_ITEM CSL_CITATION {"citationID":"TCTBtI0O","properties":{"formattedCitation":"\\super 30\\nosupersub{}","plainCitation":"30","noteIndex":0},"citationItems":[{"id":4401,"uris":["http://zotero.org/users/6494345/items/X2YM7S5J"],"uri":["http://zotero.org/users/6494345/items/X2YM7S5J"],"itemData":{"id":4401,"type":"article-journal","abstract":"Background: Endometriosis is an estrogen-dependent disease affecting 10% of females in which endometrial-like tissue grows outside the uterus, resulting in pain, infertility, and physical and psychosocial dysfunction. Prior research documenting diagnostic error reports a 6.7-year mean diagnostic delay. This study takes a patient-oriented approach and aims to complement prior research on diagnostic error by examining patient-reported experiences.\nMethods: Data were part of a larger online survey comprising nonrandomly sampled patients with self-reported surgically-confirmed endometriosis (N=758). We examined patients’ reports of misdiagnosis, to which healthcare professionals they attributed misdiagnosis, mean diagnostic delay, and endometriosis symptoms and physical sites predicting misdiagnosis reports.\nResults: Mean reported diagnostic delay was 8.6 years. 75.2% of patients reported being misdiagnosed with another physical health (95.1%) and/or mental health problem (49.5%) and most frequently by gynecologists (53.2%) followed by general practitioners (34.4%). Higher odds of reporting a physical or mental health misdiagnosis was associated with reports of virtually all symptoms and endometriosis on the bladder, small bowel, pelvic sidewall, and rectum. Higher odds of reporting a physical health misdiagnosis was exclusively associated with reports of endometriosis on the appendix. Higher odds of reporting a mental health misdiagnosis was exclusively associated with reports of a younger symptom onset age; endometriosis on the diaphragm, large bowel, lung, and ureter; and comorbid adenomyosis diagnosis.\nConclusions: Endometriosis continues to present serious and complex diagnostic challenges. These findings corroborate previous objective investigations documenting endometriosis diagnostic error, establishes the first patient-reported incidence, and further demonstrate value in including patients in diagnostic error research.","container-title":"Diagnosis","DOI":"10.1515/dx-2019-0020","ISSN":"2194-802X, 2194-8011","issue":"0","language":"en","source":"DOI.org (Crossref)","title":"Patient perceptions of misdiagnosis of endometriosis: results from an online national survey","title-short":"Patient perceptions of misdiagnosis of endometriosis","URL":"http://www.degruyter.com/view/j/dx.ahead-of-print/dx-2019-0020/dx-2019-0020.xml","volume":"0","author":[{"family":"Bontempo","given":"Allyson C."},{"family":"Mikesell","given":"Lisa"}],"accessed":{"date-parts":[["2020",4,17]]},"issued":{"date-parts":[["2020",2,3]]}}}],"schema":"https://github.com/citation-style-language/schema/raw/master/csl-citation.json"} </w:instrText>
            </w:r>
            <w:r w:rsidRPr="00C56B3D">
              <w:rPr>
                <w:rFonts w:asciiTheme="majorBidi" w:hAnsiTheme="majorBidi" w:cstheme="majorBidi"/>
                <w:color w:val="000000"/>
                <w:sz w:val="22"/>
                <w:szCs w:val="22"/>
              </w:rPr>
              <w:fldChar w:fldCharType="separate"/>
            </w:r>
            <w:r w:rsidRPr="00C56B3D">
              <w:rPr>
                <w:rFonts w:asciiTheme="majorBidi" w:hAnsiTheme="majorBidi" w:cstheme="majorBidi"/>
                <w:color w:val="000000"/>
                <w:sz w:val="22"/>
                <w:szCs w:val="22"/>
                <w:vertAlign w:val="superscript"/>
              </w:rPr>
              <w:t>30</w:t>
            </w:r>
            <w:r w:rsidRPr="00C56B3D">
              <w:rPr>
                <w:rFonts w:asciiTheme="majorBidi" w:hAnsiTheme="majorBidi" w:cstheme="majorBidi"/>
                <w:color w:val="000000"/>
                <w:sz w:val="22"/>
                <w:szCs w:val="22"/>
              </w:rPr>
              <w:fldChar w:fldCharType="end"/>
            </w:r>
            <w:r w:rsidRPr="00C56B3D">
              <w:rPr>
                <w:rFonts w:asciiTheme="majorBidi" w:hAnsiTheme="majorBidi" w:cstheme="majorBidi"/>
                <w:color w:val="000000"/>
                <w:sz w:val="22"/>
                <w:szCs w:val="22"/>
              </w:rPr>
              <w:t xml:space="preserve"> 2020</w:t>
            </w:r>
          </w:p>
        </w:tc>
        <w:tc>
          <w:tcPr>
            <w:tcW w:w="1512" w:type="dxa"/>
            <w:vAlign w:val="center"/>
          </w:tcPr>
          <w:p w14:paraId="26DC0FE3" w14:textId="77777777" w:rsidR="00935B07" w:rsidRPr="00C56B3D" w:rsidRDefault="00935B07" w:rsidP="00935B07">
            <w:pPr>
              <w:jc w:val="center"/>
              <w:rPr>
                <w:rFonts w:asciiTheme="majorBidi" w:hAnsiTheme="majorBidi" w:cstheme="majorBidi"/>
                <w:color w:val="000000"/>
                <w:sz w:val="22"/>
                <w:szCs w:val="22"/>
              </w:rPr>
            </w:pPr>
          </w:p>
        </w:tc>
        <w:tc>
          <w:tcPr>
            <w:tcW w:w="889" w:type="dxa"/>
            <w:vAlign w:val="center"/>
          </w:tcPr>
          <w:p w14:paraId="635A4EFB"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1573" w:type="dxa"/>
            <w:vAlign w:val="center"/>
          </w:tcPr>
          <w:p w14:paraId="1A94D305" w14:textId="77777777" w:rsidR="00935B07" w:rsidRPr="00C56B3D" w:rsidRDefault="00935B07" w:rsidP="00935B07">
            <w:pPr>
              <w:jc w:val="center"/>
              <w:rPr>
                <w:rFonts w:asciiTheme="majorBidi" w:hAnsiTheme="majorBidi" w:cstheme="majorBidi"/>
                <w:color w:val="000000"/>
                <w:sz w:val="22"/>
                <w:szCs w:val="22"/>
              </w:rPr>
            </w:pPr>
          </w:p>
        </w:tc>
        <w:tc>
          <w:tcPr>
            <w:tcW w:w="1072" w:type="dxa"/>
            <w:vAlign w:val="center"/>
          </w:tcPr>
          <w:p w14:paraId="5A702681" w14:textId="77777777" w:rsidR="00935B07" w:rsidRPr="00C56B3D" w:rsidRDefault="00935B07" w:rsidP="00935B07">
            <w:pPr>
              <w:jc w:val="center"/>
              <w:rPr>
                <w:rFonts w:asciiTheme="majorBidi" w:hAnsiTheme="majorBidi" w:cstheme="majorBidi"/>
                <w:color w:val="000000"/>
                <w:sz w:val="22"/>
                <w:szCs w:val="22"/>
              </w:rPr>
            </w:pPr>
          </w:p>
        </w:tc>
        <w:tc>
          <w:tcPr>
            <w:tcW w:w="742" w:type="dxa"/>
            <w:shd w:val="clear" w:color="auto" w:fill="F2F2F2" w:themeFill="background1" w:themeFillShade="F2"/>
            <w:vAlign w:val="center"/>
          </w:tcPr>
          <w:p w14:paraId="1B820BD7" w14:textId="77777777" w:rsidR="00935B07" w:rsidRPr="00C56B3D" w:rsidRDefault="00935B07" w:rsidP="00935B07">
            <w:pPr>
              <w:jc w:val="center"/>
              <w:rPr>
                <w:rFonts w:asciiTheme="majorBidi" w:hAnsiTheme="majorBidi" w:cstheme="majorBidi"/>
                <w:color w:val="000000"/>
                <w:sz w:val="22"/>
                <w:szCs w:val="22"/>
              </w:rPr>
            </w:pPr>
          </w:p>
        </w:tc>
        <w:tc>
          <w:tcPr>
            <w:tcW w:w="913" w:type="dxa"/>
            <w:shd w:val="clear" w:color="auto" w:fill="F2F2F2" w:themeFill="background1" w:themeFillShade="F2"/>
            <w:vAlign w:val="center"/>
          </w:tcPr>
          <w:p w14:paraId="670CFCF0" w14:textId="77777777" w:rsidR="00935B07" w:rsidRPr="00C56B3D" w:rsidRDefault="00935B07" w:rsidP="00935B07">
            <w:pPr>
              <w:jc w:val="center"/>
              <w:rPr>
                <w:rFonts w:asciiTheme="majorBidi" w:hAnsiTheme="majorBidi" w:cstheme="majorBidi"/>
                <w:color w:val="000000"/>
                <w:sz w:val="22"/>
                <w:szCs w:val="22"/>
              </w:rPr>
            </w:pPr>
          </w:p>
        </w:tc>
        <w:tc>
          <w:tcPr>
            <w:tcW w:w="780" w:type="dxa"/>
            <w:shd w:val="clear" w:color="auto" w:fill="F2F2F2" w:themeFill="background1" w:themeFillShade="F2"/>
            <w:vAlign w:val="center"/>
          </w:tcPr>
          <w:p w14:paraId="7850681D" w14:textId="77777777" w:rsidR="00935B07" w:rsidRPr="00C56B3D" w:rsidRDefault="00935B07" w:rsidP="00935B07">
            <w:pPr>
              <w:jc w:val="center"/>
              <w:rPr>
                <w:rFonts w:asciiTheme="majorBidi" w:hAnsiTheme="majorBidi" w:cstheme="majorBidi"/>
                <w:color w:val="000000"/>
                <w:sz w:val="22"/>
                <w:szCs w:val="22"/>
              </w:rPr>
            </w:pPr>
          </w:p>
        </w:tc>
        <w:tc>
          <w:tcPr>
            <w:tcW w:w="766" w:type="dxa"/>
            <w:shd w:val="clear" w:color="auto" w:fill="F2F2F2" w:themeFill="background1" w:themeFillShade="F2"/>
            <w:vAlign w:val="center"/>
          </w:tcPr>
          <w:p w14:paraId="3FB71413" w14:textId="77777777" w:rsidR="00935B07" w:rsidRPr="00C56B3D" w:rsidRDefault="00935B07" w:rsidP="00935B07">
            <w:pPr>
              <w:jc w:val="center"/>
              <w:rPr>
                <w:rFonts w:asciiTheme="majorBidi" w:hAnsiTheme="majorBidi" w:cstheme="majorBidi"/>
                <w:color w:val="000000"/>
                <w:sz w:val="22"/>
                <w:szCs w:val="22"/>
              </w:rPr>
            </w:pPr>
          </w:p>
        </w:tc>
        <w:tc>
          <w:tcPr>
            <w:tcW w:w="1144" w:type="dxa"/>
            <w:shd w:val="clear" w:color="auto" w:fill="F2F2F2" w:themeFill="background1" w:themeFillShade="F2"/>
            <w:vAlign w:val="center"/>
          </w:tcPr>
          <w:p w14:paraId="6D89FA56" w14:textId="77777777" w:rsidR="00935B07" w:rsidRPr="00C56B3D" w:rsidRDefault="00935B07" w:rsidP="00935B07">
            <w:pPr>
              <w:jc w:val="center"/>
              <w:rPr>
                <w:rFonts w:asciiTheme="majorBidi" w:hAnsiTheme="majorBidi" w:cstheme="majorBidi"/>
                <w:color w:val="000000"/>
                <w:sz w:val="22"/>
                <w:szCs w:val="22"/>
              </w:rPr>
            </w:pPr>
          </w:p>
        </w:tc>
        <w:tc>
          <w:tcPr>
            <w:tcW w:w="840" w:type="dxa"/>
            <w:shd w:val="clear" w:color="auto" w:fill="F2F2F2" w:themeFill="background1" w:themeFillShade="F2"/>
            <w:vAlign w:val="center"/>
          </w:tcPr>
          <w:p w14:paraId="6155A27C"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r>
      <w:tr w:rsidR="00935B07" w:rsidRPr="00C56B3D" w14:paraId="5846651B" w14:textId="77777777" w:rsidTr="00935B07">
        <w:trPr>
          <w:trHeight w:val="432"/>
          <w:jc w:val="center"/>
        </w:trPr>
        <w:tc>
          <w:tcPr>
            <w:tcW w:w="3009" w:type="dxa"/>
            <w:shd w:val="clear" w:color="auto" w:fill="auto"/>
            <w:vAlign w:val="center"/>
            <w:hideMark/>
          </w:tcPr>
          <w:p w14:paraId="279246C9" w14:textId="77777777" w:rsidR="00935B07" w:rsidRPr="00C56B3D" w:rsidRDefault="00935B07" w:rsidP="00935B07">
            <w:pPr>
              <w:rPr>
                <w:rFonts w:asciiTheme="majorBidi" w:hAnsiTheme="majorBidi" w:cstheme="majorBidi"/>
                <w:color w:val="000000"/>
                <w:sz w:val="22"/>
                <w:szCs w:val="22"/>
              </w:rPr>
            </w:pPr>
            <w:proofErr w:type="spellStart"/>
            <w:r w:rsidRPr="00C56B3D">
              <w:rPr>
                <w:rFonts w:asciiTheme="majorBidi" w:hAnsiTheme="majorBidi" w:cstheme="majorBidi"/>
                <w:color w:val="000000"/>
                <w:sz w:val="22"/>
                <w:szCs w:val="22"/>
              </w:rPr>
              <w:t>Giardina</w:t>
            </w:r>
            <w:proofErr w:type="spellEnd"/>
            <w:r w:rsidRPr="00C56B3D">
              <w:rPr>
                <w:rFonts w:asciiTheme="majorBidi" w:hAnsiTheme="majorBidi" w:cstheme="majorBidi"/>
                <w:color w:val="000000"/>
                <w:sz w:val="22"/>
                <w:szCs w:val="22"/>
              </w:rPr>
              <w:t xml:space="preserve"> et al, 2018</w:t>
            </w:r>
            <w:r w:rsidRPr="00C56B3D">
              <w:rPr>
                <w:rFonts w:asciiTheme="majorBidi" w:hAnsiTheme="majorBidi" w:cstheme="majorBidi"/>
                <w:sz w:val="22"/>
                <w:szCs w:val="22"/>
              </w:rPr>
              <w:fldChar w:fldCharType="begin"/>
            </w:r>
            <w:r w:rsidRPr="00C56B3D">
              <w:rPr>
                <w:rFonts w:asciiTheme="majorBidi" w:hAnsiTheme="majorBidi" w:cstheme="majorBidi"/>
                <w:sz w:val="22"/>
                <w:szCs w:val="22"/>
              </w:rPr>
              <w:instrText xml:space="preserve"> ADDIN ZOTERO_ITEM CSL_CITATION {"citationID":"SRmxoPxh","properties":{"formattedCitation":"\\super 28\\nosupersub{}","plainCitation":"28","noteIndex":0},"citationItems":[{"id":4386,"uris":["http://zotero.org/users/6494345/items/6XCQXYTM"],"uri":["http://zotero.org/users/6494345/items/6XCQXYTM"],"itemData":{"id":4386,"type":"article-journal","abstract":"Diagnostic error research has largely focused on individual clinicians’ decision making and system design, while overlooking information from patients. We analyzed a unique new data source of patient- and family-reported error narratives to explore factors that contribute to diagnostic errors. From reports of adverse medical events submitted in the period January 2010–February 2016, we identified 184 unique patient narratives of diagnostic error. Problems related to patient-physician interactions emerged as major contributors. Our analysis identified 224 instances of behavioral and interpersonal factors that reflected unprofessional clinician behavior, including ignoring patients’ knowledge, disrespecting patients, failing to communicate, and manipulation or deception. Patients’ perspectives can lead to a more comprehensive understanding of why diagnostic errors occur and help develop strategies for mitigation. Health systems should develop and implement formal programs to collect patients’ experiences with the diagnostic process and use these data to promote an organizational culture that strives to reduce harm from diagnostic error.","container-title":"Health Affairs","DOI":"10.1377/hlthaff.2018.0698","ISSN":"0278-2715","issue":"11","journalAbbreviation":"Health Affairs","note":"publisher: Health Affairs","page":"1821-1827","source":"healthaffairs.org (Atypon)","title":"Learning From Patients’ Experiences Related To Diagnostic Errors Is Essential For Progress In Patient Safety","URL":"https://www.healthaffairs.org/doi/full/10.1377/hlthaff.2018.0698","volume":"37","author":[{"family":"Giardina","given":"Traber Davis"},{"family":"Haskell","given":"Helen"},{"family":"Menon","given":"Shailaja"},{"family":"Hallisy","given":"Julia"},{"family":"Southwick","given":"Frederick S."},{"family":"Sarkar","given":"Urmimala"},{"family":"Royse","given":"Kathryn E."},{"family":"Singh","given":"Hardeep"}],"accessed":{"date-parts":[["2020",4,17]]},"issued":{"date-parts":[["2018",11,1]]}}}],"schema":"https://github.com/citation-style-language/schema/raw/master/csl-citation.json"} </w:instrText>
            </w:r>
            <w:r w:rsidRPr="00C56B3D">
              <w:rPr>
                <w:rFonts w:asciiTheme="majorBidi" w:hAnsiTheme="majorBidi" w:cstheme="majorBidi"/>
                <w:sz w:val="22"/>
                <w:szCs w:val="22"/>
              </w:rPr>
              <w:fldChar w:fldCharType="separate"/>
            </w:r>
            <w:r w:rsidRPr="00C56B3D">
              <w:rPr>
                <w:rFonts w:asciiTheme="majorBidi" w:hAnsiTheme="majorBidi" w:cstheme="majorBidi"/>
                <w:sz w:val="22"/>
                <w:szCs w:val="22"/>
                <w:vertAlign w:val="superscript"/>
              </w:rPr>
              <w:t>28</w:t>
            </w:r>
            <w:r w:rsidRPr="00C56B3D">
              <w:rPr>
                <w:rFonts w:asciiTheme="majorBidi" w:hAnsiTheme="majorBidi" w:cstheme="majorBidi"/>
                <w:sz w:val="22"/>
                <w:szCs w:val="22"/>
              </w:rPr>
              <w:fldChar w:fldCharType="end"/>
            </w:r>
            <w:r w:rsidRPr="00C56B3D">
              <w:rPr>
                <w:rFonts w:asciiTheme="majorBidi" w:hAnsiTheme="majorBidi" w:cstheme="majorBidi"/>
                <w:color w:val="000000"/>
                <w:sz w:val="22"/>
                <w:szCs w:val="22"/>
                <w:vertAlign w:val="superscript"/>
              </w:rPr>
              <w:t xml:space="preserve"> </w:t>
            </w:r>
          </w:p>
        </w:tc>
        <w:tc>
          <w:tcPr>
            <w:tcW w:w="1512" w:type="dxa"/>
            <w:vAlign w:val="center"/>
          </w:tcPr>
          <w:p w14:paraId="31B2674F" w14:textId="77777777" w:rsidR="00935B07" w:rsidRPr="00C56B3D" w:rsidRDefault="00935B07" w:rsidP="00935B07">
            <w:pPr>
              <w:jc w:val="center"/>
              <w:rPr>
                <w:rFonts w:asciiTheme="majorBidi" w:hAnsiTheme="majorBidi" w:cstheme="majorBidi"/>
                <w:color w:val="000000"/>
                <w:sz w:val="22"/>
                <w:szCs w:val="22"/>
              </w:rPr>
            </w:pPr>
          </w:p>
        </w:tc>
        <w:tc>
          <w:tcPr>
            <w:tcW w:w="889" w:type="dxa"/>
            <w:vAlign w:val="center"/>
          </w:tcPr>
          <w:p w14:paraId="243216D2"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1573" w:type="dxa"/>
            <w:vAlign w:val="center"/>
          </w:tcPr>
          <w:p w14:paraId="30A236F4" w14:textId="77777777" w:rsidR="00935B07" w:rsidRPr="00C56B3D" w:rsidRDefault="00935B07" w:rsidP="00935B07">
            <w:pPr>
              <w:jc w:val="center"/>
              <w:rPr>
                <w:rFonts w:asciiTheme="majorBidi" w:hAnsiTheme="majorBidi" w:cstheme="majorBidi"/>
                <w:color w:val="000000"/>
                <w:sz w:val="22"/>
                <w:szCs w:val="22"/>
              </w:rPr>
            </w:pPr>
          </w:p>
        </w:tc>
        <w:tc>
          <w:tcPr>
            <w:tcW w:w="1072" w:type="dxa"/>
            <w:vAlign w:val="center"/>
          </w:tcPr>
          <w:p w14:paraId="5A22FF1D" w14:textId="77777777" w:rsidR="00935B07" w:rsidRPr="00C56B3D" w:rsidRDefault="00935B07" w:rsidP="00935B07">
            <w:pPr>
              <w:jc w:val="center"/>
              <w:rPr>
                <w:rFonts w:asciiTheme="majorBidi" w:hAnsiTheme="majorBidi" w:cstheme="majorBidi"/>
                <w:color w:val="000000"/>
                <w:sz w:val="22"/>
                <w:szCs w:val="22"/>
              </w:rPr>
            </w:pPr>
          </w:p>
        </w:tc>
        <w:tc>
          <w:tcPr>
            <w:tcW w:w="742" w:type="dxa"/>
            <w:shd w:val="clear" w:color="auto" w:fill="F2F2F2" w:themeFill="background1" w:themeFillShade="F2"/>
            <w:vAlign w:val="center"/>
          </w:tcPr>
          <w:p w14:paraId="0BA1D886"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913" w:type="dxa"/>
            <w:shd w:val="clear" w:color="auto" w:fill="F2F2F2" w:themeFill="background1" w:themeFillShade="F2"/>
            <w:vAlign w:val="center"/>
          </w:tcPr>
          <w:p w14:paraId="5AFC501D" w14:textId="77777777" w:rsidR="00935B07" w:rsidRPr="00C56B3D" w:rsidRDefault="00935B07" w:rsidP="00935B07">
            <w:pPr>
              <w:jc w:val="center"/>
              <w:rPr>
                <w:rFonts w:asciiTheme="majorBidi" w:hAnsiTheme="majorBidi" w:cstheme="majorBidi"/>
                <w:color w:val="000000"/>
                <w:sz w:val="22"/>
                <w:szCs w:val="22"/>
              </w:rPr>
            </w:pPr>
          </w:p>
        </w:tc>
        <w:tc>
          <w:tcPr>
            <w:tcW w:w="780" w:type="dxa"/>
            <w:shd w:val="clear" w:color="auto" w:fill="F2F2F2" w:themeFill="background1" w:themeFillShade="F2"/>
            <w:vAlign w:val="center"/>
          </w:tcPr>
          <w:p w14:paraId="1C9A54A9" w14:textId="77777777" w:rsidR="00935B07" w:rsidRPr="00C56B3D" w:rsidRDefault="00935B07" w:rsidP="00935B07">
            <w:pPr>
              <w:jc w:val="center"/>
              <w:rPr>
                <w:rFonts w:asciiTheme="majorBidi" w:hAnsiTheme="majorBidi" w:cstheme="majorBidi"/>
                <w:color w:val="000000"/>
                <w:sz w:val="22"/>
                <w:szCs w:val="22"/>
              </w:rPr>
            </w:pPr>
          </w:p>
        </w:tc>
        <w:tc>
          <w:tcPr>
            <w:tcW w:w="766" w:type="dxa"/>
            <w:shd w:val="clear" w:color="auto" w:fill="F2F2F2" w:themeFill="background1" w:themeFillShade="F2"/>
            <w:vAlign w:val="center"/>
          </w:tcPr>
          <w:p w14:paraId="67AE8EFD" w14:textId="77777777" w:rsidR="00935B07" w:rsidRPr="00C56B3D" w:rsidRDefault="00935B07" w:rsidP="00935B07">
            <w:pPr>
              <w:jc w:val="center"/>
              <w:rPr>
                <w:rFonts w:asciiTheme="majorBidi" w:hAnsiTheme="majorBidi" w:cstheme="majorBidi"/>
                <w:color w:val="000000"/>
                <w:sz w:val="22"/>
                <w:szCs w:val="22"/>
              </w:rPr>
            </w:pPr>
          </w:p>
        </w:tc>
        <w:tc>
          <w:tcPr>
            <w:tcW w:w="1144" w:type="dxa"/>
            <w:shd w:val="clear" w:color="auto" w:fill="F2F2F2" w:themeFill="background1" w:themeFillShade="F2"/>
            <w:vAlign w:val="center"/>
          </w:tcPr>
          <w:p w14:paraId="2EB07792" w14:textId="77777777" w:rsidR="00935B07" w:rsidRPr="00C56B3D" w:rsidRDefault="00935B07" w:rsidP="00935B07">
            <w:pPr>
              <w:jc w:val="center"/>
              <w:rPr>
                <w:rFonts w:asciiTheme="majorBidi" w:hAnsiTheme="majorBidi" w:cstheme="majorBidi"/>
                <w:color w:val="000000"/>
                <w:sz w:val="22"/>
                <w:szCs w:val="22"/>
              </w:rPr>
            </w:pPr>
          </w:p>
        </w:tc>
        <w:tc>
          <w:tcPr>
            <w:tcW w:w="840" w:type="dxa"/>
            <w:shd w:val="clear" w:color="auto" w:fill="F2F2F2" w:themeFill="background1" w:themeFillShade="F2"/>
            <w:vAlign w:val="center"/>
          </w:tcPr>
          <w:p w14:paraId="42E7F8F3" w14:textId="77777777" w:rsidR="00935B07" w:rsidRPr="00C56B3D" w:rsidRDefault="00935B07" w:rsidP="00935B07">
            <w:pPr>
              <w:jc w:val="center"/>
              <w:rPr>
                <w:rFonts w:asciiTheme="majorBidi" w:hAnsiTheme="majorBidi" w:cstheme="majorBidi"/>
                <w:color w:val="000000"/>
                <w:sz w:val="22"/>
                <w:szCs w:val="22"/>
              </w:rPr>
            </w:pPr>
          </w:p>
        </w:tc>
      </w:tr>
      <w:tr w:rsidR="00935B07" w:rsidRPr="00C56B3D" w14:paraId="15FEDFCB" w14:textId="77777777" w:rsidTr="00935B07">
        <w:trPr>
          <w:trHeight w:val="432"/>
          <w:jc w:val="center"/>
        </w:trPr>
        <w:tc>
          <w:tcPr>
            <w:tcW w:w="3009" w:type="dxa"/>
            <w:shd w:val="clear" w:color="auto" w:fill="auto"/>
            <w:vAlign w:val="center"/>
            <w:hideMark/>
          </w:tcPr>
          <w:p w14:paraId="1FA1AD0E" w14:textId="77777777" w:rsidR="00935B07" w:rsidRPr="00C56B3D" w:rsidRDefault="00935B07" w:rsidP="00935B07">
            <w:pPr>
              <w:rPr>
                <w:rFonts w:asciiTheme="majorBidi" w:hAnsiTheme="majorBidi" w:cstheme="majorBidi"/>
                <w:color w:val="000000"/>
                <w:sz w:val="22"/>
                <w:szCs w:val="22"/>
              </w:rPr>
            </w:pPr>
            <w:proofErr w:type="spellStart"/>
            <w:r w:rsidRPr="00C56B3D">
              <w:rPr>
                <w:rFonts w:asciiTheme="majorBidi" w:hAnsiTheme="majorBidi" w:cstheme="majorBidi"/>
                <w:color w:val="000000"/>
                <w:sz w:val="22"/>
                <w:szCs w:val="22"/>
              </w:rPr>
              <w:t>Giardina</w:t>
            </w:r>
            <w:proofErr w:type="spellEnd"/>
            <w:r w:rsidRPr="00C56B3D">
              <w:rPr>
                <w:rFonts w:asciiTheme="majorBidi" w:hAnsiTheme="majorBidi" w:cstheme="majorBidi"/>
                <w:color w:val="000000"/>
                <w:sz w:val="22"/>
                <w:szCs w:val="22"/>
              </w:rPr>
              <w:t xml:space="preserve"> et al, 2021</w:t>
            </w:r>
            <w:r w:rsidRPr="00C56B3D">
              <w:rPr>
                <w:rFonts w:asciiTheme="majorBidi" w:hAnsiTheme="majorBidi" w:cstheme="majorBidi"/>
                <w:color w:val="000000"/>
                <w:sz w:val="22"/>
                <w:szCs w:val="22"/>
                <w:vertAlign w:val="superscript"/>
              </w:rPr>
              <w:t>33</w:t>
            </w:r>
            <w:r w:rsidRPr="00C56B3D">
              <w:rPr>
                <w:rFonts w:asciiTheme="majorBidi" w:hAnsiTheme="majorBidi" w:cstheme="majorBidi"/>
                <w:color w:val="000000"/>
                <w:sz w:val="22"/>
                <w:szCs w:val="22"/>
              </w:rPr>
              <w:t xml:space="preserve"> </w:t>
            </w:r>
          </w:p>
        </w:tc>
        <w:tc>
          <w:tcPr>
            <w:tcW w:w="1512" w:type="dxa"/>
            <w:vAlign w:val="center"/>
          </w:tcPr>
          <w:p w14:paraId="1878A950" w14:textId="77777777" w:rsidR="00935B07" w:rsidRPr="00C56B3D" w:rsidRDefault="00935B07" w:rsidP="00935B07">
            <w:pPr>
              <w:jc w:val="center"/>
              <w:rPr>
                <w:rFonts w:asciiTheme="majorBidi" w:hAnsiTheme="majorBidi" w:cstheme="majorBidi"/>
                <w:color w:val="000000"/>
                <w:sz w:val="22"/>
                <w:szCs w:val="22"/>
              </w:rPr>
            </w:pPr>
          </w:p>
        </w:tc>
        <w:tc>
          <w:tcPr>
            <w:tcW w:w="889" w:type="dxa"/>
            <w:vAlign w:val="center"/>
          </w:tcPr>
          <w:p w14:paraId="68041084"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1573" w:type="dxa"/>
            <w:vAlign w:val="center"/>
          </w:tcPr>
          <w:p w14:paraId="7EFA8977" w14:textId="77777777" w:rsidR="00935B07" w:rsidRPr="00C56B3D" w:rsidRDefault="00935B07" w:rsidP="00935B07">
            <w:pPr>
              <w:jc w:val="center"/>
              <w:rPr>
                <w:rFonts w:asciiTheme="majorBidi" w:hAnsiTheme="majorBidi" w:cstheme="majorBidi"/>
                <w:color w:val="000000"/>
                <w:sz w:val="22"/>
                <w:szCs w:val="22"/>
              </w:rPr>
            </w:pPr>
          </w:p>
        </w:tc>
        <w:tc>
          <w:tcPr>
            <w:tcW w:w="1072" w:type="dxa"/>
            <w:vAlign w:val="center"/>
          </w:tcPr>
          <w:p w14:paraId="6C78A18C" w14:textId="77777777" w:rsidR="00935B07" w:rsidRPr="00C56B3D" w:rsidRDefault="00935B07" w:rsidP="00935B07">
            <w:pPr>
              <w:jc w:val="center"/>
              <w:rPr>
                <w:rFonts w:asciiTheme="majorBidi" w:hAnsiTheme="majorBidi" w:cstheme="majorBidi"/>
                <w:color w:val="000000"/>
                <w:sz w:val="22"/>
                <w:szCs w:val="22"/>
              </w:rPr>
            </w:pPr>
          </w:p>
        </w:tc>
        <w:tc>
          <w:tcPr>
            <w:tcW w:w="742" w:type="dxa"/>
            <w:shd w:val="clear" w:color="auto" w:fill="F2F2F2" w:themeFill="background1" w:themeFillShade="F2"/>
            <w:vAlign w:val="center"/>
          </w:tcPr>
          <w:p w14:paraId="6ADA79DC"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913" w:type="dxa"/>
            <w:shd w:val="clear" w:color="auto" w:fill="F2F2F2" w:themeFill="background1" w:themeFillShade="F2"/>
            <w:vAlign w:val="center"/>
          </w:tcPr>
          <w:p w14:paraId="5A81CC74" w14:textId="77777777" w:rsidR="00935B07" w:rsidRPr="00C56B3D" w:rsidRDefault="00935B07" w:rsidP="00935B07">
            <w:pPr>
              <w:jc w:val="center"/>
              <w:rPr>
                <w:rFonts w:asciiTheme="majorBidi" w:hAnsiTheme="majorBidi" w:cstheme="majorBidi"/>
                <w:color w:val="000000"/>
                <w:sz w:val="22"/>
                <w:szCs w:val="22"/>
              </w:rPr>
            </w:pPr>
          </w:p>
        </w:tc>
        <w:tc>
          <w:tcPr>
            <w:tcW w:w="780" w:type="dxa"/>
            <w:shd w:val="clear" w:color="auto" w:fill="F2F2F2" w:themeFill="background1" w:themeFillShade="F2"/>
            <w:vAlign w:val="center"/>
          </w:tcPr>
          <w:p w14:paraId="408D6EC2"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766" w:type="dxa"/>
            <w:shd w:val="clear" w:color="auto" w:fill="F2F2F2" w:themeFill="background1" w:themeFillShade="F2"/>
            <w:vAlign w:val="center"/>
          </w:tcPr>
          <w:p w14:paraId="0CDEE28B" w14:textId="77777777" w:rsidR="00935B07" w:rsidRPr="00C56B3D" w:rsidRDefault="00935B07" w:rsidP="00935B07">
            <w:pPr>
              <w:jc w:val="center"/>
              <w:rPr>
                <w:rFonts w:asciiTheme="majorBidi" w:hAnsiTheme="majorBidi" w:cstheme="majorBidi"/>
                <w:color w:val="000000"/>
                <w:sz w:val="22"/>
                <w:szCs w:val="22"/>
              </w:rPr>
            </w:pPr>
          </w:p>
        </w:tc>
        <w:tc>
          <w:tcPr>
            <w:tcW w:w="1144" w:type="dxa"/>
            <w:shd w:val="clear" w:color="auto" w:fill="F2F2F2" w:themeFill="background1" w:themeFillShade="F2"/>
            <w:vAlign w:val="center"/>
          </w:tcPr>
          <w:p w14:paraId="5DA5AEB5" w14:textId="77777777" w:rsidR="00935B07" w:rsidRPr="00C56B3D" w:rsidRDefault="00935B07" w:rsidP="00935B07">
            <w:pPr>
              <w:jc w:val="center"/>
              <w:rPr>
                <w:rFonts w:asciiTheme="majorBidi" w:hAnsiTheme="majorBidi" w:cstheme="majorBidi"/>
                <w:color w:val="000000"/>
                <w:sz w:val="22"/>
                <w:szCs w:val="22"/>
              </w:rPr>
            </w:pPr>
          </w:p>
        </w:tc>
        <w:tc>
          <w:tcPr>
            <w:tcW w:w="840" w:type="dxa"/>
            <w:shd w:val="clear" w:color="auto" w:fill="F2F2F2" w:themeFill="background1" w:themeFillShade="F2"/>
            <w:vAlign w:val="center"/>
          </w:tcPr>
          <w:p w14:paraId="382C4925" w14:textId="77777777" w:rsidR="00935B07" w:rsidRPr="00C56B3D" w:rsidRDefault="00935B07" w:rsidP="00935B07">
            <w:pPr>
              <w:jc w:val="center"/>
              <w:rPr>
                <w:rFonts w:asciiTheme="majorBidi" w:hAnsiTheme="majorBidi" w:cstheme="majorBidi"/>
                <w:color w:val="000000"/>
                <w:sz w:val="22"/>
                <w:szCs w:val="22"/>
              </w:rPr>
            </w:pPr>
          </w:p>
        </w:tc>
      </w:tr>
      <w:tr w:rsidR="00935B07" w:rsidRPr="00C56B3D" w14:paraId="6ADC67E2" w14:textId="77777777" w:rsidTr="00935B07">
        <w:trPr>
          <w:trHeight w:val="432"/>
          <w:jc w:val="center"/>
        </w:trPr>
        <w:tc>
          <w:tcPr>
            <w:tcW w:w="3009" w:type="dxa"/>
            <w:shd w:val="clear" w:color="auto" w:fill="auto"/>
            <w:vAlign w:val="center"/>
            <w:hideMark/>
          </w:tcPr>
          <w:p w14:paraId="6DDC2FEE" w14:textId="77777777" w:rsidR="00935B07" w:rsidRPr="00C56B3D" w:rsidRDefault="00935B07" w:rsidP="00935B07">
            <w:pPr>
              <w:rPr>
                <w:rFonts w:asciiTheme="majorBidi" w:hAnsiTheme="majorBidi" w:cstheme="majorBidi"/>
                <w:color w:val="000000"/>
                <w:sz w:val="22"/>
                <w:szCs w:val="22"/>
              </w:rPr>
            </w:pPr>
            <w:r w:rsidRPr="00C56B3D">
              <w:rPr>
                <w:rFonts w:asciiTheme="majorBidi" w:hAnsiTheme="majorBidi" w:cstheme="majorBidi"/>
                <w:color w:val="000000"/>
                <w:sz w:val="22"/>
                <w:szCs w:val="22"/>
              </w:rPr>
              <w:t>Soleimani et al</w:t>
            </w:r>
            <w:r w:rsidRPr="00C56B3D">
              <w:rPr>
                <w:rFonts w:asciiTheme="majorBidi" w:hAnsiTheme="majorBidi" w:cstheme="majorBidi"/>
                <w:color w:val="000000"/>
                <w:sz w:val="22"/>
                <w:szCs w:val="22"/>
              </w:rPr>
              <w:fldChar w:fldCharType="begin"/>
            </w:r>
            <w:r w:rsidRPr="00C56B3D">
              <w:rPr>
                <w:rFonts w:asciiTheme="majorBidi" w:hAnsiTheme="majorBidi" w:cstheme="majorBidi"/>
                <w:color w:val="000000"/>
                <w:sz w:val="22"/>
                <w:szCs w:val="22"/>
              </w:rPr>
              <w:instrText xml:space="preserve"> ADDIN ZOTERO_ITEM CSL_CITATION {"citationID":"bRQag6Aq","properties":{"formattedCitation":"\\super 24\\nosupersub{}","plainCitation":"24","noteIndex":0},"citationItems":[{"id":5573,"uris":["http://zotero.org/users/6494345/items/X9V8HF4N"],"uri":["http://zotero.org/users/6494345/items/X9V8HF4N"],"itemData":{"id":5573,"type":"article-journal","abstract":"BACKGROUND: Although diagnostic error (DE) is a significant problem, it remains challenging for clinicians to identify it reliably and to recognize its contribution to the clinical trajectory of their patients. The purpose of this work was to evaluate the reliability of real-time electronic health record (EHR) reviews using a search strategy for the identification of DE as a contributor to the rapid response team (RRT) activation.\nOBJECTIVES: Early and accurate recognition of critical illness is of paramount importance. The objective of this study was to test the feasibility and reliability of prospective, real-time EHR reviews as a means of identification of DE.\nMETHODS: We conducted this prospective observational study in June 2019 and included consecutive adult patients experiencing their first RRT activation. An EHR search strategy and a standard operating procedure were refined based on the literature and expert clinician inputs. Two physician-investigators independently reviewed eligible patient EHRs for the evidence of DE within 24 hours after RRT activation. In cases of disagreement, a secondary review of the EHR using a taxonomy approach was applied. The reviewers categorized patient experience of DE as Yes/No/Uncertain.\nRESULTS: We reviewed 112 patient records. DE was identified in 15% of cases by both reviewers. Kappa agreement with the initial review was 0.23 and with the secondary review 0.65. No evidence of DE was detected in 60% of patients. In 25% of cases, the reviewers could not determine whether DE was present or absent.\nCONCLUSION: EHR review is of limited value in the real-time identification of DE in hospitalized patients. Alternative approaches are needed for research and quality improvement efforts in this field.","container-title":"Applied Clinical Informatics","DOI":"10.1055/s-0040-1713750","ISSN":"1869-0327","issue":"3","journalAbbreviation":"Appl Clin Inform","language":"eng","note":"PMID: 32668480\nPMCID: PMC7363482","page":"474-482","source":"PubMed","title":"Feasibility and Reliability Testing of Manual Electronic Health Record Reviews as a Tool for Timely Identification of Diagnostic Error in Patients at Risk","volume":"11","author":[{"family":"Soleimani","given":"Jalal"},{"family":"Pinevich","given":"Yuliya"},{"family":"Barwise","given":"Amelia K."},{"family":"Huang","given":"Chanyan"},{"family":"Dong","given":"Yue"},{"family":"Herasevich","given":"Vitaly"},{"family":"Gajic","given":"Ognjen"},{"family":"Pickering","given":"Brian W."}],"issued":{"date-parts":[["2020",5]]}}}],"schema":"https://github.com/citation-style-language/schema/raw/master/csl-citation.json"} </w:instrText>
            </w:r>
            <w:r w:rsidRPr="00C56B3D">
              <w:rPr>
                <w:rFonts w:asciiTheme="majorBidi" w:hAnsiTheme="majorBidi" w:cstheme="majorBidi"/>
                <w:color w:val="000000"/>
                <w:sz w:val="22"/>
                <w:szCs w:val="22"/>
              </w:rPr>
              <w:fldChar w:fldCharType="separate"/>
            </w:r>
            <w:r w:rsidRPr="00C56B3D">
              <w:rPr>
                <w:rFonts w:asciiTheme="majorBidi" w:hAnsiTheme="majorBidi" w:cstheme="majorBidi"/>
                <w:color w:val="000000"/>
                <w:sz w:val="22"/>
                <w:szCs w:val="22"/>
                <w:vertAlign w:val="superscript"/>
              </w:rPr>
              <w:t>24</w:t>
            </w:r>
            <w:r w:rsidRPr="00C56B3D">
              <w:rPr>
                <w:rFonts w:asciiTheme="majorBidi" w:hAnsiTheme="majorBidi" w:cstheme="majorBidi"/>
                <w:color w:val="000000"/>
                <w:sz w:val="22"/>
                <w:szCs w:val="22"/>
              </w:rPr>
              <w:fldChar w:fldCharType="end"/>
            </w:r>
            <w:r w:rsidRPr="00C56B3D">
              <w:rPr>
                <w:rFonts w:asciiTheme="majorBidi" w:hAnsiTheme="majorBidi" w:cstheme="majorBidi"/>
                <w:color w:val="000000"/>
                <w:sz w:val="22"/>
                <w:szCs w:val="22"/>
              </w:rPr>
              <w:t xml:space="preserve"> 2020</w:t>
            </w:r>
          </w:p>
        </w:tc>
        <w:tc>
          <w:tcPr>
            <w:tcW w:w="1512" w:type="dxa"/>
            <w:vAlign w:val="center"/>
          </w:tcPr>
          <w:p w14:paraId="3327BEB7" w14:textId="77777777" w:rsidR="00935B07" w:rsidRPr="00C56B3D" w:rsidRDefault="00935B07" w:rsidP="00935B07">
            <w:pPr>
              <w:jc w:val="center"/>
              <w:rPr>
                <w:rFonts w:asciiTheme="majorBidi" w:hAnsiTheme="majorBidi" w:cstheme="majorBidi"/>
                <w:color w:val="000000"/>
                <w:sz w:val="22"/>
                <w:szCs w:val="22"/>
              </w:rPr>
            </w:pPr>
          </w:p>
        </w:tc>
        <w:tc>
          <w:tcPr>
            <w:tcW w:w="889" w:type="dxa"/>
            <w:vAlign w:val="center"/>
          </w:tcPr>
          <w:p w14:paraId="16CC32B2" w14:textId="77777777" w:rsidR="00935B07" w:rsidRPr="00C56B3D" w:rsidRDefault="00935B07" w:rsidP="00935B07">
            <w:pPr>
              <w:jc w:val="center"/>
              <w:rPr>
                <w:rFonts w:asciiTheme="majorBidi" w:hAnsiTheme="majorBidi" w:cstheme="majorBidi"/>
                <w:color w:val="000000"/>
                <w:sz w:val="22"/>
                <w:szCs w:val="22"/>
              </w:rPr>
            </w:pPr>
          </w:p>
        </w:tc>
        <w:tc>
          <w:tcPr>
            <w:tcW w:w="1573" w:type="dxa"/>
            <w:vAlign w:val="center"/>
          </w:tcPr>
          <w:p w14:paraId="32C1A3B1"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1072" w:type="dxa"/>
            <w:vAlign w:val="center"/>
          </w:tcPr>
          <w:p w14:paraId="49B18CA6" w14:textId="77777777" w:rsidR="00935B07" w:rsidRPr="00C56B3D" w:rsidRDefault="00935B07" w:rsidP="00935B07">
            <w:pPr>
              <w:jc w:val="center"/>
              <w:rPr>
                <w:rFonts w:asciiTheme="majorBidi" w:hAnsiTheme="majorBidi" w:cstheme="majorBidi"/>
                <w:color w:val="000000"/>
                <w:sz w:val="22"/>
                <w:szCs w:val="22"/>
              </w:rPr>
            </w:pPr>
          </w:p>
        </w:tc>
        <w:tc>
          <w:tcPr>
            <w:tcW w:w="742" w:type="dxa"/>
            <w:shd w:val="clear" w:color="auto" w:fill="F2F2F2" w:themeFill="background1" w:themeFillShade="F2"/>
            <w:vAlign w:val="center"/>
          </w:tcPr>
          <w:p w14:paraId="3B6DA3DB" w14:textId="77777777" w:rsidR="00935B07" w:rsidRPr="00C56B3D" w:rsidRDefault="00935B07" w:rsidP="00935B07">
            <w:pPr>
              <w:jc w:val="center"/>
              <w:rPr>
                <w:rFonts w:asciiTheme="majorBidi" w:hAnsiTheme="majorBidi" w:cstheme="majorBidi"/>
                <w:color w:val="000000"/>
                <w:sz w:val="22"/>
                <w:szCs w:val="22"/>
              </w:rPr>
            </w:pPr>
          </w:p>
        </w:tc>
        <w:tc>
          <w:tcPr>
            <w:tcW w:w="913" w:type="dxa"/>
            <w:shd w:val="clear" w:color="auto" w:fill="F2F2F2" w:themeFill="background1" w:themeFillShade="F2"/>
            <w:vAlign w:val="center"/>
          </w:tcPr>
          <w:p w14:paraId="7833E372" w14:textId="77777777" w:rsidR="00935B07" w:rsidRPr="00C56B3D" w:rsidRDefault="00935B07" w:rsidP="00935B07">
            <w:pPr>
              <w:jc w:val="center"/>
              <w:rPr>
                <w:rFonts w:asciiTheme="majorBidi" w:hAnsiTheme="majorBidi" w:cstheme="majorBidi"/>
                <w:color w:val="000000"/>
                <w:sz w:val="22"/>
                <w:szCs w:val="22"/>
              </w:rPr>
            </w:pPr>
          </w:p>
        </w:tc>
        <w:tc>
          <w:tcPr>
            <w:tcW w:w="780" w:type="dxa"/>
            <w:shd w:val="clear" w:color="auto" w:fill="F2F2F2" w:themeFill="background1" w:themeFillShade="F2"/>
            <w:vAlign w:val="center"/>
          </w:tcPr>
          <w:p w14:paraId="79A972EA" w14:textId="77777777" w:rsidR="00935B07" w:rsidRPr="00C56B3D" w:rsidRDefault="00935B07" w:rsidP="00935B07">
            <w:pPr>
              <w:jc w:val="center"/>
              <w:rPr>
                <w:rFonts w:asciiTheme="majorBidi" w:hAnsiTheme="majorBidi" w:cstheme="majorBidi"/>
                <w:color w:val="000000"/>
                <w:sz w:val="22"/>
                <w:szCs w:val="22"/>
              </w:rPr>
            </w:pPr>
          </w:p>
        </w:tc>
        <w:tc>
          <w:tcPr>
            <w:tcW w:w="766" w:type="dxa"/>
            <w:shd w:val="clear" w:color="auto" w:fill="F2F2F2" w:themeFill="background1" w:themeFillShade="F2"/>
            <w:vAlign w:val="center"/>
          </w:tcPr>
          <w:p w14:paraId="74AA676D"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1144" w:type="dxa"/>
            <w:shd w:val="clear" w:color="auto" w:fill="F2F2F2" w:themeFill="background1" w:themeFillShade="F2"/>
            <w:vAlign w:val="center"/>
          </w:tcPr>
          <w:p w14:paraId="484EBA81" w14:textId="77777777" w:rsidR="00935B07" w:rsidRPr="00C56B3D" w:rsidRDefault="00935B07" w:rsidP="00935B07">
            <w:pPr>
              <w:jc w:val="center"/>
              <w:rPr>
                <w:rFonts w:asciiTheme="majorBidi" w:hAnsiTheme="majorBidi" w:cstheme="majorBidi"/>
                <w:color w:val="000000"/>
                <w:sz w:val="22"/>
                <w:szCs w:val="22"/>
              </w:rPr>
            </w:pPr>
          </w:p>
        </w:tc>
        <w:tc>
          <w:tcPr>
            <w:tcW w:w="840" w:type="dxa"/>
            <w:shd w:val="clear" w:color="auto" w:fill="F2F2F2" w:themeFill="background1" w:themeFillShade="F2"/>
            <w:vAlign w:val="center"/>
          </w:tcPr>
          <w:p w14:paraId="0F55D516"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r>
      <w:tr w:rsidR="00935B07" w:rsidRPr="00C56B3D" w14:paraId="5A391300" w14:textId="77777777" w:rsidTr="00935B07">
        <w:trPr>
          <w:trHeight w:val="432"/>
          <w:jc w:val="center"/>
        </w:trPr>
        <w:tc>
          <w:tcPr>
            <w:tcW w:w="3009" w:type="dxa"/>
            <w:shd w:val="clear" w:color="auto" w:fill="auto"/>
            <w:vAlign w:val="center"/>
            <w:hideMark/>
          </w:tcPr>
          <w:p w14:paraId="248A4077" w14:textId="77777777" w:rsidR="00935B07" w:rsidRPr="00C56B3D" w:rsidRDefault="00935B07" w:rsidP="00935B07">
            <w:pPr>
              <w:rPr>
                <w:rFonts w:asciiTheme="majorBidi" w:hAnsiTheme="majorBidi" w:cstheme="majorBidi"/>
                <w:color w:val="000000"/>
                <w:sz w:val="22"/>
                <w:szCs w:val="22"/>
              </w:rPr>
            </w:pPr>
            <w:r w:rsidRPr="00C56B3D">
              <w:rPr>
                <w:rFonts w:asciiTheme="majorBidi" w:hAnsiTheme="majorBidi" w:cstheme="majorBidi"/>
                <w:color w:val="000000"/>
                <w:sz w:val="22"/>
                <w:szCs w:val="22"/>
              </w:rPr>
              <w:t>Jayaprakash et al</w:t>
            </w:r>
            <w:r w:rsidRPr="00C56B3D">
              <w:rPr>
                <w:rFonts w:asciiTheme="majorBidi" w:hAnsiTheme="majorBidi" w:cstheme="majorBidi"/>
                <w:color w:val="000000"/>
                <w:sz w:val="22"/>
                <w:szCs w:val="22"/>
              </w:rPr>
              <w:fldChar w:fldCharType="begin"/>
            </w:r>
            <w:r w:rsidRPr="00C56B3D">
              <w:rPr>
                <w:rFonts w:asciiTheme="majorBidi" w:hAnsiTheme="majorBidi" w:cstheme="majorBidi"/>
                <w:color w:val="000000"/>
                <w:sz w:val="22"/>
                <w:szCs w:val="22"/>
              </w:rPr>
              <w:instrText xml:space="preserve"> ADDIN ZOTERO_ITEM CSL_CITATION {"citationID":"CT68fsNA","properties":{"formattedCitation":"\\super 32\\nosupersub{}","plainCitation":"32","noteIndex":0},"citationItems":[{"id":5579,"uris":["http://zotero.org/users/6494345/items/H25XXAGQ"],"uri":["http://zotero.org/users/6494345/items/H25XXAGQ"],"itemData":{"id":5579,"type":"article-journal","abstract":"Objective\nTo reliably improve diagnostic fidelity and identify delays using a standardized approach applied to the electronic medical records of patients with emerging critical illness.\nPatients and Methods\nThis retrospective observational study at Mayo Clinic, Rochester, Minnesota, conducted June 1, 2016, to June 30, 2017, used a standard operating procedure applied to electronic medical records to identify variations in diagnostic fidelity and/or delay in adult patients with a rapid response team evaluation, at risk for critical illness. Multivariate logistic regression analysis identified predictors and compared outcomes for those with and without varying diagnostic fidelity and/or delay.\nResults\nThe sample included 130 patients. Median age was 65 years (interquartile range, 56-76 years), and 47.0% (52 of 130) were women. Clinically significant diagnostic error or delay was agreed in 23 (17.7%) patients (κ=0.57; 95% CI, 0.40-0.74). Median age was 65.4 years (interquartile range, 60.3-74.8) and 9 of the 23 (30.1%) were female. Of those with diagnostic error or delay, 60.9% (14 of 23) died in the hospital compared with 19.6% (21 of 107) without; P&lt;.001. Diagnostic error or delay was associated with higher Charlson comorbidity index score, cardiac arrest triage score, and do not intubate/do not resuscitate status. Adjusting for age, do not intubate/do not resuscitate status, and Charlson comorbidity index score, diagnostic error or delay was associated with increased mortality; odds ratio, 5.7; 95% CI, 2.0-17.8.\nConclusion\nDiagnostic errors or delays can be reliably identified and are associated with higher comorbidity burden and increased mortality.","container-title":"Mayo Clinic Proceedings: Innovations, Quality &amp; Outcomes","DOI":"10.1016/j.mayocpiqo.2019.06.001","ISSN":"2542-4548","issue":"3","journalAbbreviation":"Mayo Clinic Proceedings: Innovations, Quality &amp; Outcomes","language":"en","page":"327-334","source":"ScienceDirect","title":"Improving Diagnostic Fidelity: An Approach to Standardizing the Process in Patients With Emerging Critical Illness","title-short":"Improving Diagnostic Fidelity","URL":"https://www.sciencedirect.com/science/article/pii/S2542454819300748","volume":"3","author":[{"family":"Jayaprakash","given":"Namita"},{"family":"Chae","given":"Junemee"},{"family":"Sabov","given":"Moldovan"},{"family":"Samavedam","given":"Sandhya"},{"family":"Gajic","given":"Ognjen"},{"family":"Pickering","given":"Brian W."}],"accessed":{"date-parts":[["2021",3,6]]},"issued":{"date-parts":[["2019",9,1]]}}}],"schema":"https://github.com/citation-style-language/schema/raw/master/csl-citation.json"} </w:instrText>
            </w:r>
            <w:r w:rsidRPr="00C56B3D">
              <w:rPr>
                <w:rFonts w:asciiTheme="majorBidi" w:hAnsiTheme="majorBidi" w:cstheme="majorBidi"/>
                <w:color w:val="000000"/>
                <w:sz w:val="22"/>
                <w:szCs w:val="22"/>
              </w:rPr>
              <w:fldChar w:fldCharType="separate"/>
            </w:r>
            <w:r w:rsidRPr="00C56B3D">
              <w:rPr>
                <w:rFonts w:asciiTheme="majorBidi" w:hAnsiTheme="majorBidi" w:cstheme="majorBidi"/>
                <w:color w:val="000000"/>
                <w:sz w:val="22"/>
                <w:szCs w:val="22"/>
                <w:vertAlign w:val="superscript"/>
              </w:rPr>
              <w:t>32</w:t>
            </w:r>
            <w:r w:rsidRPr="00C56B3D">
              <w:rPr>
                <w:rFonts w:asciiTheme="majorBidi" w:hAnsiTheme="majorBidi" w:cstheme="majorBidi"/>
                <w:color w:val="000000"/>
                <w:sz w:val="22"/>
                <w:szCs w:val="22"/>
              </w:rPr>
              <w:fldChar w:fldCharType="end"/>
            </w:r>
            <w:r w:rsidRPr="00C56B3D">
              <w:rPr>
                <w:rFonts w:asciiTheme="majorBidi" w:hAnsiTheme="majorBidi" w:cstheme="majorBidi"/>
                <w:color w:val="000000"/>
                <w:sz w:val="22"/>
                <w:szCs w:val="22"/>
              </w:rPr>
              <w:t xml:space="preserve"> 2019</w:t>
            </w:r>
          </w:p>
        </w:tc>
        <w:tc>
          <w:tcPr>
            <w:tcW w:w="1512" w:type="dxa"/>
            <w:vAlign w:val="center"/>
          </w:tcPr>
          <w:p w14:paraId="66D7D657" w14:textId="77777777" w:rsidR="00935B07" w:rsidRPr="00C56B3D" w:rsidRDefault="00935B07" w:rsidP="00935B07">
            <w:pPr>
              <w:jc w:val="center"/>
              <w:rPr>
                <w:rFonts w:asciiTheme="majorBidi" w:hAnsiTheme="majorBidi" w:cstheme="majorBidi"/>
                <w:color w:val="000000"/>
                <w:sz w:val="22"/>
                <w:szCs w:val="22"/>
              </w:rPr>
            </w:pPr>
          </w:p>
        </w:tc>
        <w:tc>
          <w:tcPr>
            <w:tcW w:w="889" w:type="dxa"/>
            <w:vAlign w:val="center"/>
          </w:tcPr>
          <w:p w14:paraId="0146C1E5" w14:textId="77777777" w:rsidR="00935B07" w:rsidRPr="00C56B3D" w:rsidRDefault="00935B07" w:rsidP="00935B07">
            <w:pPr>
              <w:jc w:val="center"/>
              <w:rPr>
                <w:rFonts w:asciiTheme="majorBidi" w:hAnsiTheme="majorBidi" w:cstheme="majorBidi"/>
                <w:color w:val="000000"/>
                <w:sz w:val="22"/>
                <w:szCs w:val="22"/>
              </w:rPr>
            </w:pPr>
          </w:p>
        </w:tc>
        <w:tc>
          <w:tcPr>
            <w:tcW w:w="1573" w:type="dxa"/>
            <w:vAlign w:val="center"/>
          </w:tcPr>
          <w:p w14:paraId="12890C17"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1072" w:type="dxa"/>
            <w:vAlign w:val="center"/>
          </w:tcPr>
          <w:p w14:paraId="2EA1940B" w14:textId="77777777" w:rsidR="00935B07" w:rsidRPr="00C56B3D" w:rsidRDefault="00935B07" w:rsidP="00935B07">
            <w:pPr>
              <w:jc w:val="center"/>
              <w:rPr>
                <w:rFonts w:asciiTheme="majorBidi" w:hAnsiTheme="majorBidi" w:cstheme="majorBidi"/>
                <w:color w:val="000000"/>
                <w:sz w:val="22"/>
                <w:szCs w:val="22"/>
              </w:rPr>
            </w:pPr>
          </w:p>
        </w:tc>
        <w:tc>
          <w:tcPr>
            <w:tcW w:w="742" w:type="dxa"/>
            <w:shd w:val="clear" w:color="auto" w:fill="F2F2F2" w:themeFill="background1" w:themeFillShade="F2"/>
            <w:vAlign w:val="center"/>
          </w:tcPr>
          <w:p w14:paraId="07B92621"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913" w:type="dxa"/>
            <w:shd w:val="clear" w:color="auto" w:fill="F2F2F2" w:themeFill="background1" w:themeFillShade="F2"/>
            <w:vAlign w:val="center"/>
          </w:tcPr>
          <w:p w14:paraId="64F87DB1" w14:textId="77777777" w:rsidR="00935B07" w:rsidRPr="00C56B3D" w:rsidRDefault="00935B07" w:rsidP="00935B07">
            <w:pPr>
              <w:jc w:val="center"/>
              <w:rPr>
                <w:rFonts w:asciiTheme="majorBidi" w:hAnsiTheme="majorBidi" w:cstheme="majorBidi"/>
                <w:color w:val="000000"/>
                <w:sz w:val="22"/>
                <w:szCs w:val="22"/>
              </w:rPr>
            </w:pPr>
          </w:p>
        </w:tc>
        <w:tc>
          <w:tcPr>
            <w:tcW w:w="780" w:type="dxa"/>
            <w:shd w:val="clear" w:color="auto" w:fill="F2F2F2" w:themeFill="background1" w:themeFillShade="F2"/>
            <w:vAlign w:val="center"/>
          </w:tcPr>
          <w:p w14:paraId="2BFACC40" w14:textId="77777777" w:rsidR="00935B07" w:rsidRPr="00C56B3D" w:rsidRDefault="00935B07" w:rsidP="00935B07">
            <w:pPr>
              <w:jc w:val="center"/>
              <w:rPr>
                <w:rFonts w:asciiTheme="majorBidi" w:hAnsiTheme="majorBidi" w:cstheme="majorBidi"/>
                <w:color w:val="000000"/>
                <w:sz w:val="22"/>
                <w:szCs w:val="22"/>
              </w:rPr>
            </w:pPr>
          </w:p>
        </w:tc>
        <w:tc>
          <w:tcPr>
            <w:tcW w:w="766" w:type="dxa"/>
            <w:shd w:val="clear" w:color="auto" w:fill="F2F2F2" w:themeFill="background1" w:themeFillShade="F2"/>
            <w:vAlign w:val="center"/>
          </w:tcPr>
          <w:p w14:paraId="4F7A866B" w14:textId="77777777" w:rsidR="00935B07" w:rsidRPr="00C56B3D" w:rsidRDefault="00935B07" w:rsidP="00935B07">
            <w:pPr>
              <w:jc w:val="center"/>
              <w:rPr>
                <w:rFonts w:asciiTheme="majorBidi" w:hAnsiTheme="majorBidi" w:cstheme="majorBidi"/>
                <w:color w:val="000000"/>
                <w:sz w:val="22"/>
                <w:szCs w:val="22"/>
              </w:rPr>
            </w:pPr>
          </w:p>
        </w:tc>
        <w:tc>
          <w:tcPr>
            <w:tcW w:w="1144" w:type="dxa"/>
            <w:shd w:val="clear" w:color="auto" w:fill="F2F2F2" w:themeFill="background1" w:themeFillShade="F2"/>
            <w:vAlign w:val="center"/>
          </w:tcPr>
          <w:p w14:paraId="2A83A88A" w14:textId="77777777" w:rsidR="00935B07" w:rsidRPr="00C56B3D" w:rsidRDefault="00935B07" w:rsidP="00935B07">
            <w:pPr>
              <w:jc w:val="center"/>
              <w:rPr>
                <w:rFonts w:asciiTheme="majorBidi" w:hAnsiTheme="majorBidi" w:cstheme="majorBidi"/>
                <w:color w:val="000000"/>
                <w:sz w:val="22"/>
                <w:szCs w:val="22"/>
              </w:rPr>
            </w:pPr>
          </w:p>
        </w:tc>
        <w:tc>
          <w:tcPr>
            <w:tcW w:w="840" w:type="dxa"/>
            <w:shd w:val="clear" w:color="auto" w:fill="F2F2F2" w:themeFill="background1" w:themeFillShade="F2"/>
            <w:vAlign w:val="center"/>
          </w:tcPr>
          <w:p w14:paraId="17E57EAB" w14:textId="77777777" w:rsidR="00935B07" w:rsidRPr="00C56B3D" w:rsidRDefault="00935B07" w:rsidP="00935B07">
            <w:pPr>
              <w:jc w:val="center"/>
              <w:rPr>
                <w:rFonts w:asciiTheme="majorBidi" w:hAnsiTheme="majorBidi" w:cstheme="majorBidi"/>
                <w:color w:val="000000"/>
                <w:sz w:val="22"/>
                <w:szCs w:val="22"/>
              </w:rPr>
            </w:pPr>
          </w:p>
        </w:tc>
      </w:tr>
      <w:tr w:rsidR="00935B07" w:rsidRPr="00C56B3D" w14:paraId="431DE44A" w14:textId="77777777" w:rsidTr="00935B07">
        <w:trPr>
          <w:trHeight w:val="432"/>
          <w:jc w:val="center"/>
        </w:trPr>
        <w:tc>
          <w:tcPr>
            <w:tcW w:w="3009" w:type="dxa"/>
            <w:shd w:val="clear" w:color="auto" w:fill="auto"/>
            <w:vAlign w:val="center"/>
            <w:hideMark/>
          </w:tcPr>
          <w:p w14:paraId="5A9ADFA2" w14:textId="77777777" w:rsidR="00935B07" w:rsidRPr="00C56B3D" w:rsidRDefault="00935B07" w:rsidP="00935B07">
            <w:pPr>
              <w:rPr>
                <w:rFonts w:asciiTheme="majorBidi" w:hAnsiTheme="majorBidi" w:cstheme="majorBidi"/>
                <w:color w:val="000000"/>
                <w:sz w:val="22"/>
                <w:szCs w:val="22"/>
              </w:rPr>
            </w:pPr>
            <w:r w:rsidRPr="00C56B3D">
              <w:rPr>
                <w:rFonts w:asciiTheme="majorBidi" w:hAnsiTheme="majorBidi" w:cstheme="majorBidi"/>
                <w:color w:val="000000"/>
                <w:sz w:val="22"/>
                <w:szCs w:val="22"/>
              </w:rPr>
              <w:t>Perry et al</w:t>
            </w:r>
            <w:r w:rsidRPr="00C56B3D">
              <w:rPr>
                <w:rFonts w:asciiTheme="majorBidi" w:hAnsiTheme="majorBidi" w:cstheme="majorBidi"/>
                <w:color w:val="000000"/>
                <w:sz w:val="22"/>
                <w:szCs w:val="22"/>
              </w:rPr>
              <w:fldChar w:fldCharType="begin"/>
            </w:r>
            <w:r w:rsidRPr="00C56B3D">
              <w:rPr>
                <w:rFonts w:asciiTheme="majorBidi" w:hAnsiTheme="majorBidi" w:cstheme="majorBidi"/>
                <w:color w:val="000000"/>
                <w:sz w:val="22"/>
                <w:szCs w:val="22"/>
              </w:rPr>
              <w:instrText xml:space="preserve"> ADDIN ZOTERO_ITEM CSL_CITATION {"citationID":"5NHcOd53","properties":{"formattedCitation":"\\super 31\\nosupersub{}","plainCitation":"31","noteIndex":0},"citationItems":[{"id":5582,"uris":["http://zotero.org/users/6494345/items/E6NPKYNP"],"uri":["http://zotero.org/users/6494345/items/E6NPKYNP"],"itemData":{"id":5582,"type":"article-journal","abstract":"Objective\nTo develop a diagnostic error index (DEI) aimed at providing a practical method to identify and measure serious diagnostic errors.\nStudy design\nA quality improvement (QI) study at a quaternary pediatric medical center. Five well-defined domains identified cases of potential diagnostic errors. Identified cases underwent an adjudication process by a multidisciplinary QI team to determine if a diagnostic error occurred. Confirmed diagnostic errors were then aggregated on the DEI. The primary outcome measure was the number of monthly diagnostic errors.\nResults\nFrom January 2017 through June 2019, 105 cases of diagnostic error were identified. Morbidity and mortality conferences, institutional root cause analyses, and an abdominal pain trigger tool were the most frequent domains for detecting diagnostic errors. Appendicitis, fractures, and nonaccidental trauma were the 3 most common diagnoses that were missed or had delayed identification.\nConclusions\nA QI initiative successfully created a pragmatic approach to identify and measure diagnostic errors by utilizing a DEI. The DEI established a framework to help guide future initiatives to reduce diagnostic errors.","container-title":"The Journal of Pediatrics","DOI":"10.1016/j.jpeds.2020.11.065","ISSN":"0022-3476","journalAbbreviation":"The Journal of Pediatrics","language":"en","source":"ScienceDirect","title":"The Diagnostic Error Index: A Quality Improvement Initiative to Identify and Measure Diagnostic Errors","title-short":"The Diagnostic Error Index","URL":"https://www.sciencedirect.com/science/article/pii/S0022347620314773","author":[{"family":"Perry","given":"Michael F."},{"family":"Melvin","given":"Jennifer E."},{"family":"Kasick","given":"Rena T."},{"family":"Kersey","given":"Kelly E."},{"family":"Scherzer","given":"Daniel J."},{"family":"Kamboj","given":"Manmohan K."},{"family":"Gajarski","given":"Robert J."},{"family":"Noritz","given":"Garey H."},{"family":"Bode","given":"Ryan S."},{"family":"Novak","given":"Kimberly J."},{"family":"Bennett","given":"Berkeley L."},{"family":"Hill","given":"Ivor D."},{"family":"Hoffman","given":"Jeffrey M."},{"family":"McClead","given":"Richard E."}],"accessed":{"date-parts":[["2021",3,6]]},"issued":{"date-parts":[["2020",12,7]]}}}],"schema":"https://github.com/citation-style-language/schema/raw/master/csl-citation.json"} </w:instrText>
            </w:r>
            <w:r w:rsidRPr="00C56B3D">
              <w:rPr>
                <w:rFonts w:asciiTheme="majorBidi" w:hAnsiTheme="majorBidi" w:cstheme="majorBidi"/>
                <w:color w:val="000000"/>
                <w:sz w:val="22"/>
                <w:szCs w:val="22"/>
              </w:rPr>
              <w:fldChar w:fldCharType="separate"/>
            </w:r>
            <w:r w:rsidRPr="00C56B3D">
              <w:rPr>
                <w:rFonts w:asciiTheme="majorBidi" w:hAnsiTheme="majorBidi" w:cstheme="majorBidi"/>
                <w:color w:val="000000"/>
                <w:sz w:val="22"/>
                <w:szCs w:val="22"/>
                <w:vertAlign w:val="superscript"/>
              </w:rPr>
              <w:t>31</w:t>
            </w:r>
            <w:r w:rsidRPr="00C56B3D">
              <w:rPr>
                <w:rFonts w:asciiTheme="majorBidi" w:hAnsiTheme="majorBidi" w:cstheme="majorBidi"/>
                <w:color w:val="000000"/>
                <w:sz w:val="22"/>
                <w:szCs w:val="22"/>
              </w:rPr>
              <w:fldChar w:fldCharType="end"/>
            </w:r>
            <w:r w:rsidRPr="00C56B3D">
              <w:rPr>
                <w:rFonts w:asciiTheme="majorBidi" w:hAnsiTheme="majorBidi" w:cstheme="majorBidi"/>
                <w:color w:val="000000"/>
                <w:sz w:val="22"/>
                <w:szCs w:val="22"/>
              </w:rPr>
              <w:t xml:space="preserve"> 2020</w:t>
            </w:r>
          </w:p>
        </w:tc>
        <w:tc>
          <w:tcPr>
            <w:tcW w:w="1512" w:type="dxa"/>
            <w:vAlign w:val="center"/>
          </w:tcPr>
          <w:p w14:paraId="028234A1" w14:textId="77777777" w:rsidR="00935B07" w:rsidRPr="00C56B3D" w:rsidRDefault="00935B07" w:rsidP="00935B07">
            <w:pPr>
              <w:jc w:val="center"/>
              <w:rPr>
                <w:rFonts w:asciiTheme="majorBidi" w:hAnsiTheme="majorBidi" w:cstheme="majorBidi"/>
                <w:color w:val="000000"/>
                <w:sz w:val="22"/>
                <w:szCs w:val="22"/>
              </w:rPr>
            </w:pPr>
          </w:p>
        </w:tc>
        <w:tc>
          <w:tcPr>
            <w:tcW w:w="889" w:type="dxa"/>
            <w:vAlign w:val="center"/>
          </w:tcPr>
          <w:p w14:paraId="5829B1BE" w14:textId="77777777" w:rsidR="00935B07" w:rsidRPr="00C56B3D" w:rsidRDefault="00935B07" w:rsidP="00935B07">
            <w:pPr>
              <w:jc w:val="center"/>
              <w:rPr>
                <w:rFonts w:asciiTheme="majorBidi" w:hAnsiTheme="majorBidi" w:cstheme="majorBidi"/>
                <w:color w:val="000000"/>
                <w:sz w:val="22"/>
                <w:szCs w:val="22"/>
              </w:rPr>
            </w:pPr>
          </w:p>
        </w:tc>
        <w:tc>
          <w:tcPr>
            <w:tcW w:w="1573" w:type="dxa"/>
            <w:vAlign w:val="center"/>
          </w:tcPr>
          <w:p w14:paraId="5294BB23"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1072" w:type="dxa"/>
            <w:vAlign w:val="center"/>
          </w:tcPr>
          <w:p w14:paraId="2EDC1AE3" w14:textId="77777777" w:rsidR="00935B07" w:rsidRPr="00C56B3D" w:rsidRDefault="00935B07" w:rsidP="00935B07">
            <w:pPr>
              <w:jc w:val="center"/>
              <w:rPr>
                <w:rFonts w:asciiTheme="majorBidi" w:hAnsiTheme="majorBidi" w:cstheme="majorBidi"/>
                <w:color w:val="000000"/>
                <w:sz w:val="22"/>
                <w:szCs w:val="22"/>
              </w:rPr>
            </w:pPr>
          </w:p>
        </w:tc>
        <w:tc>
          <w:tcPr>
            <w:tcW w:w="742" w:type="dxa"/>
            <w:shd w:val="clear" w:color="auto" w:fill="F2F2F2" w:themeFill="background1" w:themeFillShade="F2"/>
            <w:vAlign w:val="center"/>
          </w:tcPr>
          <w:p w14:paraId="4D0042E4" w14:textId="77777777" w:rsidR="00935B07" w:rsidRPr="00C56B3D" w:rsidRDefault="00935B07" w:rsidP="00935B07">
            <w:pPr>
              <w:jc w:val="center"/>
              <w:rPr>
                <w:rFonts w:asciiTheme="majorBidi" w:hAnsiTheme="majorBidi" w:cstheme="majorBidi"/>
                <w:color w:val="000000"/>
                <w:sz w:val="22"/>
                <w:szCs w:val="22"/>
              </w:rPr>
            </w:pPr>
            <w:r w:rsidRPr="00C56B3D">
              <w:rPr>
                <w:rFonts w:asciiTheme="majorBidi" w:hAnsiTheme="majorBidi" w:cstheme="majorBidi"/>
                <w:color w:val="000000"/>
                <w:sz w:val="22"/>
                <w:szCs w:val="22"/>
              </w:rPr>
              <w:t>X</w:t>
            </w:r>
          </w:p>
        </w:tc>
        <w:tc>
          <w:tcPr>
            <w:tcW w:w="913" w:type="dxa"/>
            <w:shd w:val="clear" w:color="auto" w:fill="F2F2F2" w:themeFill="background1" w:themeFillShade="F2"/>
            <w:vAlign w:val="center"/>
          </w:tcPr>
          <w:p w14:paraId="1E130929" w14:textId="77777777" w:rsidR="00935B07" w:rsidRPr="00C56B3D" w:rsidRDefault="00935B07" w:rsidP="00935B07">
            <w:pPr>
              <w:jc w:val="center"/>
              <w:rPr>
                <w:rFonts w:asciiTheme="majorBidi" w:hAnsiTheme="majorBidi" w:cstheme="majorBidi"/>
                <w:color w:val="000000"/>
                <w:sz w:val="22"/>
                <w:szCs w:val="22"/>
              </w:rPr>
            </w:pPr>
          </w:p>
        </w:tc>
        <w:tc>
          <w:tcPr>
            <w:tcW w:w="780" w:type="dxa"/>
            <w:shd w:val="clear" w:color="auto" w:fill="F2F2F2" w:themeFill="background1" w:themeFillShade="F2"/>
            <w:vAlign w:val="center"/>
          </w:tcPr>
          <w:p w14:paraId="5B5325B0" w14:textId="77777777" w:rsidR="00935B07" w:rsidRPr="00C56B3D" w:rsidRDefault="00935B07" w:rsidP="00935B07">
            <w:pPr>
              <w:jc w:val="center"/>
              <w:rPr>
                <w:rFonts w:asciiTheme="majorBidi" w:hAnsiTheme="majorBidi" w:cstheme="majorBidi"/>
                <w:color w:val="000000"/>
                <w:sz w:val="22"/>
                <w:szCs w:val="22"/>
              </w:rPr>
            </w:pPr>
          </w:p>
        </w:tc>
        <w:tc>
          <w:tcPr>
            <w:tcW w:w="766" w:type="dxa"/>
            <w:shd w:val="clear" w:color="auto" w:fill="F2F2F2" w:themeFill="background1" w:themeFillShade="F2"/>
            <w:vAlign w:val="center"/>
          </w:tcPr>
          <w:p w14:paraId="1FD9A8D5" w14:textId="77777777" w:rsidR="00935B07" w:rsidRPr="00C56B3D" w:rsidRDefault="00935B07" w:rsidP="00935B07">
            <w:pPr>
              <w:jc w:val="center"/>
              <w:rPr>
                <w:rFonts w:asciiTheme="majorBidi" w:hAnsiTheme="majorBidi" w:cstheme="majorBidi"/>
                <w:color w:val="000000"/>
                <w:sz w:val="22"/>
                <w:szCs w:val="22"/>
              </w:rPr>
            </w:pPr>
          </w:p>
        </w:tc>
        <w:tc>
          <w:tcPr>
            <w:tcW w:w="1144" w:type="dxa"/>
            <w:shd w:val="clear" w:color="auto" w:fill="F2F2F2" w:themeFill="background1" w:themeFillShade="F2"/>
            <w:vAlign w:val="center"/>
          </w:tcPr>
          <w:p w14:paraId="7C2EA953" w14:textId="77777777" w:rsidR="00935B07" w:rsidRPr="00C56B3D" w:rsidRDefault="00935B07" w:rsidP="00935B07">
            <w:pPr>
              <w:jc w:val="center"/>
              <w:rPr>
                <w:rFonts w:asciiTheme="majorBidi" w:hAnsiTheme="majorBidi" w:cstheme="majorBidi"/>
                <w:color w:val="000000"/>
                <w:sz w:val="22"/>
                <w:szCs w:val="22"/>
              </w:rPr>
            </w:pPr>
          </w:p>
        </w:tc>
        <w:tc>
          <w:tcPr>
            <w:tcW w:w="840" w:type="dxa"/>
            <w:shd w:val="clear" w:color="auto" w:fill="F2F2F2" w:themeFill="background1" w:themeFillShade="F2"/>
            <w:vAlign w:val="center"/>
          </w:tcPr>
          <w:p w14:paraId="2522CCF7" w14:textId="77777777" w:rsidR="00935B07" w:rsidRPr="00C56B3D" w:rsidRDefault="00935B07" w:rsidP="00935B07">
            <w:pPr>
              <w:jc w:val="center"/>
              <w:rPr>
                <w:rFonts w:asciiTheme="majorBidi" w:hAnsiTheme="majorBidi" w:cstheme="majorBidi"/>
                <w:color w:val="000000"/>
                <w:sz w:val="22"/>
                <w:szCs w:val="22"/>
              </w:rPr>
            </w:pPr>
          </w:p>
        </w:tc>
      </w:tr>
      <w:tr w:rsidR="00935B07" w:rsidRPr="00C56B3D" w14:paraId="1BDFB13F" w14:textId="77777777" w:rsidTr="00935B07">
        <w:trPr>
          <w:trHeight w:val="432"/>
          <w:jc w:val="center"/>
        </w:trPr>
        <w:tc>
          <w:tcPr>
            <w:tcW w:w="3009" w:type="dxa"/>
            <w:shd w:val="clear" w:color="auto" w:fill="auto"/>
            <w:vAlign w:val="center"/>
          </w:tcPr>
          <w:p w14:paraId="6CCBCC70" w14:textId="77777777" w:rsidR="00935B07" w:rsidRPr="00C56B3D" w:rsidRDefault="00935B07" w:rsidP="00935B07">
            <w:pPr>
              <w:rPr>
                <w:rFonts w:asciiTheme="majorBidi" w:hAnsiTheme="majorBidi" w:cstheme="majorBidi"/>
                <w:color w:val="000000"/>
                <w:sz w:val="22"/>
                <w:szCs w:val="22"/>
              </w:rPr>
            </w:pPr>
            <w:r w:rsidRPr="00C56B3D">
              <w:rPr>
                <w:rFonts w:asciiTheme="majorBidi" w:hAnsiTheme="majorBidi" w:cstheme="majorBidi"/>
                <w:sz w:val="22"/>
                <w:szCs w:val="22"/>
              </w:rPr>
              <w:t>Donner-</w:t>
            </w:r>
            <w:proofErr w:type="spellStart"/>
            <w:r w:rsidRPr="00C56B3D">
              <w:rPr>
                <w:rFonts w:asciiTheme="majorBidi" w:hAnsiTheme="majorBidi" w:cstheme="majorBidi"/>
                <w:sz w:val="22"/>
                <w:szCs w:val="22"/>
              </w:rPr>
              <w:t>Banzhoff</w:t>
            </w:r>
            <w:proofErr w:type="spellEnd"/>
            <w:r w:rsidRPr="00C56B3D">
              <w:rPr>
                <w:rFonts w:asciiTheme="majorBidi" w:hAnsiTheme="majorBidi" w:cstheme="majorBidi"/>
                <w:sz w:val="22"/>
                <w:szCs w:val="22"/>
              </w:rPr>
              <w:t xml:space="preserve"> et al</w:t>
            </w:r>
            <w:r w:rsidRPr="00C56B3D">
              <w:rPr>
                <w:rFonts w:asciiTheme="majorBidi" w:hAnsiTheme="majorBidi" w:cstheme="majorBidi"/>
                <w:sz w:val="22"/>
                <w:szCs w:val="22"/>
              </w:rPr>
              <w:fldChar w:fldCharType="begin"/>
            </w:r>
            <w:r w:rsidRPr="00C56B3D">
              <w:rPr>
                <w:rFonts w:asciiTheme="majorBidi" w:hAnsiTheme="majorBidi" w:cstheme="majorBidi"/>
                <w:sz w:val="22"/>
                <w:szCs w:val="22"/>
              </w:rPr>
              <w:instrText xml:space="preserve"> ADDIN ZOTERO_ITEM CSL_CITATION {"citationID":"O4ExgZdE","properties":{"formattedCitation":"\\super 27\\nosupersub{}","plainCitation":"27","noteIndex":0},"citationItems":[{"id":5586,"uris":["http://zotero.org/users/6494345/items/THMPTCQK"],"uri":["http://zotero.org/users/6494345/items/THMPTCQK"],"itemData":{"id":5586,"type":"article-journal","abstract":"Background Health professionals are encouraged to learn from their errors. Determining how primary care physicians (PCPs) react to a case, in which their original diagnosis differed from the final outcome, could provide new insights on how they learn from experiences. We explored how PCPs altered their diagnostic evaluation of future patients after cases where the originally assumed diagnosis turned out to be wrong. Methods We asked German PCPs to complete an online survey where they described how the patient concerned originally presented, the subsequent course of events and whether they would change their diagnostic work-up of future patients. Qualitative methods were used to analyze narrative text obtained by this survey. Results A total of 29 PCPs submitted cases, most of which were ultimately found to be more severe than originally assumed. PCPs (n = 27) reflected on changes to their subsequent clinical decisions in the form of general maxims (n = 20) or more specific rules (n = 11). Most changes would have resulted in a lower threshold for investigations, referral and/or a more extensive collection of diagnostic information. PCPs decided not only to listen more often to their intuition (gut feelings), but to also practice more analytical reasoning. Participants felt the need for change of practice even if no clinical standards had been violated in the diagnosis of that case. Some decided to resort to defensive strategies in the future. Conclusions We describe mechanisms by which physicians calibrate their decision thresholds, as well as their cognitive mode (intuitive vs. analytical). PCPs reported the need for change in clinical practice despite the absence of error in some cases.","container-title":"Diagnosis (Berlin, Germany)","DOI":"10.1515/dx-2019-0025","ISSN":"2194-802X","issue":"2","journalAbbreviation":"Diagnosis (Berl)","language":"eng","note":"PMID: 31647779","page":"115-121","source":"PubMed","title":"Thresholds, rules and defensive strategies: how physicians learn from their prior diagnosis-related experiences","title-short":"Thresholds, rules and defensive strategies","volume":"7","author":[{"family":"Donner-Banzhoff","given":"Norbert"},{"family":"Müller","given":"Beate"},{"family":"Beyer","given":"Martin"},{"family":"Haasenritter","given":"Jörg"},{"family":"Seifart","given":"Carola"}],"issued":{"date-parts":[["2020",5,26]]}}}],"schema":"https://github.com/citation-style-language/schema/raw/master/csl-citation.json"} </w:instrText>
            </w:r>
            <w:r w:rsidRPr="00C56B3D">
              <w:rPr>
                <w:rFonts w:asciiTheme="majorBidi" w:hAnsiTheme="majorBidi" w:cstheme="majorBidi"/>
                <w:sz w:val="22"/>
                <w:szCs w:val="22"/>
              </w:rPr>
              <w:fldChar w:fldCharType="separate"/>
            </w:r>
            <w:r w:rsidRPr="00C56B3D">
              <w:rPr>
                <w:rFonts w:asciiTheme="majorBidi" w:hAnsiTheme="majorBidi" w:cstheme="majorBidi"/>
                <w:sz w:val="22"/>
                <w:szCs w:val="22"/>
                <w:vertAlign w:val="superscript"/>
              </w:rPr>
              <w:t>27</w:t>
            </w:r>
            <w:r w:rsidRPr="00C56B3D">
              <w:rPr>
                <w:rFonts w:asciiTheme="majorBidi" w:hAnsiTheme="majorBidi" w:cstheme="majorBidi"/>
                <w:sz w:val="22"/>
                <w:szCs w:val="22"/>
              </w:rPr>
              <w:fldChar w:fldCharType="end"/>
            </w:r>
            <w:r w:rsidRPr="00C56B3D">
              <w:rPr>
                <w:rFonts w:asciiTheme="majorBidi" w:hAnsiTheme="majorBidi" w:cstheme="majorBidi"/>
                <w:sz w:val="22"/>
                <w:szCs w:val="22"/>
              </w:rPr>
              <w:t xml:space="preserve"> 2020</w:t>
            </w:r>
          </w:p>
        </w:tc>
        <w:tc>
          <w:tcPr>
            <w:tcW w:w="1512" w:type="dxa"/>
            <w:vAlign w:val="center"/>
          </w:tcPr>
          <w:p w14:paraId="616ED18E" w14:textId="77777777" w:rsidR="00935B07" w:rsidRPr="00C56B3D" w:rsidRDefault="00935B07" w:rsidP="00935B07">
            <w:pPr>
              <w:jc w:val="center"/>
              <w:rPr>
                <w:rFonts w:asciiTheme="majorBidi" w:hAnsiTheme="majorBidi" w:cstheme="majorBidi"/>
                <w:sz w:val="22"/>
                <w:szCs w:val="22"/>
              </w:rPr>
            </w:pPr>
          </w:p>
        </w:tc>
        <w:tc>
          <w:tcPr>
            <w:tcW w:w="889" w:type="dxa"/>
            <w:vAlign w:val="center"/>
          </w:tcPr>
          <w:p w14:paraId="736A31F0" w14:textId="77777777" w:rsidR="00935B07" w:rsidRPr="00C56B3D" w:rsidRDefault="00935B07" w:rsidP="00935B07">
            <w:pPr>
              <w:jc w:val="center"/>
              <w:rPr>
                <w:rFonts w:asciiTheme="majorBidi" w:hAnsiTheme="majorBidi" w:cstheme="majorBidi"/>
                <w:sz w:val="22"/>
                <w:szCs w:val="22"/>
              </w:rPr>
            </w:pPr>
          </w:p>
        </w:tc>
        <w:tc>
          <w:tcPr>
            <w:tcW w:w="1573" w:type="dxa"/>
            <w:vAlign w:val="center"/>
          </w:tcPr>
          <w:p w14:paraId="4C0ABFF8" w14:textId="77777777" w:rsidR="00935B07" w:rsidRPr="00C56B3D" w:rsidRDefault="00935B07" w:rsidP="00935B07">
            <w:pPr>
              <w:jc w:val="center"/>
              <w:rPr>
                <w:rFonts w:asciiTheme="majorBidi" w:hAnsiTheme="majorBidi" w:cstheme="majorBidi"/>
                <w:sz w:val="22"/>
                <w:szCs w:val="22"/>
              </w:rPr>
            </w:pPr>
          </w:p>
        </w:tc>
        <w:tc>
          <w:tcPr>
            <w:tcW w:w="1072" w:type="dxa"/>
            <w:vAlign w:val="center"/>
          </w:tcPr>
          <w:p w14:paraId="537369A1" w14:textId="77777777" w:rsidR="00935B07" w:rsidRPr="00C56B3D" w:rsidRDefault="00935B07" w:rsidP="00935B07">
            <w:pPr>
              <w:jc w:val="center"/>
              <w:rPr>
                <w:rFonts w:asciiTheme="majorBidi" w:hAnsiTheme="majorBidi" w:cstheme="majorBidi"/>
                <w:sz w:val="22"/>
                <w:szCs w:val="22"/>
              </w:rPr>
            </w:pPr>
            <w:r w:rsidRPr="00C56B3D">
              <w:rPr>
                <w:rFonts w:asciiTheme="majorBidi" w:hAnsiTheme="majorBidi" w:cstheme="majorBidi"/>
                <w:sz w:val="22"/>
                <w:szCs w:val="22"/>
              </w:rPr>
              <w:t>X</w:t>
            </w:r>
          </w:p>
        </w:tc>
        <w:tc>
          <w:tcPr>
            <w:tcW w:w="742" w:type="dxa"/>
            <w:shd w:val="clear" w:color="auto" w:fill="F2F2F2" w:themeFill="background1" w:themeFillShade="F2"/>
            <w:vAlign w:val="center"/>
          </w:tcPr>
          <w:p w14:paraId="0DA82BD8" w14:textId="77777777" w:rsidR="00935B07" w:rsidRPr="00C56B3D" w:rsidRDefault="00935B07" w:rsidP="00935B07">
            <w:pPr>
              <w:jc w:val="center"/>
              <w:rPr>
                <w:rFonts w:asciiTheme="majorBidi" w:hAnsiTheme="majorBidi" w:cstheme="majorBidi"/>
                <w:sz w:val="22"/>
                <w:szCs w:val="22"/>
              </w:rPr>
            </w:pPr>
          </w:p>
        </w:tc>
        <w:tc>
          <w:tcPr>
            <w:tcW w:w="913" w:type="dxa"/>
            <w:shd w:val="clear" w:color="auto" w:fill="F2F2F2" w:themeFill="background1" w:themeFillShade="F2"/>
            <w:vAlign w:val="center"/>
          </w:tcPr>
          <w:p w14:paraId="07A6B598" w14:textId="77777777" w:rsidR="00935B07" w:rsidRPr="00C56B3D" w:rsidRDefault="00935B07" w:rsidP="00935B07">
            <w:pPr>
              <w:jc w:val="center"/>
              <w:rPr>
                <w:rFonts w:asciiTheme="majorBidi" w:hAnsiTheme="majorBidi" w:cstheme="majorBidi"/>
                <w:sz w:val="22"/>
                <w:szCs w:val="22"/>
              </w:rPr>
            </w:pPr>
          </w:p>
        </w:tc>
        <w:tc>
          <w:tcPr>
            <w:tcW w:w="780" w:type="dxa"/>
            <w:shd w:val="clear" w:color="auto" w:fill="F2F2F2" w:themeFill="background1" w:themeFillShade="F2"/>
            <w:vAlign w:val="center"/>
          </w:tcPr>
          <w:p w14:paraId="21913D92" w14:textId="77777777" w:rsidR="00935B07" w:rsidRPr="00C56B3D" w:rsidRDefault="00935B07" w:rsidP="00935B07">
            <w:pPr>
              <w:jc w:val="center"/>
              <w:rPr>
                <w:rFonts w:asciiTheme="majorBidi" w:hAnsiTheme="majorBidi" w:cstheme="majorBidi"/>
                <w:sz w:val="22"/>
                <w:szCs w:val="22"/>
              </w:rPr>
            </w:pPr>
          </w:p>
        </w:tc>
        <w:tc>
          <w:tcPr>
            <w:tcW w:w="766" w:type="dxa"/>
            <w:shd w:val="clear" w:color="auto" w:fill="F2F2F2" w:themeFill="background1" w:themeFillShade="F2"/>
            <w:vAlign w:val="center"/>
          </w:tcPr>
          <w:p w14:paraId="5BF3CA1A" w14:textId="77777777" w:rsidR="00935B07" w:rsidRPr="00C56B3D" w:rsidRDefault="00935B07" w:rsidP="00935B07">
            <w:pPr>
              <w:jc w:val="center"/>
              <w:rPr>
                <w:rFonts w:asciiTheme="majorBidi" w:hAnsiTheme="majorBidi" w:cstheme="majorBidi"/>
                <w:sz w:val="22"/>
                <w:szCs w:val="22"/>
              </w:rPr>
            </w:pPr>
          </w:p>
        </w:tc>
        <w:tc>
          <w:tcPr>
            <w:tcW w:w="1144" w:type="dxa"/>
            <w:shd w:val="clear" w:color="auto" w:fill="F2F2F2" w:themeFill="background1" w:themeFillShade="F2"/>
            <w:vAlign w:val="center"/>
          </w:tcPr>
          <w:p w14:paraId="329D2CE6" w14:textId="77777777" w:rsidR="00935B07" w:rsidRPr="00C56B3D" w:rsidRDefault="00935B07" w:rsidP="00935B07">
            <w:pPr>
              <w:jc w:val="center"/>
              <w:rPr>
                <w:rFonts w:asciiTheme="majorBidi" w:hAnsiTheme="majorBidi" w:cstheme="majorBidi"/>
                <w:sz w:val="22"/>
                <w:szCs w:val="22"/>
              </w:rPr>
            </w:pPr>
          </w:p>
        </w:tc>
        <w:tc>
          <w:tcPr>
            <w:tcW w:w="840" w:type="dxa"/>
            <w:shd w:val="clear" w:color="auto" w:fill="F2F2F2" w:themeFill="background1" w:themeFillShade="F2"/>
            <w:vAlign w:val="center"/>
          </w:tcPr>
          <w:p w14:paraId="52D04B25" w14:textId="77777777" w:rsidR="00935B07" w:rsidRPr="00C56B3D" w:rsidRDefault="00935B07" w:rsidP="00935B07">
            <w:pPr>
              <w:jc w:val="center"/>
              <w:rPr>
                <w:rFonts w:asciiTheme="majorBidi" w:hAnsiTheme="majorBidi" w:cstheme="majorBidi"/>
                <w:sz w:val="22"/>
                <w:szCs w:val="22"/>
              </w:rPr>
            </w:pPr>
            <w:r w:rsidRPr="00C56B3D">
              <w:rPr>
                <w:rFonts w:asciiTheme="majorBidi" w:hAnsiTheme="majorBidi" w:cstheme="majorBidi"/>
                <w:sz w:val="22"/>
                <w:szCs w:val="22"/>
              </w:rPr>
              <w:t>X</w:t>
            </w:r>
          </w:p>
        </w:tc>
      </w:tr>
      <w:tr w:rsidR="00935B07" w:rsidRPr="00C56B3D" w14:paraId="55B53402" w14:textId="77777777" w:rsidTr="00935B07">
        <w:trPr>
          <w:trHeight w:val="432"/>
          <w:jc w:val="center"/>
        </w:trPr>
        <w:tc>
          <w:tcPr>
            <w:tcW w:w="3009" w:type="dxa"/>
            <w:shd w:val="clear" w:color="auto" w:fill="auto"/>
            <w:vAlign w:val="center"/>
          </w:tcPr>
          <w:p w14:paraId="6F9F7974" w14:textId="77777777" w:rsidR="00935B07" w:rsidRPr="00C56B3D" w:rsidRDefault="00935B07" w:rsidP="00935B07">
            <w:pPr>
              <w:rPr>
                <w:rFonts w:asciiTheme="majorBidi" w:hAnsiTheme="majorBidi" w:cstheme="majorBidi"/>
                <w:sz w:val="22"/>
                <w:szCs w:val="22"/>
              </w:rPr>
            </w:pPr>
            <w:r w:rsidRPr="00C56B3D">
              <w:rPr>
                <w:rFonts w:asciiTheme="majorBidi" w:hAnsiTheme="majorBidi" w:cstheme="majorBidi"/>
                <w:sz w:val="22"/>
                <w:szCs w:val="22"/>
              </w:rPr>
              <w:t>Matulis et al</w:t>
            </w:r>
            <w:r w:rsidRPr="00C56B3D">
              <w:rPr>
                <w:rFonts w:asciiTheme="majorBidi" w:hAnsiTheme="majorBidi" w:cstheme="majorBidi"/>
                <w:sz w:val="22"/>
                <w:szCs w:val="22"/>
              </w:rPr>
              <w:fldChar w:fldCharType="begin"/>
            </w:r>
            <w:r w:rsidRPr="00C56B3D">
              <w:rPr>
                <w:rFonts w:asciiTheme="majorBidi" w:hAnsiTheme="majorBidi" w:cstheme="majorBidi"/>
                <w:sz w:val="22"/>
                <w:szCs w:val="22"/>
              </w:rPr>
              <w:instrText xml:space="preserve"> ADDIN ZOTERO_ITEM CSL_CITATION {"citationID":"xFDI3j3M","properties":{"formattedCitation":"\\super 29\\nosupersub{}","plainCitation":"29","noteIndex":0},"citationItems":[{"id":5584,"uris":["http://zotero.org/users/6494345/items/7DUN9CGB"],"uri":["http://zotero.org/users/6494345/items/7DUN9CGB"],"itemData":{"id":5584,"type":"article-journal","abstract":"Background Little is known about how practicing Internal Medicine (IM) clinicians perceive diagnostic error, and whether perceptions are in agreement with the published literature. Methods A 16-question survey was administered across two IM practices: one a referral practice providing care for patients traveling for a second opinion and the other a traditional community-based primary care practice. Our aim was to identify individual- and system-level factors contributing to diagnostic error (primary outcome) and conditions at greatest risk of diagnostic error (secondary outcome). Results Sixty-five of 125 clinicians surveyed (51%) responded. The most commonly perceived individual factors contributing to diagnostic error included atypical patient presentations (83%), failure to consider other diagnoses (63%) and inadequate follow-up of test results (53%). The most commonly cited system-level factors included cognitive burden created by the volume of data in the electronic health record (EHR) (68%), lack of time to think (64%) and systems that do not support collaboration (40%). Conditions felt to be at greatest risk of diagnostic error included cancer (46%), pulmonary embolism (43%) and infection (37%). Conclusions Inadequate clinician time and sub-optimal patient and test follow-up are perceived by IM clinicians to be persistent contributors to diagnostic error. Clinician perceptions of conditions at greatest risk of diagnostic error may differ from the published literature.","container-title":"Diagnosis (Berlin, Germany)","DOI":"10.1515/dx-2019-0070","ISSN":"2194-802X","issue":"2","journalAbbreviation":"Diagnosis (Berl)","language":"eng","note":"PMID: 31913847","page":"107-114","source":"PubMed","title":"A survey of outpatient Internal Medicine clinician perceptions of diagnostic error","volume":"7","author":[{"family":"Matulis","given":"John C."},{"family":"Kok","given":"Susan N."},{"family":"Dankbar","given":"Eugene C."},{"family":"Majka","given":"Andrew J."}],"issued":{"date-parts":[["2020",5,26]]}}}],"schema":"https://github.com/citation-style-language/schema/raw/master/csl-citation.json"} </w:instrText>
            </w:r>
            <w:r w:rsidRPr="00C56B3D">
              <w:rPr>
                <w:rFonts w:asciiTheme="majorBidi" w:hAnsiTheme="majorBidi" w:cstheme="majorBidi"/>
                <w:sz w:val="22"/>
                <w:szCs w:val="22"/>
              </w:rPr>
              <w:fldChar w:fldCharType="separate"/>
            </w:r>
            <w:r w:rsidRPr="00C56B3D">
              <w:rPr>
                <w:rFonts w:asciiTheme="majorBidi" w:hAnsiTheme="majorBidi" w:cstheme="majorBidi"/>
                <w:sz w:val="22"/>
                <w:szCs w:val="22"/>
                <w:vertAlign w:val="superscript"/>
              </w:rPr>
              <w:t>29</w:t>
            </w:r>
            <w:r w:rsidRPr="00C56B3D">
              <w:rPr>
                <w:rFonts w:asciiTheme="majorBidi" w:hAnsiTheme="majorBidi" w:cstheme="majorBidi"/>
                <w:sz w:val="22"/>
                <w:szCs w:val="22"/>
              </w:rPr>
              <w:fldChar w:fldCharType="end"/>
            </w:r>
            <w:r w:rsidRPr="00C56B3D">
              <w:rPr>
                <w:rFonts w:asciiTheme="majorBidi" w:hAnsiTheme="majorBidi" w:cstheme="majorBidi"/>
                <w:sz w:val="22"/>
                <w:szCs w:val="22"/>
              </w:rPr>
              <w:t xml:space="preserve"> 2020</w:t>
            </w:r>
          </w:p>
        </w:tc>
        <w:tc>
          <w:tcPr>
            <w:tcW w:w="1512" w:type="dxa"/>
            <w:vAlign w:val="center"/>
          </w:tcPr>
          <w:p w14:paraId="5403407D" w14:textId="77777777" w:rsidR="00935B07" w:rsidRPr="00C56B3D" w:rsidRDefault="00935B07" w:rsidP="00935B07">
            <w:pPr>
              <w:jc w:val="center"/>
              <w:rPr>
                <w:rFonts w:asciiTheme="majorBidi" w:hAnsiTheme="majorBidi" w:cstheme="majorBidi"/>
                <w:sz w:val="22"/>
                <w:szCs w:val="22"/>
              </w:rPr>
            </w:pPr>
          </w:p>
        </w:tc>
        <w:tc>
          <w:tcPr>
            <w:tcW w:w="889" w:type="dxa"/>
            <w:vAlign w:val="center"/>
          </w:tcPr>
          <w:p w14:paraId="1BCDE43D" w14:textId="77777777" w:rsidR="00935B07" w:rsidRPr="00C56B3D" w:rsidRDefault="00935B07" w:rsidP="00935B07">
            <w:pPr>
              <w:jc w:val="center"/>
              <w:rPr>
                <w:rFonts w:asciiTheme="majorBidi" w:hAnsiTheme="majorBidi" w:cstheme="majorBidi"/>
                <w:sz w:val="22"/>
                <w:szCs w:val="22"/>
              </w:rPr>
            </w:pPr>
          </w:p>
        </w:tc>
        <w:tc>
          <w:tcPr>
            <w:tcW w:w="1573" w:type="dxa"/>
            <w:vAlign w:val="center"/>
          </w:tcPr>
          <w:p w14:paraId="44B9B00F" w14:textId="77777777" w:rsidR="00935B07" w:rsidRPr="00C56B3D" w:rsidRDefault="00935B07" w:rsidP="00935B07">
            <w:pPr>
              <w:jc w:val="center"/>
              <w:rPr>
                <w:rFonts w:asciiTheme="majorBidi" w:hAnsiTheme="majorBidi" w:cstheme="majorBidi"/>
                <w:sz w:val="22"/>
                <w:szCs w:val="22"/>
              </w:rPr>
            </w:pPr>
          </w:p>
        </w:tc>
        <w:tc>
          <w:tcPr>
            <w:tcW w:w="1072" w:type="dxa"/>
            <w:vAlign w:val="center"/>
          </w:tcPr>
          <w:p w14:paraId="22A3F642" w14:textId="77777777" w:rsidR="00935B07" w:rsidRPr="00C56B3D" w:rsidRDefault="00935B07" w:rsidP="00935B07">
            <w:pPr>
              <w:jc w:val="center"/>
              <w:rPr>
                <w:rFonts w:asciiTheme="majorBidi" w:hAnsiTheme="majorBidi" w:cstheme="majorBidi"/>
                <w:sz w:val="22"/>
                <w:szCs w:val="22"/>
              </w:rPr>
            </w:pPr>
            <w:r w:rsidRPr="00C56B3D">
              <w:rPr>
                <w:rFonts w:asciiTheme="majorBidi" w:hAnsiTheme="majorBidi" w:cstheme="majorBidi"/>
                <w:sz w:val="22"/>
                <w:szCs w:val="22"/>
              </w:rPr>
              <w:t>X</w:t>
            </w:r>
          </w:p>
        </w:tc>
        <w:tc>
          <w:tcPr>
            <w:tcW w:w="742" w:type="dxa"/>
            <w:shd w:val="clear" w:color="auto" w:fill="F2F2F2" w:themeFill="background1" w:themeFillShade="F2"/>
            <w:vAlign w:val="center"/>
          </w:tcPr>
          <w:p w14:paraId="072B0E68" w14:textId="77777777" w:rsidR="00935B07" w:rsidRPr="00C56B3D" w:rsidRDefault="00935B07" w:rsidP="00935B07">
            <w:pPr>
              <w:jc w:val="center"/>
              <w:rPr>
                <w:rFonts w:asciiTheme="majorBidi" w:hAnsiTheme="majorBidi" w:cstheme="majorBidi"/>
                <w:sz w:val="22"/>
                <w:szCs w:val="22"/>
              </w:rPr>
            </w:pPr>
            <w:r w:rsidRPr="00C56B3D">
              <w:rPr>
                <w:rFonts w:asciiTheme="majorBidi" w:hAnsiTheme="majorBidi" w:cstheme="majorBidi"/>
                <w:sz w:val="22"/>
                <w:szCs w:val="22"/>
              </w:rPr>
              <w:t>X</w:t>
            </w:r>
          </w:p>
        </w:tc>
        <w:tc>
          <w:tcPr>
            <w:tcW w:w="913" w:type="dxa"/>
            <w:shd w:val="clear" w:color="auto" w:fill="F2F2F2" w:themeFill="background1" w:themeFillShade="F2"/>
            <w:vAlign w:val="center"/>
          </w:tcPr>
          <w:p w14:paraId="19D469C0" w14:textId="77777777" w:rsidR="00935B07" w:rsidRPr="00C56B3D" w:rsidRDefault="00935B07" w:rsidP="00935B07">
            <w:pPr>
              <w:jc w:val="center"/>
              <w:rPr>
                <w:rFonts w:asciiTheme="majorBidi" w:hAnsiTheme="majorBidi" w:cstheme="majorBidi"/>
                <w:sz w:val="22"/>
                <w:szCs w:val="22"/>
              </w:rPr>
            </w:pPr>
          </w:p>
        </w:tc>
        <w:tc>
          <w:tcPr>
            <w:tcW w:w="780" w:type="dxa"/>
            <w:shd w:val="clear" w:color="auto" w:fill="F2F2F2" w:themeFill="background1" w:themeFillShade="F2"/>
            <w:vAlign w:val="center"/>
          </w:tcPr>
          <w:p w14:paraId="04E9A68C" w14:textId="77777777" w:rsidR="00935B07" w:rsidRPr="00C56B3D" w:rsidRDefault="00935B07" w:rsidP="00935B07">
            <w:pPr>
              <w:jc w:val="center"/>
              <w:rPr>
                <w:rFonts w:asciiTheme="majorBidi" w:hAnsiTheme="majorBidi" w:cstheme="majorBidi"/>
                <w:sz w:val="22"/>
                <w:szCs w:val="22"/>
              </w:rPr>
            </w:pPr>
          </w:p>
        </w:tc>
        <w:tc>
          <w:tcPr>
            <w:tcW w:w="766" w:type="dxa"/>
            <w:shd w:val="clear" w:color="auto" w:fill="F2F2F2" w:themeFill="background1" w:themeFillShade="F2"/>
            <w:vAlign w:val="center"/>
          </w:tcPr>
          <w:p w14:paraId="12A6FA64" w14:textId="77777777" w:rsidR="00935B07" w:rsidRPr="00C56B3D" w:rsidRDefault="00935B07" w:rsidP="00935B07">
            <w:pPr>
              <w:jc w:val="center"/>
              <w:rPr>
                <w:rFonts w:asciiTheme="majorBidi" w:hAnsiTheme="majorBidi" w:cstheme="majorBidi"/>
                <w:sz w:val="22"/>
                <w:szCs w:val="22"/>
              </w:rPr>
            </w:pPr>
          </w:p>
        </w:tc>
        <w:tc>
          <w:tcPr>
            <w:tcW w:w="1144" w:type="dxa"/>
            <w:shd w:val="clear" w:color="auto" w:fill="F2F2F2" w:themeFill="background1" w:themeFillShade="F2"/>
            <w:vAlign w:val="center"/>
          </w:tcPr>
          <w:p w14:paraId="2AE08447" w14:textId="77777777" w:rsidR="00935B07" w:rsidRPr="00C56B3D" w:rsidRDefault="00935B07" w:rsidP="00935B07">
            <w:pPr>
              <w:jc w:val="center"/>
              <w:rPr>
                <w:rFonts w:asciiTheme="majorBidi" w:hAnsiTheme="majorBidi" w:cstheme="majorBidi"/>
                <w:sz w:val="22"/>
                <w:szCs w:val="22"/>
              </w:rPr>
            </w:pPr>
          </w:p>
        </w:tc>
        <w:tc>
          <w:tcPr>
            <w:tcW w:w="840" w:type="dxa"/>
            <w:shd w:val="clear" w:color="auto" w:fill="F2F2F2" w:themeFill="background1" w:themeFillShade="F2"/>
            <w:vAlign w:val="center"/>
          </w:tcPr>
          <w:p w14:paraId="023F693E" w14:textId="77777777" w:rsidR="00935B07" w:rsidRPr="00C56B3D" w:rsidRDefault="00935B07" w:rsidP="00935B07">
            <w:pPr>
              <w:jc w:val="center"/>
              <w:rPr>
                <w:rFonts w:asciiTheme="majorBidi" w:hAnsiTheme="majorBidi" w:cstheme="majorBidi"/>
                <w:sz w:val="22"/>
                <w:szCs w:val="22"/>
              </w:rPr>
            </w:pPr>
          </w:p>
        </w:tc>
      </w:tr>
    </w:tbl>
    <w:p w14:paraId="6B942D99" w14:textId="77777777" w:rsidR="007E6E67" w:rsidRDefault="00935B07"/>
    <w:sectPr w:rsidR="007E6E67" w:rsidSect="00935B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utura Medium">
    <w:altName w:val="﷽﷽﷽﷽﷽"/>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6409F"/>
    <w:multiLevelType w:val="hybridMultilevel"/>
    <w:tmpl w:val="E3BA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07"/>
    <w:rsid w:val="000C4074"/>
    <w:rsid w:val="0012056D"/>
    <w:rsid w:val="00297441"/>
    <w:rsid w:val="00336322"/>
    <w:rsid w:val="00362ECB"/>
    <w:rsid w:val="00402A38"/>
    <w:rsid w:val="004B2422"/>
    <w:rsid w:val="005150CA"/>
    <w:rsid w:val="006758C5"/>
    <w:rsid w:val="007403EB"/>
    <w:rsid w:val="007C1BD0"/>
    <w:rsid w:val="00880089"/>
    <w:rsid w:val="008F21F0"/>
    <w:rsid w:val="00935B07"/>
    <w:rsid w:val="00972BEA"/>
    <w:rsid w:val="009964B6"/>
    <w:rsid w:val="00A41453"/>
    <w:rsid w:val="00A50082"/>
    <w:rsid w:val="00B12CCE"/>
    <w:rsid w:val="00B82440"/>
    <w:rsid w:val="00C56CF8"/>
    <w:rsid w:val="00CF4E95"/>
    <w:rsid w:val="00D976E5"/>
    <w:rsid w:val="00E15456"/>
    <w:rsid w:val="00E77651"/>
    <w:rsid w:val="00EB2AEB"/>
    <w:rsid w:val="00F2427D"/>
    <w:rsid w:val="00F50CD0"/>
    <w:rsid w:val="00FA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DD37"/>
  <w15:chartTrackingRefBased/>
  <w15:docId w15:val="{F7522639-F1FB-BA4D-878A-21158B9A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B07"/>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935B07"/>
    <w:pPr>
      <w:keepNext/>
      <w:keepLines/>
      <w:spacing w:before="240" w:after="240"/>
      <w:outlineLvl w:val="0"/>
    </w:pPr>
    <w:rPr>
      <w:rFonts w:ascii="Futura Medium" w:hAnsi="Futura Medium" w:cs="Futura Medium"/>
      <w:b/>
      <w:color w:val="000000"/>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B07"/>
    <w:rPr>
      <w:rFonts w:ascii="Futura Medium" w:eastAsia="Times New Roman" w:hAnsi="Futura Medium" w:cs="Futura Medium"/>
      <w:b/>
      <w:color w:val="000000"/>
      <w:sz w:val="32"/>
      <w:szCs w:val="32"/>
      <w:lang w:eastAsia="x-none"/>
    </w:rPr>
  </w:style>
  <w:style w:type="paragraph" w:styleId="ListParagraph">
    <w:name w:val="List Paragraph"/>
    <w:basedOn w:val="Normal"/>
    <w:uiPriority w:val="34"/>
    <w:qFormat/>
    <w:rsid w:val="00935B07"/>
    <w:pPr>
      <w:ind w:left="720"/>
      <w:contextualSpacing/>
    </w:pPr>
    <w:rPr>
      <w:rFonts w:ascii="Calibri" w:eastAsia="Calibri" w:hAnsi="Calibri"/>
      <w:lang w:eastAsia="en-US"/>
    </w:rPr>
  </w:style>
  <w:style w:type="character" w:styleId="LineNumber">
    <w:name w:val="line number"/>
    <w:basedOn w:val="DefaultParagraphFont"/>
    <w:uiPriority w:val="99"/>
    <w:semiHidden/>
    <w:unhideWhenUsed/>
    <w:rsid w:val="0093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7138</Words>
  <Characters>40691</Characters>
  <Application>Microsoft Office Word</Application>
  <DocSecurity>0</DocSecurity>
  <Lines>339</Lines>
  <Paragraphs>95</Paragraphs>
  <ScaleCrop>false</ScaleCrop>
  <Company/>
  <LinksUpToDate>false</LinksUpToDate>
  <CharactersWithSpaces>47734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Taylor Magdalene</dc:creator>
  <cp:keywords/>
  <dc:description/>
  <cp:lastModifiedBy>Scott, Taylor Magdalene</cp:lastModifiedBy>
  <cp:revision>1</cp:revision>
  <dcterms:created xsi:type="dcterms:W3CDTF">2021-08-04T19:43:00Z</dcterms:created>
  <dcterms:modified xsi:type="dcterms:W3CDTF">2021-08-04T19:45:00Z</dcterms:modified>
</cp:coreProperties>
</file>