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DFB9F" w14:textId="703D0285" w:rsidR="0057068A" w:rsidRDefault="0057068A" w:rsidP="0057068A">
      <w:pPr>
        <w:pStyle w:val="MainText"/>
        <w:rPr>
          <w:u w:val="single"/>
        </w:rPr>
      </w:pPr>
      <w:r>
        <w:rPr>
          <w:u w:val="single"/>
        </w:rPr>
        <w:t xml:space="preserve">Appendix 1 </w:t>
      </w:r>
      <w:r w:rsidRPr="0099606F">
        <w:rPr>
          <w:u w:val="single"/>
        </w:rPr>
        <w:t xml:space="preserve">– Prevalence of Primary Outcomes </w:t>
      </w:r>
    </w:p>
    <w:p w14:paraId="163AE6DE" w14:textId="77777777" w:rsidR="0057068A" w:rsidRPr="00087DF6" w:rsidRDefault="0057068A" w:rsidP="0057068A">
      <w:pPr>
        <w:pStyle w:val="MainText"/>
        <w:numPr>
          <w:ilvl w:val="0"/>
          <w:numId w:val="1"/>
        </w:numPr>
        <w:spacing w:after="0" w:line="276" w:lineRule="auto"/>
        <w:rPr>
          <w:u w:val="single"/>
        </w:rPr>
      </w:pPr>
      <w:r>
        <w:t>Age</w:t>
      </w:r>
    </w:p>
    <w:p w14:paraId="6CB79FE6" w14:textId="77777777" w:rsidR="0057068A" w:rsidRDefault="0057068A" w:rsidP="0057068A">
      <w:pPr>
        <w:pStyle w:val="MainText"/>
        <w:spacing w:after="0" w:line="240" w:lineRule="auto"/>
      </w:pPr>
      <w:r w:rsidRPr="0099606F">
        <w:rPr>
          <w:noProof/>
          <w:lang w:eastAsia="en-GB"/>
        </w:rPr>
        <w:drawing>
          <wp:inline distT="0" distB="0" distL="0" distR="0" wp14:anchorId="638528D9" wp14:editId="067D053F">
            <wp:extent cx="5760000" cy="3420000"/>
            <wp:effectExtent l="0" t="0" r="1270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070C68A" w14:textId="77777777" w:rsidR="0057068A" w:rsidRPr="0099606F" w:rsidRDefault="0057068A" w:rsidP="0057068A">
      <w:pPr>
        <w:pStyle w:val="MainText"/>
        <w:numPr>
          <w:ilvl w:val="0"/>
          <w:numId w:val="1"/>
        </w:numPr>
        <w:spacing w:after="0" w:line="276" w:lineRule="auto"/>
        <w:rPr>
          <w:u w:val="single"/>
        </w:rPr>
      </w:pPr>
      <w:r>
        <w:t>BMI</w:t>
      </w:r>
    </w:p>
    <w:p w14:paraId="517D5FB8" w14:textId="77777777" w:rsidR="0057068A" w:rsidRPr="0099606F" w:rsidRDefault="0057068A" w:rsidP="0057068A">
      <w:pPr>
        <w:pStyle w:val="MainText"/>
        <w:spacing w:after="0" w:line="240" w:lineRule="auto"/>
      </w:pPr>
      <w:r w:rsidRPr="0099606F">
        <w:rPr>
          <w:noProof/>
          <w:lang w:eastAsia="en-GB"/>
        </w:rPr>
        <w:drawing>
          <wp:inline distT="0" distB="0" distL="0" distR="0" wp14:anchorId="053EF165" wp14:editId="5ABF694F">
            <wp:extent cx="5760000" cy="3420000"/>
            <wp:effectExtent l="0" t="0" r="1270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3AB0EEA" w14:textId="45AAD01F" w:rsidR="008417C5" w:rsidRDefault="008417C5">
      <w:pPr>
        <w:rPr>
          <w:rFonts w:ascii="Arial" w:hAnsi="Arial" w:cs="Arial"/>
          <w:i/>
          <w:u w:val="single"/>
        </w:rPr>
      </w:pPr>
    </w:p>
    <w:p w14:paraId="44FEFDB8" w14:textId="1DA42245" w:rsidR="00353D02" w:rsidRDefault="00353D02" w:rsidP="00D2153D">
      <w:pPr>
        <w:rPr>
          <w:rFonts w:ascii="Arial" w:hAnsi="Arial" w:cs="Arial"/>
          <w:i/>
        </w:rPr>
      </w:pPr>
      <w:r w:rsidRPr="00D2153D">
        <w:rPr>
          <w:rFonts w:ascii="Arial" w:hAnsi="Arial" w:cs="Arial"/>
          <w:i/>
        </w:rPr>
        <w:t>This figure shows the prevalence of KOA outcome, namely knee pain (green), radiographic KOA (blue), and total knee replacement (yellow), by</w:t>
      </w:r>
      <w:r w:rsidR="00D2153D">
        <w:rPr>
          <w:rFonts w:ascii="Arial" w:hAnsi="Arial" w:cs="Arial"/>
          <w:i/>
        </w:rPr>
        <w:t xml:space="preserve"> (a)</w:t>
      </w:r>
      <w:r w:rsidRPr="00D2153D">
        <w:rPr>
          <w:rFonts w:ascii="Arial" w:hAnsi="Arial" w:cs="Arial"/>
          <w:i/>
        </w:rPr>
        <w:t xml:space="preserve"> age</w:t>
      </w:r>
      <w:r w:rsidR="00D2153D">
        <w:rPr>
          <w:rFonts w:ascii="Arial" w:hAnsi="Arial" w:cs="Arial"/>
          <w:i/>
        </w:rPr>
        <w:t>,</w:t>
      </w:r>
      <w:r w:rsidRPr="00D2153D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D2153D">
        <w:rPr>
          <w:rFonts w:ascii="Arial" w:hAnsi="Arial" w:cs="Arial"/>
          <w:i/>
        </w:rPr>
        <w:t>and (b) BMI</w:t>
      </w:r>
    </w:p>
    <w:sectPr w:rsidR="00353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A06"/>
    <w:multiLevelType w:val="hybridMultilevel"/>
    <w:tmpl w:val="A1EC69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58BE"/>
    <w:multiLevelType w:val="hybridMultilevel"/>
    <w:tmpl w:val="12D4AD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8A"/>
    <w:rsid w:val="00353D02"/>
    <w:rsid w:val="0057068A"/>
    <w:rsid w:val="008417C5"/>
    <w:rsid w:val="00D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576D"/>
  <w15:chartTrackingRefBased/>
  <w15:docId w15:val="{971D5CD0-A2DC-4B6F-9C73-C91CD41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_MainText"/>
    <w:basedOn w:val="Normal"/>
    <w:link w:val="MainTextChar"/>
    <w:qFormat/>
    <w:rsid w:val="0057068A"/>
    <w:pPr>
      <w:spacing w:after="240" w:line="480" w:lineRule="auto"/>
      <w:jc w:val="both"/>
    </w:pPr>
    <w:rPr>
      <w:rFonts w:ascii="Arial" w:hAnsi="Arial" w:cs="Arial"/>
      <w:szCs w:val="24"/>
    </w:rPr>
  </w:style>
  <w:style w:type="character" w:customStyle="1" w:styleId="MainTextChar">
    <w:name w:val="_MainText Char"/>
    <w:basedOn w:val="DefaultParagraphFont"/>
    <w:link w:val="MainText"/>
    <w:rsid w:val="0057068A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35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764de70a369a769/%5eN%20PhD/Presentations/2016-11-20%20-%20ACR%20Washington/Graph%20on%20prevalen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bxsp\Documents\OneDrive\%23%20PhD\%23Publications\Risk%20Factors\Graphs%20for%20pap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200" b="1"/>
              <a:t>Prevalence of Primary Outcomes by Age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Knee Pain</c:v>
                </c:pt>
              </c:strCache>
            </c:strRef>
          </c:tx>
          <c:spPr>
            <a:ln w="9525" cap="rnd">
              <a:solidFill>
                <a:schemeClr val="accent6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Sheet2!$J$2:$J$6</c:f>
                <c:numCache>
                  <c:formatCode>General</c:formatCode>
                  <c:ptCount val="5"/>
                  <c:pt idx="0">
                    <c:v>5.3949843260188075</c:v>
                  </c:pt>
                  <c:pt idx="1">
                    <c:v>5.2181818181818187</c:v>
                  </c:pt>
                  <c:pt idx="2">
                    <c:v>5.7305084745762755</c:v>
                  </c:pt>
                  <c:pt idx="3">
                    <c:v>6.8231884057971044</c:v>
                  </c:pt>
                  <c:pt idx="4">
                    <c:v>14.023529411764713</c:v>
                  </c:pt>
                </c:numCache>
              </c:numRef>
            </c:plus>
            <c:minus>
              <c:numRef>
                <c:f>Sheet2!$I$2:$I$6</c:f>
                <c:numCache>
                  <c:formatCode>General</c:formatCode>
                  <c:ptCount val="5"/>
                  <c:pt idx="0">
                    <c:v>5.5050156739811911</c:v>
                  </c:pt>
                  <c:pt idx="1">
                    <c:v>5.3818181818181827</c:v>
                  </c:pt>
                  <c:pt idx="2">
                    <c:v>5.669491525423723</c:v>
                  </c:pt>
                  <c:pt idx="3">
                    <c:v>6.6768115942028956</c:v>
                  </c:pt>
                  <c:pt idx="4">
                    <c:v>12.67647058823529</c:v>
                  </c:pt>
                </c:numCache>
              </c:numRef>
            </c:minus>
            <c:spPr>
              <a:noFill/>
              <a:ln w="15875" cap="sq" cmpd="sng" algn="ctr">
                <a:solidFill>
                  <a:schemeClr val="accent6"/>
                </a:solidFill>
                <a:round/>
              </a:ln>
              <a:effectLst/>
            </c:spPr>
          </c:errBars>
          <c:cat>
            <c:strRef>
              <c:f>Sheet1!$A$4:$A$8</c:f>
              <c:strCache>
                <c:ptCount val="5"/>
                <c:pt idx="0">
                  <c:v>40 - 49</c:v>
                </c:pt>
                <c:pt idx="1">
                  <c:v>50 - 59</c:v>
                </c:pt>
                <c:pt idx="2">
                  <c:v>60 - 69</c:v>
                </c:pt>
                <c:pt idx="3">
                  <c:v>70 - 79</c:v>
                </c:pt>
                <c:pt idx="4">
                  <c:v>80 +</c:v>
                </c:pt>
              </c:strCache>
            </c:strRef>
          </c:cat>
          <c:val>
            <c:numRef>
              <c:f>Sheet2!$D$2:$D$6</c:f>
              <c:numCache>
                <c:formatCode>0.0</c:formatCode>
                <c:ptCount val="5"/>
                <c:pt idx="0">
                  <c:v>53.605015673981192</c:v>
                </c:pt>
                <c:pt idx="1">
                  <c:v>58.18181818181818</c:v>
                </c:pt>
                <c:pt idx="2">
                  <c:v>50.169491525423723</c:v>
                </c:pt>
                <c:pt idx="3">
                  <c:v>46.376811594202898</c:v>
                </c:pt>
                <c:pt idx="4">
                  <c:v>41.17647058823529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A0F0-425F-857B-E8C54AFB2E99}"/>
            </c:ext>
          </c:extLst>
        </c:ser>
        <c:ser>
          <c:idx val="1"/>
          <c:order val="1"/>
          <c:tx>
            <c:strRef>
              <c:f>Sheet2!$B$9</c:f>
              <c:strCache>
                <c:ptCount val="1"/>
                <c:pt idx="0">
                  <c:v>RKOA (NLDA)</c:v>
                </c:pt>
              </c:strCache>
            </c:strRef>
          </c:tx>
          <c:spPr>
            <a:ln w="9525" cap="rnd">
              <a:solidFill>
                <a:schemeClr val="accent5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5"/>
              </a:solidFill>
              <a:ln w="15875">
                <a:solidFill>
                  <a:schemeClr val="accent5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Sheet2!$J$10:$J$14</c:f>
                <c:numCache>
                  <c:formatCode>General</c:formatCode>
                  <c:ptCount val="5"/>
                  <c:pt idx="0">
                    <c:v>8.792063492063491</c:v>
                  </c:pt>
                  <c:pt idx="1">
                    <c:v>6.7540540540540661</c:v>
                  </c:pt>
                  <c:pt idx="2">
                    <c:v>6.7333333333333343</c:v>
                  </c:pt>
                  <c:pt idx="3">
                    <c:v>8.7805970149253767</c:v>
                  </c:pt>
                  <c:pt idx="4">
                    <c:v>12.585714285714289</c:v>
                  </c:pt>
                </c:numCache>
              </c:numRef>
            </c:plus>
            <c:minus>
              <c:numRef>
                <c:f>Sheet2!$I$10:$I$14</c:f>
                <c:numCache>
                  <c:formatCode>General</c:formatCode>
                  <c:ptCount val="5"/>
                  <c:pt idx="0">
                    <c:v>8.0079365079365061</c:v>
                  </c:pt>
                  <c:pt idx="1">
                    <c:v>7.8459459459459353</c:v>
                  </c:pt>
                  <c:pt idx="2">
                    <c:v>8.4666666666666686</c:v>
                  </c:pt>
                  <c:pt idx="3">
                    <c:v>11.719402985074623</c:v>
                  </c:pt>
                  <c:pt idx="4">
                    <c:v>47.914285714285711</c:v>
                  </c:pt>
                </c:numCache>
              </c:numRef>
            </c:minus>
            <c:spPr>
              <a:noFill/>
              <a:ln w="15875" cap="sq" cmpd="sng" algn="ctr">
                <a:solidFill>
                  <a:schemeClr val="accent5"/>
                </a:solidFill>
                <a:round/>
              </a:ln>
              <a:effectLst/>
            </c:spPr>
          </c:errBars>
          <c:cat>
            <c:strRef>
              <c:f>Sheet1!$A$4:$A$8</c:f>
              <c:strCache>
                <c:ptCount val="5"/>
                <c:pt idx="0">
                  <c:v>40 - 49</c:v>
                </c:pt>
                <c:pt idx="1">
                  <c:v>50 - 59</c:v>
                </c:pt>
                <c:pt idx="2">
                  <c:v>60 - 69</c:v>
                </c:pt>
                <c:pt idx="3">
                  <c:v>70 - 79</c:v>
                </c:pt>
                <c:pt idx="4">
                  <c:v>80 +</c:v>
                </c:pt>
              </c:strCache>
            </c:strRef>
          </c:cat>
          <c:val>
            <c:numRef>
              <c:f>Sheet2!$D$10:$D$14</c:f>
              <c:numCache>
                <c:formatCode>0.0</c:formatCode>
                <c:ptCount val="5"/>
                <c:pt idx="0">
                  <c:v>36.507936507936506</c:v>
                </c:pt>
                <c:pt idx="1">
                  <c:v>70.945945945945937</c:v>
                </c:pt>
                <c:pt idx="2">
                  <c:v>76.666666666666671</c:v>
                </c:pt>
                <c:pt idx="3">
                  <c:v>76.119402985074629</c:v>
                </c:pt>
                <c:pt idx="4">
                  <c:v>85.714285714285708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A0F0-425F-857B-E8C54AFB2E99}"/>
            </c:ext>
          </c:extLst>
        </c:ser>
        <c:ser>
          <c:idx val="2"/>
          <c:order val="2"/>
          <c:tx>
            <c:strRef>
              <c:f>Sheet2!$B$17</c:f>
              <c:strCache>
                <c:ptCount val="1"/>
                <c:pt idx="0">
                  <c:v>TKR</c:v>
                </c:pt>
              </c:strCache>
            </c:strRef>
          </c:tx>
          <c:spPr>
            <a:ln w="952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Sheet2!$J$18:$J$22</c:f>
                <c:numCache>
                  <c:formatCode>General</c:formatCode>
                  <c:ptCount val="5"/>
                  <c:pt idx="0">
                    <c:v>2.0460815047021943</c:v>
                  </c:pt>
                  <c:pt idx="1">
                    <c:v>2.9484848484848483</c:v>
                  </c:pt>
                  <c:pt idx="2">
                    <c:v>4.8118644067796623</c:v>
                  </c:pt>
                  <c:pt idx="3">
                    <c:v>6.1439613526570049</c:v>
                  </c:pt>
                  <c:pt idx="4">
                    <c:v>14.06666666666667</c:v>
                  </c:pt>
                </c:numCache>
              </c:numRef>
            </c:plus>
            <c:minus>
              <c:numRef>
                <c:f>Sheet2!$I$18:$I$22</c:f>
                <c:numCache>
                  <c:formatCode>General</c:formatCode>
                  <c:ptCount val="5"/>
                  <c:pt idx="0">
                    <c:v>1.2039184952978055</c:v>
                  </c:pt>
                  <c:pt idx="1">
                    <c:v>1.9515151515151512</c:v>
                  </c:pt>
                  <c:pt idx="2">
                    <c:v>3.8881355932203387</c:v>
                  </c:pt>
                  <c:pt idx="3">
                    <c:v>5.0560386473429944</c:v>
                  </c:pt>
                  <c:pt idx="4">
                    <c:v>11.633333333333329</c:v>
                  </c:pt>
                </c:numCache>
              </c:numRef>
            </c:minus>
            <c:spPr>
              <a:noFill/>
              <a:ln w="15875" cap="sq" cmpd="sng" algn="ctr">
                <a:solidFill>
                  <a:schemeClr val="accent4"/>
                </a:solidFill>
                <a:round/>
              </a:ln>
              <a:effectLst/>
            </c:spPr>
          </c:errBars>
          <c:cat>
            <c:strRef>
              <c:f>Sheet1!$A$4:$A$8</c:f>
              <c:strCache>
                <c:ptCount val="5"/>
                <c:pt idx="0">
                  <c:v>40 - 49</c:v>
                </c:pt>
                <c:pt idx="1">
                  <c:v>50 - 59</c:v>
                </c:pt>
                <c:pt idx="2">
                  <c:v>60 - 69</c:v>
                </c:pt>
                <c:pt idx="3">
                  <c:v>70 - 79</c:v>
                </c:pt>
                <c:pt idx="4">
                  <c:v>80 +</c:v>
                </c:pt>
              </c:strCache>
            </c:strRef>
          </c:cat>
          <c:val>
            <c:numRef>
              <c:f>Sheet2!$D$18:$D$22</c:f>
              <c:numCache>
                <c:formatCode>0.0</c:formatCode>
                <c:ptCount val="5"/>
                <c:pt idx="0">
                  <c:v>1.2539184952978055</c:v>
                </c:pt>
                <c:pt idx="1">
                  <c:v>5.1515151515151514</c:v>
                </c:pt>
                <c:pt idx="2">
                  <c:v>17.288135593220339</c:v>
                </c:pt>
                <c:pt idx="3">
                  <c:v>21.256038647342994</c:v>
                </c:pt>
                <c:pt idx="4">
                  <c:v>33.333333333333329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A0F0-425F-857B-E8C54AFB2E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055208"/>
        <c:axId val="257574872"/>
      </c:lineChart>
      <c:catAx>
        <c:axId val="2750552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b="0"/>
                  <a:t>Age Group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57574872"/>
        <c:crosses val="autoZero"/>
        <c:auto val="1"/>
        <c:lblAlgn val="ctr"/>
        <c:lblOffset val="100"/>
        <c:noMultiLvlLbl val="0"/>
      </c:catAx>
      <c:valAx>
        <c:axId val="2575748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75055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200" b="1"/>
              <a:t>Prevalence</a:t>
            </a:r>
            <a:r>
              <a:rPr lang="en-GB" sz="1200" b="1" baseline="0"/>
              <a:t> of Primary Outcomes by BMI</a:t>
            </a:r>
            <a:endParaRPr lang="en-GB" sz="12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BMI!$C$1</c:f>
              <c:strCache>
                <c:ptCount val="1"/>
                <c:pt idx="0">
                  <c:v>Knee Pain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BMI!$G$2:$G$4</c:f>
                <c:numCache>
                  <c:formatCode>General</c:formatCode>
                  <c:ptCount val="3"/>
                  <c:pt idx="0">
                    <c:v>6.1000000000000014</c:v>
                  </c:pt>
                  <c:pt idx="1">
                    <c:v>3.5999999999999943</c:v>
                  </c:pt>
                  <c:pt idx="2">
                    <c:v>6.5</c:v>
                  </c:pt>
                </c:numCache>
              </c:numRef>
            </c:plus>
            <c:minus>
              <c:numRef>
                <c:f>BMI!$F$2:$F$4</c:f>
                <c:numCache>
                  <c:formatCode>General</c:formatCode>
                  <c:ptCount val="3"/>
                  <c:pt idx="0">
                    <c:v>6</c:v>
                  </c:pt>
                  <c:pt idx="1">
                    <c:v>3.7000000000000028</c:v>
                  </c:pt>
                  <c:pt idx="2">
                    <c:v>6.8999999999999986</c:v>
                  </c:pt>
                </c:numCache>
              </c:numRef>
            </c:minus>
            <c:spPr>
              <a:noFill/>
              <a:ln w="12700" cap="sq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BMI!$B$2:$B$4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BMI!$C$2:$C$4</c:f>
              <c:numCache>
                <c:formatCode>General</c:formatCode>
                <c:ptCount val="3"/>
                <c:pt idx="0">
                  <c:v>42.4</c:v>
                </c:pt>
                <c:pt idx="1">
                  <c:v>53.2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59-4594-887B-69C33BCCCE44}"/>
            </c:ext>
          </c:extLst>
        </c:ser>
        <c:ser>
          <c:idx val="1"/>
          <c:order val="1"/>
          <c:tx>
            <c:strRef>
              <c:f>BMI!$C$7</c:f>
              <c:strCache>
                <c:ptCount val="1"/>
                <c:pt idx="0">
                  <c:v>RKOA (NLDA)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BMI!$G$8:$G$10</c:f>
                <c:numCache>
                  <c:formatCode>General</c:formatCode>
                  <c:ptCount val="3"/>
                  <c:pt idx="0">
                    <c:v>9.2000000000000028</c:v>
                  </c:pt>
                  <c:pt idx="1">
                    <c:v>5.3999999999999986</c:v>
                  </c:pt>
                  <c:pt idx="2">
                    <c:v>9.1000000000000085</c:v>
                  </c:pt>
                </c:numCache>
              </c:numRef>
            </c:plus>
            <c:minus>
              <c:numRef>
                <c:f>BMI!$F$8:$F$10</c:f>
                <c:numCache>
                  <c:formatCode>General</c:formatCode>
                  <c:ptCount val="3"/>
                  <c:pt idx="0">
                    <c:v>10.299999999999997</c:v>
                  </c:pt>
                  <c:pt idx="1">
                    <c:v>5.7000000000000028</c:v>
                  </c:pt>
                  <c:pt idx="2">
                    <c:v>11.299999999999997</c:v>
                  </c:pt>
                </c:numCache>
              </c:numRef>
            </c:minus>
            <c:spPr>
              <a:noFill/>
              <a:ln w="12700" cap="sq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BMI!$B$2:$B$4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BMI!$C$8:$C$10</c:f>
              <c:numCache>
                <c:formatCode>General</c:formatCode>
                <c:ptCount val="3"/>
                <c:pt idx="0">
                  <c:v>64.099999999999994</c:v>
                </c:pt>
                <c:pt idx="1">
                  <c:v>61.6</c:v>
                </c:pt>
                <c:pt idx="2">
                  <c:v>71.099999999999994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59-4594-887B-69C33BCCCE44}"/>
            </c:ext>
          </c:extLst>
        </c:ser>
        <c:ser>
          <c:idx val="2"/>
          <c:order val="2"/>
          <c:tx>
            <c:strRef>
              <c:f>BMI!$C$13</c:f>
              <c:strCache>
                <c:ptCount val="1"/>
                <c:pt idx="0">
                  <c:v>TKR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BMI!$G$14:$G$16</c:f>
                <c:numCache>
                  <c:formatCode>General</c:formatCode>
                  <c:ptCount val="3"/>
                  <c:pt idx="0">
                    <c:v>4.2999999999999989</c:v>
                  </c:pt>
                  <c:pt idx="1">
                    <c:v>2.4000000000000004</c:v>
                  </c:pt>
                  <c:pt idx="2">
                    <c:v>5.6999999999999993</c:v>
                  </c:pt>
                </c:numCache>
              </c:numRef>
            </c:plus>
            <c:minus>
              <c:numRef>
                <c:f>BMI!$F$14:$F$16</c:f>
                <c:numCache>
                  <c:formatCode>General</c:formatCode>
                  <c:ptCount val="3"/>
                  <c:pt idx="0">
                    <c:v>3</c:v>
                  </c:pt>
                  <c:pt idx="1">
                    <c:v>2.0999999999999996</c:v>
                  </c:pt>
                  <c:pt idx="2">
                    <c:v>4.4000000000000004</c:v>
                  </c:pt>
                </c:numCache>
              </c:numRef>
            </c:minus>
            <c:spPr>
              <a:noFill/>
              <a:ln w="12700" cap="sq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BMI!$B$2:$B$4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BMI!$C$14:$C$16</c:f>
              <c:numCache>
                <c:formatCode>General</c:formatCode>
                <c:ptCount val="3"/>
                <c:pt idx="0">
                  <c:v>9.4</c:v>
                </c:pt>
                <c:pt idx="1">
                  <c:v>10.5</c:v>
                </c:pt>
                <c:pt idx="2">
                  <c:v>15.5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59-4594-887B-69C33BCCC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862000"/>
        <c:axId val="263862392"/>
      </c:barChart>
      <c:catAx>
        <c:axId val="26386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63862392"/>
        <c:crosses val="autoZero"/>
        <c:auto val="1"/>
        <c:lblAlgn val="ctr"/>
        <c:lblOffset val="100"/>
        <c:noMultiLvlLbl val="0"/>
      </c:catAx>
      <c:valAx>
        <c:axId val="26386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b="1"/>
                  <a:t>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6386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Parekh, Sanjay</dc:creator>
  <cp:keywords/>
  <dc:description/>
  <cp:lastModifiedBy>Sanjay M Parekh</cp:lastModifiedBy>
  <cp:revision>2</cp:revision>
  <dcterms:created xsi:type="dcterms:W3CDTF">2018-09-27T22:00:00Z</dcterms:created>
  <dcterms:modified xsi:type="dcterms:W3CDTF">2018-10-23T10:44:00Z</dcterms:modified>
</cp:coreProperties>
</file>