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9A" w:rsidRPr="00783BB4" w:rsidRDefault="00CD1172" w:rsidP="0018509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18509A" w:rsidRPr="00783BB4">
        <w:rPr>
          <w:rFonts w:ascii="Times New Roman" w:hAnsi="Times New Roman" w:cs="Times New Roman"/>
          <w:b/>
        </w:rPr>
        <w:t>ntibody Status, Disease History, and Incidence of SARS-CoV-2 Infection</w:t>
      </w:r>
      <w:r w:rsidR="0018509A">
        <w:rPr>
          <w:rFonts w:ascii="Times New Roman" w:hAnsi="Times New Roman" w:cs="Times New Roman"/>
          <w:b/>
        </w:rPr>
        <w:t xml:space="preserve"> Among Patients on Chronic D</w:t>
      </w:r>
      <w:r w:rsidR="0018509A" w:rsidRPr="00783BB4">
        <w:rPr>
          <w:rFonts w:ascii="Times New Roman" w:hAnsi="Times New Roman" w:cs="Times New Roman"/>
          <w:b/>
        </w:rPr>
        <w:t>ialysis</w:t>
      </w:r>
    </w:p>
    <w:p w:rsidR="0018509A" w:rsidRPr="00997BCB" w:rsidRDefault="0018509A" w:rsidP="0018509A">
      <w:pPr>
        <w:spacing w:line="480" w:lineRule="auto"/>
        <w:rPr>
          <w:rFonts w:ascii="Times New Roman" w:hAnsi="Times New Roman" w:cs="Times New Roman"/>
        </w:rPr>
      </w:pPr>
    </w:p>
    <w:p w:rsidR="0018509A" w:rsidRPr="00997BCB" w:rsidRDefault="0018509A" w:rsidP="0018509A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997BCB">
        <w:rPr>
          <w:rFonts w:ascii="Times New Roman" w:hAnsi="Times New Roman" w:cs="Times New Roman"/>
        </w:rPr>
        <w:t>Dena E. Cohen, PhD</w:t>
      </w:r>
      <w:r w:rsidRPr="00997BCB">
        <w:rPr>
          <w:rFonts w:ascii="Times New Roman" w:hAnsi="Times New Roman" w:cs="Times New Roman"/>
          <w:vertAlign w:val="superscript"/>
        </w:rPr>
        <w:t>1</w:t>
      </w:r>
      <w:r w:rsidRPr="00997BCB">
        <w:rPr>
          <w:rFonts w:ascii="Times New Roman" w:hAnsi="Times New Roman" w:cs="Times New Roman"/>
        </w:rPr>
        <w:t xml:space="preserve">; Scott </w:t>
      </w:r>
      <w:proofErr w:type="spellStart"/>
      <w:r w:rsidRPr="00997BCB">
        <w:rPr>
          <w:rFonts w:ascii="Times New Roman" w:hAnsi="Times New Roman" w:cs="Times New Roman"/>
        </w:rPr>
        <w:t>Sibbel</w:t>
      </w:r>
      <w:proofErr w:type="spellEnd"/>
      <w:r w:rsidRPr="00997BCB">
        <w:rPr>
          <w:rFonts w:ascii="Times New Roman" w:hAnsi="Times New Roman" w:cs="Times New Roman"/>
        </w:rPr>
        <w:t>, PhD</w:t>
      </w:r>
      <w:r w:rsidRPr="00997BCB">
        <w:rPr>
          <w:rFonts w:ascii="Times New Roman" w:hAnsi="Times New Roman" w:cs="Times New Roman"/>
          <w:vertAlign w:val="superscript"/>
        </w:rPr>
        <w:t>1</w:t>
      </w:r>
      <w:r w:rsidRPr="00997BCB">
        <w:rPr>
          <w:rFonts w:ascii="Times New Roman" w:hAnsi="Times New Roman" w:cs="Times New Roman"/>
        </w:rPr>
        <w:t>; Gilbert Marlowe, BS</w:t>
      </w:r>
      <w:r w:rsidRPr="00997BCB">
        <w:rPr>
          <w:rFonts w:ascii="Times New Roman" w:hAnsi="Times New Roman" w:cs="Times New Roman"/>
          <w:vertAlign w:val="superscript"/>
        </w:rPr>
        <w:t>1</w:t>
      </w:r>
      <w:r w:rsidRPr="00997BCB">
        <w:rPr>
          <w:rFonts w:ascii="Times New Roman" w:hAnsi="Times New Roman" w:cs="Times New Roman"/>
        </w:rPr>
        <w:t>; Kelsey Bludorn, BBA</w:t>
      </w:r>
      <w:r w:rsidRPr="00997BCB">
        <w:rPr>
          <w:rFonts w:ascii="Times New Roman" w:hAnsi="Times New Roman" w:cs="Times New Roman"/>
          <w:vertAlign w:val="superscript"/>
        </w:rPr>
        <w:t>1</w:t>
      </w:r>
      <w:r w:rsidRPr="00997BCB">
        <w:rPr>
          <w:rFonts w:ascii="Times New Roman" w:hAnsi="Times New Roman" w:cs="Times New Roman"/>
        </w:rPr>
        <w:t>; Dawn Miller, MBA</w:t>
      </w:r>
      <w:r w:rsidRPr="00997BCB">
        <w:rPr>
          <w:rFonts w:ascii="Times New Roman" w:hAnsi="Times New Roman" w:cs="Times New Roman"/>
          <w:vertAlign w:val="superscript"/>
        </w:rPr>
        <w:t>2</w:t>
      </w:r>
      <w:r w:rsidRPr="00997BC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Tara Kelley, </w:t>
      </w:r>
      <w:r w:rsidRPr="00394BF6">
        <w:rPr>
          <w:rFonts w:ascii="Times New Roman" w:hAnsi="Times New Roman" w:cs="Times New Roman"/>
        </w:rPr>
        <w:t>MBA</w:t>
      </w:r>
      <w:r w:rsidRPr="00394BF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Jeffrey Connaire, MD</w:t>
      </w:r>
      <w:r w:rsidRPr="00997BC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; </w:t>
      </w:r>
      <w:r w:rsidRPr="00394BF6">
        <w:rPr>
          <w:rFonts w:ascii="Times New Roman" w:hAnsi="Times New Roman" w:cs="Times New Roman"/>
        </w:rPr>
        <w:t>Amy</w:t>
      </w:r>
      <w:r w:rsidRPr="00997BCB">
        <w:rPr>
          <w:rFonts w:ascii="Times New Roman" w:hAnsi="Times New Roman" w:cs="Times New Roman"/>
        </w:rPr>
        <w:t xml:space="preserve"> Young, BS</w:t>
      </w:r>
      <w:r w:rsidRPr="00997BCB">
        <w:rPr>
          <w:rFonts w:ascii="Times New Roman" w:hAnsi="Times New Roman" w:cs="Times New Roman"/>
          <w:vertAlign w:val="superscript"/>
        </w:rPr>
        <w:t>1</w:t>
      </w:r>
      <w:r w:rsidRPr="00997BCB">
        <w:rPr>
          <w:rFonts w:ascii="Times New Roman" w:hAnsi="Times New Roman" w:cs="Times New Roman"/>
        </w:rPr>
        <w:t>; Francesca Tentori, MD</w:t>
      </w:r>
      <w:r w:rsidRPr="00997BC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,3</w:t>
      </w:r>
      <w:r w:rsidRPr="00997BCB">
        <w:rPr>
          <w:rFonts w:ascii="Times New Roman" w:hAnsi="Times New Roman" w:cs="Times New Roman"/>
        </w:rPr>
        <w:t>; Steven M. Brunelli, MD</w:t>
      </w:r>
      <w:r w:rsidRPr="00997BCB">
        <w:rPr>
          <w:rFonts w:ascii="Times New Roman" w:hAnsi="Times New Roman" w:cs="Times New Roman"/>
          <w:vertAlign w:val="superscript"/>
        </w:rPr>
        <w:t>1,3</w:t>
      </w:r>
      <w:r>
        <w:rPr>
          <w:rFonts w:ascii="Times New Roman" w:hAnsi="Times New Roman" w:cs="Times New Roman"/>
          <w:vertAlign w:val="superscript"/>
        </w:rPr>
        <w:t>,4</w:t>
      </w:r>
    </w:p>
    <w:p w:rsidR="0018509A" w:rsidRDefault="0018509A">
      <w:pPr>
        <w:rPr>
          <w:rFonts w:ascii="Times New Roman" w:hAnsi="Times New Roman" w:cs="Times New Roman"/>
          <w:b/>
        </w:rPr>
      </w:pPr>
    </w:p>
    <w:p w:rsidR="0018509A" w:rsidRDefault="001850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 Table of Contents</w:t>
      </w:r>
    </w:p>
    <w:p w:rsidR="0018509A" w:rsidRPr="0018509A" w:rsidRDefault="0018509A" w:rsidP="001850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>Supplemental Methods</w:t>
      </w:r>
    </w:p>
    <w:p w:rsidR="0018509A" w:rsidRPr="0018509A" w:rsidRDefault="0018509A" w:rsidP="001850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>Figure S1: Antibody levels at baseline by time since first documented positive SARS-CoV-2 PCR Test</w:t>
      </w:r>
    </w:p>
    <w:p w:rsidR="0018509A" w:rsidRPr="0018509A" w:rsidRDefault="0018509A" w:rsidP="001850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>Figure S2. Timeline of Study Events: Sensitivity Analysis Eliminating Infection-Free Period.</w:t>
      </w:r>
    </w:p>
    <w:p w:rsidR="0018509A" w:rsidRPr="0018509A" w:rsidRDefault="0018509A" w:rsidP="001850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 xml:space="preserve">Table S1: </w:t>
      </w:r>
      <w:r w:rsidR="00635F32">
        <w:rPr>
          <w:rFonts w:ascii="Times New Roman" w:hAnsi="Times New Roman" w:cs="Times New Roman"/>
        </w:rPr>
        <w:t>Adjusted r</w:t>
      </w:r>
      <w:r w:rsidRPr="0018509A">
        <w:rPr>
          <w:rFonts w:ascii="Times New Roman" w:hAnsi="Times New Roman" w:cs="Times New Roman"/>
        </w:rPr>
        <w:t>elative risk of Any SARS-CoV-2 Infection by IgG Status and Demographic Characteristics</w:t>
      </w:r>
    </w:p>
    <w:p w:rsidR="0018509A" w:rsidRPr="0018509A" w:rsidRDefault="0018509A" w:rsidP="001850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>Table S2: Sensitivity analysis eliminating infection-free period: outcome events during follow-up by exposure status</w:t>
      </w:r>
    </w:p>
    <w:p w:rsidR="0018509A" w:rsidRDefault="0018509A">
      <w:pPr>
        <w:rPr>
          <w:rFonts w:ascii="Times New Roman" w:hAnsi="Times New Roman" w:cs="Times New Roman"/>
          <w:b/>
        </w:rPr>
      </w:pPr>
    </w:p>
    <w:p w:rsidR="0018509A" w:rsidRDefault="001850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651C" w:rsidRPr="00F14AD8" w:rsidRDefault="007F651C">
      <w:pPr>
        <w:rPr>
          <w:rFonts w:ascii="Times New Roman" w:hAnsi="Times New Roman" w:cs="Times New Roman"/>
          <w:b/>
        </w:rPr>
      </w:pPr>
      <w:r w:rsidRPr="00F14AD8">
        <w:rPr>
          <w:rFonts w:ascii="Times New Roman" w:hAnsi="Times New Roman" w:cs="Times New Roman"/>
          <w:b/>
        </w:rPr>
        <w:lastRenderedPageBreak/>
        <w:t>Supplemental Methods</w:t>
      </w:r>
    </w:p>
    <w:p w:rsidR="007F651C" w:rsidRDefault="007F651C" w:rsidP="00F14AD8">
      <w:pPr>
        <w:spacing w:line="480" w:lineRule="auto"/>
        <w:rPr>
          <w:rFonts w:ascii="Times New Roman" w:hAnsi="Times New Roman" w:cs="Times New Roman"/>
        </w:rPr>
      </w:pPr>
      <w:r w:rsidRPr="00381153">
        <w:rPr>
          <w:rFonts w:ascii="Times New Roman" w:hAnsi="Times New Roman" w:cs="Times New Roman"/>
        </w:rPr>
        <w:t xml:space="preserve">In order to account for any impact of the requirement of the disease-free period between Visit 1 and Visit 2 in the main analysis, a sensitivity analysis was conducted as follows. Beginning with the same cohort of 2530 patients who met study inclusion/exclusion criteria and gave informed consent, patients were excluded if they had missing IgG information as of Visit 1 (n=98) or if they had evidence of a positive PCR test for SARS-CoV-2 in the 30 days prior to Visit 1 (n=13, Supplemental Figure 2), yielding a cohort of 2419 patients. The outcome period considered </w:t>
      </w:r>
      <w:r w:rsidR="00396998">
        <w:rPr>
          <w:rFonts w:ascii="Times New Roman" w:hAnsi="Times New Roman" w:cs="Times New Roman"/>
        </w:rPr>
        <w:t>began on</w:t>
      </w:r>
      <w:r w:rsidRPr="00381153">
        <w:rPr>
          <w:rFonts w:ascii="Times New Roman" w:hAnsi="Times New Roman" w:cs="Times New Roman"/>
        </w:rPr>
        <w:t xml:space="preserve"> the day immediately following Visit 1 and continu</w:t>
      </w:r>
      <w:r w:rsidR="00160BD3">
        <w:rPr>
          <w:rFonts w:ascii="Times New Roman" w:hAnsi="Times New Roman" w:cs="Times New Roman"/>
        </w:rPr>
        <w:t>ed</w:t>
      </w:r>
      <w:r w:rsidRPr="00381153">
        <w:rPr>
          <w:rFonts w:ascii="Times New Roman" w:hAnsi="Times New Roman" w:cs="Times New Roman"/>
        </w:rPr>
        <w:t xml:space="preserve"> through the earliest of </w:t>
      </w:r>
      <w:r w:rsidR="00381153" w:rsidRPr="00381153">
        <w:rPr>
          <w:rFonts w:ascii="Times New Roman" w:hAnsi="Times New Roman" w:cs="Times New Roman"/>
        </w:rPr>
        <w:t xml:space="preserve">study </w:t>
      </w:r>
      <w:r w:rsidRPr="00381153">
        <w:rPr>
          <w:rFonts w:ascii="Times New Roman" w:hAnsi="Times New Roman" w:cs="Times New Roman"/>
        </w:rPr>
        <w:t xml:space="preserve">withdrawal, death, </w:t>
      </w:r>
      <w:r w:rsidR="00381153" w:rsidRPr="00381153">
        <w:rPr>
          <w:rFonts w:ascii="Times New Roman" w:hAnsi="Times New Roman" w:cs="Times New Roman"/>
        </w:rPr>
        <w:t xml:space="preserve">or completion of the follow-up period. Exposure was ascribed on the basis of IgG status as of Visit 1, and outcome was considered as any SARS-CoV-2 infection, whether detected during routine clinical surveillance or via a </w:t>
      </w:r>
      <w:proofErr w:type="spellStart"/>
      <w:r w:rsidR="00381153" w:rsidRPr="00381153">
        <w:rPr>
          <w:rFonts w:ascii="Times New Roman" w:hAnsi="Times New Roman" w:cs="Times New Roman"/>
        </w:rPr>
        <w:t>protocolized</w:t>
      </w:r>
      <w:proofErr w:type="spellEnd"/>
      <w:r w:rsidR="00381153" w:rsidRPr="00381153">
        <w:rPr>
          <w:rFonts w:ascii="Times New Roman" w:hAnsi="Times New Roman" w:cs="Times New Roman"/>
        </w:rPr>
        <w:t xml:space="preserve"> PCR test at Visits 2, 3, 4, or 5.</w:t>
      </w:r>
      <w:r w:rsidR="001E29A8">
        <w:rPr>
          <w:rFonts w:ascii="Times New Roman" w:hAnsi="Times New Roman" w:cs="Times New Roman"/>
        </w:rPr>
        <w:t xml:space="preserve"> Analysis was conducted as described in the main methods.</w:t>
      </w:r>
    </w:p>
    <w:p w:rsidR="002E7757" w:rsidRDefault="002E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757" w:rsidRPr="00381153" w:rsidRDefault="002E7757">
      <w:pPr>
        <w:rPr>
          <w:rFonts w:ascii="Times New Roman" w:hAnsi="Times New Roman" w:cs="Times New Roman"/>
        </w:rPr>
      </w:pPr>
    </w:p>
    <w:p w:rsidR="00842619" w:rsidRDefault="00842619">
      <w:r>
        <w:rPr>
          <w:noProof/>
        </w:rPr>
        <w:drawing>
          <wp:inline distT="0" distB="0" distL="0" distR="0">
            <wp:extent cx="3322327" cy="234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air_Figure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7" cy="23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619" w:rsidRPr="002E7757" w:rsidRDefault="00842619" w:rsidP="002E7757">
      <w:pPr>
        <w:spacing w:line="480" w:lineRule="auto"/>
        <w:rPr>
          <w:rFonts w:ascii="Times New Roman" w:hAnsi="Times New Roman" w:cs="Times New Roman"/>
        </w:rPr>
      </w:pPr>
      <w:r w:rsidRPr="002E7757">
        <w:rPr>
          <w:rFonts w:ascii="Times New Roman" w:hAnsi="Times New Roman" w:cs="Times New Roman"/>
          <w:b/>
        </w:rPr>
        <w:t xml:space="preserve">Figure S1: Antibody levels at baseline by time since </w:t>
      </w:r>
      <w:r w:rsidR="002E7757" w:rsidRPr="002E7757">
        <w:rPr>
          <w:rFonts w:ascii="Times New Roman" w:hAnsi="Times New Roman" w:cs="Times New Roman"/>
          <w:b/>
        </w:rPr>
        <w:t>first documented positive SARS-CoV-2 PCR Test</w:t>
      </w:r>
      <w:r w:rsidRPr="002E7757">
        <w:rPr>
          <w:rFonts w:ascii="Times New Roman" w:hAnsi="Times New Roman" w:cs="Times New Roman"/>
          <w:b/>
        </w:rPr>
        <w:t>.</w:t>
      </w:r>
      <w:r w:rsidRPr="002E7757">
        <w:rPr>
          <w:rFonts w:ascii="Times New Roman" w:hAnsi="Times New Roman" w:cs="Times New Roman"/>
        </w:rPr>
        <w:t xml:space="preserve"> Serum IgG levels as of Visit 1 are shown for those subjects (N=104) with a documented history of SARS-CoV-2 infection prior to study enrollment. </w:t>
      </w:r>
      <w:r w:rsidR="00160BD3">
        <w:rPr>
          <w:rFonts w:ascii="Times New Roman" w:hAnsi="Times New Roman" w:cs="Times New Roman"/>
        </w:rPr>
        <w:t xml:space="preserve">The x-axis indicates the time (in days) between each </w:t>
      </w:r>
      <w:r w:rsidRPr="002E7757">
        <w:rPr>
          <w:rFonts w:ascii="Times New Roman" w:hAnsi="Times New Roman" w:cs="Times New Roman"/>
        </w:rPr>
        <w:t xml:space="preserve">subject’s first recorded positive PCR test </w:t>
      </w:r>
      <w:r w:rsidR="00160BD3">
        <w:rPr>
          <w:rFonts w:ascii="Times New Roman" w:hAnsi="Times New Roman" w:cs="Times New Roman"/>
        </w:rPr>
        <w:t>and study Visit 1 (the date on which IgG was measured). The –y axis indicates that quantitative value of anti-SARS-CoV-2 at baseline (</w:t>
      </w:r>
      <w:proofErr w:type="spellStart"/>
      <w:r w:rsidR="00160BD3">
        <w:rPr>
          <w:rFonts w:ascii="Times New Roman" w:hAnsi="Times New Roman" w:cs="Times New Roman"/>
        </w:rPr>
        <w:t>ie</w:t>
      </w:r>
      <w:proofErr w:type="spellEnd"/>
      <w:r w:rsidR="00160BD3">
        <w:rPr>
          <w:rFonts w:ascii="Times New Roman" w:hAnsi="Times New Roman" w:cs="Times New Roman"/>
        </w:rPr>
        <w:t>, at study Visit 1)</w:t>
      </w:r>
      <w:r w:rsidRPr="002E7757">
        <w:rPr>
          <w:rFonts w:ascii="Times New Roman" w:hAnsi="Times New Roman" w:cs="Times New Roman"/>
        </w:rPr>
        <w:t>. The Pearson correlation coefficient (R) and corresponding p-value are shown.</w:t>
      </w:r>
    </w:p>
    <w:p w:rsidR="002E7757" w:rsidRPr="002E7757" w:rsidRDefault="00842619" w:rsidP="002E7757">
      <w:pPr>
        <w:spacing w:line="480" w:lineRule="auto"/>
        <w:rPr>
          <w:rFonts w:ascii="Times New Roman" w:hAnsi="Times New Roman" w:cs="Times New Roman"/>
        </w:rPr>
      </w:pPr>
      <w:r w:rsidRPr="002E7757">
        <w:rPr>
          <w:rFonts w:ascii="Times New Roman" w:hAnsi="Times New Roman" w:cs="Times New Roman"/>
        </w:rPr>
        <w:t>Abbreviations: AU, arbitrary units; IgG, immunoglobulin G; PCR, polymerase chain reaction.</w:t>
      </w:r>
    </w:p>
    <w:p w:rsidR="002E7757" w:rsidRDefault="002E7757">
      <w:r>
        <w:br w:type="page"/>
      </w:r>
    </w:p>
    <w:p w:rsidR="00842619" w:rsidRDefault="00842619"/>
    <w:p w:rsidR="007F651C" w:rsidRDefault="007F651C"/>
    <w:p w:rsidR="005F47C1" w:rsidRDefault="00F14AD8">
      <w:r>
        <w:rPr>
          <w:noProof/>
        </w:rPr>
        <w:drawing>
          <wp:inline distT="0" distB="0" distL="0" distR="0">
            <wp:extent cx="5943600" cy="129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pair_Study schema_sensitiv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C1" w:rsidRPr="00276B65" w:rsidRDefault="005F47C1" w:rsidP="005F47C1">
      <w:pPr>
        <w:spacing w:line="480" w:lineRule="auto"/>
        <w:rPr>
          <w:rFonts w:ascii="Times New Roman" w:hAnsi="Times New Roman" w:cs="Times New Roman"/>
        </w:rPr>
      </w:pPr>
      <w:r w:rsidRPr="002E7757">
        <w:rPr>
          <w:rFonts w:ascii="Times New Roman" w:hAnsi="Times New Roman" w:cs="Times New Roman"/>
          <w:b/>
        </w:rPr>
        <w:t>Figure S2. Timeline of Study Events: Sensitivity Analysis</w:t>
      </w:r>
      <w:r w:rsidR="00864F9A" w:rsidRPr="002E7757">
        <w:rPr>
          <w:rFonts w:ascii="Times New Roman" w:hAnsi="Times New Roman" w:cs="Times New Roman"/>
          <w:b/>
        </w:rPr>
        <w:t xml:space="preserve"> Eliminating Infection-Free Period</w:t>
      </w:r>
      <w:r w:rsidRPr="002E7757">
        <w:rPr>
          <w:rFonts w:ascii="Times New Roman" w:hAnsi="Times New Roman" w:cs="Times New Roman"/>
          <w:b/>
        </w:rPr>
        <w:t xml:space="preserve">. </w:t>
      </w:r>
      <w:r w:rsidRPr="00276B65">
        <w:rPr>
          <w:rFonts w:ascii="Times New Roman" w:hAnsi="Times New Roman" w:cs="Times New Roman"/>
        </w:rPr>
        <w:t xml:space="preserve">Baseline IgG </w:t>
      </w:r>
      <w:proofErr w:type="spellStart"/>
      <w:r w:rsidRPr="00276B65">
        <w:rPr>
          <w:rFonts w:ascii="Times New Roman" w:hAnsi="Times New Roman" w:cs="Times New Roman"/>
        </w:rPr>
        <w:t>serostatus</w:t>
      </w:r>
      <w:proofErr w:type="spellEnd"/>
      <w:r w:rsidRPr="00276B65">
        <w:rPr>
          <w:rFonts w:ascii="Times New Roman" w:hAnsi="Times New Roman" w:cs="Times New Roman"/>
        </w:rPr>
        <w:t xml:space="preserve"> is based on serologic testing at Visit 1. Baseline history of COVID-19 considers all data up through Visit 1. Participants who manifested COVID-19 during the </w:t>
      </w:r>
      <w:r>
        <w:rPr>
          <w:rFonts w:ascii="Times New Roman" w:hAnsi="Times New Roman" w:cs="Times New Roman"/>
        </w:rPr>
        <w:t>30-day disease-free</w:t>
      </w:r>
      <w:r w:rsidRPr="00276B65">
        <w:rPr>
          <w:rFonts w:ascii="Times New Roman" w:hAnsi="Times New Roman" w:cs="Times New Roman"/>
        </w:rPr>
        <w:t xml:space="preserve"> period </w:t>
      </w:r>
      <w:r>
        <w:rPr>
          <w:rFonts w:ascii="Times New Roman" w:hAnsi="Times New Roman" w:cs="Times New Roman"/>
        </w:rPr>
        <w:t>prior to</w:t>
      </w:r>
      <w:r w:rsidRPr="00276B65">
        <w:rPr>
          <w:rFonts w:ascii="Times New Roman" w:hAnsi="Times New Roman" w:cs="Times New Roman"/>
        </w:rPr>
        <w:t xml:space="preserve"> Visits 1 were excluded from analysis. Follow-up beg</w:t>
      </w:r>
      <w:r>
        <w:rPr>
          <w:rFonts w:ascii="Times New Roman" w:hAnsi="Times New Roman" w:cs="Times New Roman"/>
        </w:rPr>
        <w:t>an immediately following Visit 1</w:t>
      </w:r>
      <w:r w:rsidRPr="00276B65">
        <w:rPr>
          <w:rFonts w:ascii="Times New Roman" w:hAnsi="Times New Roman" w:cs="Times New Roman"/>
        </w:rPr>
        <w:t xml:space="preserve">. Participants were followed for clinical evidence of disease through the first of withdrawal, death, or end of study (Visit 5). Participants underwent </w:t>
      </w:r>
      <w:proofErr w:type="spellStart"/>
      <w:r>
        <w:rPr>
          <w:rFonts w:ascii="Times New Roman" w:hAnsi="Times New Roman" w:cs="Times New Roman"/>
        </w:rPr>
        <w:t>protocolized</w:t>
      </w:r>
      <w:proofErr w:type="spellEnd"/>
      <w:r w:rsidRPr="00276B65">
        <w:rPr>
          <w:rFonts w:ascii="Times New Roman" w:hAnsi="Times New Roman" w:cs="Times New Roman"/>
        </w:rPr>
        <w:t xml:space="preserve"> PCR testing at Visits </w:t>
      </w:r>
      <w:r>
        <w:rPr>
          <w:rFonts w:ascii="Times New Roman" w:hAnsi="Times New Roman" w:cs="Times New Roman"/>
        </w:rPr>
        <w:t xml:space="preserve">2, </w:t>
      </w:r>
      <w:r w:rsidRPr="00276B65">
        <w:rPr>
          <w:rFonts w:ascii="Times New Roman" w:hAnsi="Times New Roman" w:cs="Times New Roman"/>
        </w:rPr>
        <w:t>3, 4, and 5 except for those who were known to have COVID-19 at the corresponding time point or who declined/were unable to provide a sample for PCR analysis.</w:t>
      </w:r>
    </w:p>
    <w:p w:rsidR="005F47C1" w:rsidRPr="00276B65" w:rsidRDefault="005F47C1" w:rsidP="005F47C1">
      <w:pPr>
        <w:spacing w:line="480" w:lineRule="auto"/>
        <w:rPr>
          <w:rFonts w:ascii="Times New Roman" w:hAnsi="Times New Roman" w:cs="Times New Roman"/>
        </w:rPr>
      </w:pPr>
      <w:r w:rsidRPr="00276B65">
        <w:rPr>
          <w:rFonts w:ascii="Times New Roman" w:hAnsi="Times New Roman" w:cs="Times New Roman"/>
        </w:rPr>
        <w:t>Abbreviations: IgG, immunoglobulin G; PCR, polymerase chain reaction</w:t>
      </w:r>
    </w:p>
    <w:p w:rsidR="005F47C1" w:rsidRDefault="005F47C1"/>
    <w:p w:rsidR="00842619" w:rsidRPr="00634A6D" w:rsidRDefault="00F27B48" w:rsidP="00634A6D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S1</w:t>
      </w:r>
      <w:r w:rsidR="00842619" w:rsidRPr="00634A6D">
        <w:rPr>
          <w:rFonts w:ascii="Times New Roman" w:hAnsi="Times New Roman" w:cs="Times New Roman"/>
          <w:b/>
        </w:rPr>
        <w:t>:</w:t>
      </w:r>
      <w:r w:rsidR="00842619" w:rsidRPr="00634A6D">
        <w:rPr>
          <w:rFonts w:ascii="Times New Roman" w:hAnsi="Times New Roman" w:cs="Times New Roman"/>
        </w:rPr>
        <w:t xml:space="preserve"> </w:t>
      </w:r>
      <w:r w:rsidR="00533E26" w:rsidRPr="00635F32">
        <w:rPr>
          <w:rFonts w:ascii="Times New Roman" w:hAnsi="Times New Roman" w:cs="Times New Roman"/>
          <w:b/>
        </w:rPr>
        <w:t>Adjusted</w:t>
      </w:r>
      <w:r w:rsidR="00533E26">
        <w:rPr>
          <w:rFonts w:ascii="Times New Roman" w:hAnsi="Times New Roman" w:cs="Times New Roman"/>
        </w:rPr>
        <w:t xml:space="preserve"> </w:t>
      </w:r>
      <w:r w:rsidR="00533E26">
        <w:rPr>
          <w:rFonts w:ascii="Times New Roman" w:hAnsi="Times New Roman" w:cs="Times New Roman"/>
          <w:b/>
        </w:rPr>
        <w:t>r</w:t>
      </w:r>
      <w:r w:rsidR="00634A6D" w:rsidRPr="00276B65">
        <w:rPr>
          <w:rFonts w:ascii="Times New Roman" w:hAnsi="Times New Roman" w:cs="Times New Roman"/>
          <w:b/>
        </w:rPr>
        <w:t xml:space="preserve">elative risk of </w:t>
      </w:r>
      <w:r w:rsidR="00634A6D">
        <w:rPr>
          <w:rFonts w:ascii="Times New Roman" w:hAnsi="Times New Roman" w:cs="Times New Roman"/>
          <w:b/>
        </w:rPr>
        <w:t xml:space="preserve">Any </w:t>
      </w:r>
      <w:r w:rsidR="00634A6D" w:rsidRPr="00276B65">
        <w:rPr>
          <w:rFonts w:ascii="Times New Roman" w:hAnsi="Times New Roman" w:cs="Times New Roman"/>
          <w:b/>
        </w:rPr>
        <w:t>SARS-CoV-2 Infection by</w:t>
      </w:r>
      <w:r w:rsidR="00634A6D">
        <w:rPr>
          <w:rFonts w:ascii="Times New Roman" w:hAnsi="Times New Roman" w:cs="Times New Roman"/>
          <w:b/>
        </w:rPr>
        <w:t xml:space="preserve"> IgG Status and Demographic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109"/>
      </w:tblGrid>
      <w:tr w:rsidR="00842619" w:rsidRPr="00634A6D" w:rsidTr="00635F32"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19" w:rsidRPr="00634A6D" w:rsidRDefault="0084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A6D">
              <w:rPr>
                <w:rFonts w:ascii="Times New Roman" w:hAnsi="Times New Roman" w:cs="Times New Roman"/>
                <w:b/>
              </w:rPr>
              <w:t>Referent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619" w:rsidRPr="00634A6D" w:rsidRDefault="00533E26" w:rsidP="00634A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</w:t>
            </w:r>
            <w:r w:rsidR="00842619" w:rsidRPr="00634A6D">
              <w:rPr>
                <w:rFonts w:ascii="Times New Roman" w:hAnsi="Times New Roman" w:cs="Times New Roman"/>
                <w:b/>
              </w:rPr>
              <w:t>IRR</w:t>
            </w:r>
            <w:proofErr w:type="spellEnd"/>
            <w:r w:rsidR="00842619" w:rsidRPr="00634A6D">
              <w:rPr>
                <w:rFonts w:ascii="Times New Roman" w:hAnsi="Times New Roman" w:cs="Times New Roman"/>
                <w:b/>
              </w:rPr>
              <w:t xml:space="preserve"> (95% CI)</w:t>
            </w:r>
          </w:p>
        </w:tc>
      </w:tr>
      <w:tr w:rsidR="00842619" w:rsidRPr="00634A6D" w:rsidTr="00635F32">
        <w:tc>
          <w:tcPr>
            <w:tcW w:w="3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619" w:rsidRPr="00635F32" w:rsidRDefault="00842619">
            <w:pPr>
              <w:rPr>
                <w:rFonts w:ascii="Times New Roman" w:hAnsi="Times New Roman" w:cs="Times New Roman"/>
                <w:b/>
              </w:rPr>
            </w:pPr>
            <w:r w:rsidRPr="00635F32">
              <w:rPr>
                <w:rFonts w:ascii="Times New Roman" w:hAnsi="Times New Roman" w:cs="Times New Roman"/>
                <w:b/>
              </w:rPr>
              <w:t>IgG+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IgG-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0.55 (0.32, 0.95)</w:t>
            </w:r>
          </w:p>
        </w:tc>
      </w:tr>
      <w:tr w:rsidR="00842619" w:rsidRPr="00634A6D" w:rsidTr="00635F32"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842619" w:rsidRPr="00495051" w:rsidRDefault="00842619">
            <w:pPr>
              <w:rPr>
                <w:rFonts w:ascii="Times New Roman" w:hAnsi="Times New Roman" w:cs="Times New Roman"/>
                <w:b/>
              </w:rPr>
            </w:pPr>
            <w:r w:rsidRPr="00495051">
              <w:rPr>
                <w:rFonts w:ascii="Times New Roman" w:hAnsi="Times New Roman" w:cs="Times New Roman"/>
                <w:b/>
              </w:rPr>
              <w:t>Race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Black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Hispanic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Asian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3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</w:p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</w:p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0.87 (0.57, 1.07)</w:t>
            </w:r>
          </w:p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1.32 (0.96, 1.81)</w:t>
            </w:r>
          </w:p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0.50 (0.12, 2.06)</w:t>
            </w:r>
          </w:p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1.11 (0.65, 1.92)</w:t>
            </w:r>
          </w:p>
        </w:tc>
      </w:tr>
      <w:tr w:rsidR="00842619" w:rsidRPr="00634A6D" w:rsidTr="00635F32"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842619" w:rsidRPr="00495051" w:rsidRDefault="00842619">
            <w:pPr>
              <w:rPr>
                <w:rFonts w:ascii="Times New Roman" w:hAnsi="Times New Roman" w:cs="Times New Roman"/>
                <w:b/>
              </w:rPr>
            </w:pPr>
            <w:r w:rsidRPr="00495051">
              <w:rPr>
                <w:rFonts w:ascii="Times New Roman" w:hAnsi="Times New Roman" w:cs="Times New Roman"/>
                <w:b/>
              </w:rPr>
              <w:t>Sex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</w:p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0.99 (0.77, 1.29)</w:t>
            </w:r>
          </w:p>
        </w:tc>
      </w:tr>
      <w:tr w:rsidR="00842619" w:rsidRPr="00634A6D" w:rsidTr="00635F32"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634A6D" w:rsidRPr="00495051" w:rsidRDefault="00842619">
            <w:pPr>
              <w:rPr>
                <w:rFonts w:ascii="Times New Roman" w:hAnsi="Times New Roman" w:cs="Times New Roman"/>
                <w:b/>
              </w:rPr>
            </w:pPr>
            <w:r w:rsidRPr="00495051">
              <w:rPr>
                <w:rFonts w:ascii="Times New Roman" w:hAnsi="Times New Roman" w:cs="Times New Roman"/>
                <w:b/>
              </w:rPr>
              <w:t>Age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Per 1 year older</w:t>
            </w:r>
          </w:p>
        </w:tc>
        <w:tc>
          <w:tcPr>
            <w:tcW w:w="3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634A6D" w:rsidP="00634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0.99 (0.98, 1.01)</w:t>
            </w:r>
          </w:p>
        </w:tc>
      </w:tr>
      <w:tr w:rsidR="00842619" w:rsidRPr="00634A6D" w:rsidTr="00635F32"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842619" w:rsidRPr="00495051" w:rsidRDefault="00842619">
            <w:pPr>
              <w:rPr>
                <w:rFonts w:ascii="Times New Roman" w:hAnsi="Times New Roman" w:cs="Times New Roman"/>
                <w:b/>
              </w:rPr>
            </w:pPr>
            <w:r w:rsidRPr="00495051">
              <w:rPr>
                <w:rFonts w:ascii="Times New Roman" w:hAnsi="Times New Roman" w:cs="Times New Roman"/>
                <w:b/>
              </w:rPr>
              <w:t>Dialysis vintage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Per 1 month longer</w:t>
            </w:r>
          </w:p>
        </w:tc>
        <w:tc>
          <w:tcPr>
            <w:tcW w:w="3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634A6D" w:rsidP="00634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1.00 (1.00, 1.00)</w:t>
            </w:r>
          </w:p>
        </w:tc>
      </w:tr>
      <w:tr w:rsidR="00842619" w:rsidRPr="00634A6D" w:rsidTr="00635F32"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842619" w:rsidRPr="00495051" w:rsidRDefault="008426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5051">
              <w:rPr>
                <w:rFonts w:ascii="Times New Roman" w:hAnsi="Times New Roman" w:cs="Times New Roman"/>
                <w:b/>
              </w:rPr>
              <w:t>Charlson</w:t>
            </w:r>
            <w:proofErr w:type="spellEnd"/>
            <w:r w:rsidRPr="00495051">
              <w:rPr>
                <w:rFonts w:ascii="Times New Roman" w:hAnsi="Times New Roman" w:cs="Times New Roman"/>
                <w:b/>
              </w:rPr>
              <w:t xml:space="preserve"> comorbidity index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Per 1 unit higher</w:t>
            </w:r>
          </w:p>
        </w:tc>
        <w:tc>
          <w:tcPr>
            <w:tcW w:w="3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634A6D" w:rsidP="00634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1.03 (0.90, 1.18)</w:t>
            </w:r>
          </w:p>
        </w:tc>
      </w:tr>
      <w:tr w:rsidR="00842619" w:rsidRPr="00634A6D" w:rsidTr="00635F32">
        <w:tc>
          <w:tcPr>
            <w:tcW w:w="3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19" w:rsidRPr="00495051" w:rsidRDefault="00842619">
            <w:pPr>
              <w:rPr>
                <w:rFonts w:ascii="Times New Roman" w:hAnsi="Times New Roman" w:cs="Times New Roman"/>
                <w:b/>
              </w:rPr>
            </w:pPr>
            <w:r w:rsidRPr="00495051">
              <w:rPr>
                <w:rFonts w:ascii="Times New Roman" w:hAnsi="Times New Roman" w:cs="Times New Roman"/>
                <w:b/>
              </w:rPr>
              <w:t>Body weight</w:t>
            </w:r>
          </w:p>
          <w:p w:rsidR="00842619" w:rsidRPr="00634A6D" w:rsidRDefault="0063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619" w:rsidRPr="00634A6D">
              <w:rPr>
                <w:rFonts w:ascii="Times New Roman" w:hAnsi="Times New Roman" w:cs="Times New Roman"/>
              </w:rPr>
              <w:t>Per 1 kg heavier</w:t>
            </w:r>
          </w:p>
        </w:tc>
        <w:tc>
          <w:tcPr>
            <w:tcW w:w="3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634A6D" w:rsidP="00634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19" w:rsidRPr="00634A6D" w:rsidRDefault="00842619" w:rsidP="00634A6D">
            <w:pPr>
              <w:jc w:val="center"/>
              <w:rPr>
                <w:rFonts w:ascii="Times New Roman" w:hAnsi="Times New Roman" w:cs="Times New Roman"/>
              </w:rPr>
            </w:pPr>
            <w:r w:rsidRPr="00634A6D">
              <w:rPr>
                <w:rFonts w:ascii="Times New Roman" w:hAnsi="Times New Roman" w:cs="Times New Roman"/>
              </w:rPr>
              <w:t>1.01 (1.00, 1.01)</w:t>
            </w:r>
          </w:p>
        </w:tc>
      </w:tr>
      <w:tr w:rsidR="00635F32" w:rsidRPr="00634A6D" w:rsidTr="00635F32">
        <w:tc>
          <w:tcPr>
            <w:tcW w:w="93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5F32" w:rsidRPr="00634A6D" w:rsidRDefault="00635F32" w:rsidP="00635F32">
            <w:pPr>
              <w:rPr>
                <w:rFonts w:ascii="Times New Roman" w:hAnsi="Times New Roman" w:cs="Times New Roman"/>
              </w:rPr>
            </w:pPr>
            <w:r w:rsidRPr="00635F32">
              <w:rPr>
                <w:rFonts w:ascii="Times New Roman" w:hAnsi="Times New Roman" w:cs="Times New Roman"/>
                <w:sz w:val="18"/>
              </w:rPr>
              <w:t>Estimates are derived from a multivariable generalized linear model (Poisson distribution) in which all variables depicted were included as independent variables; estimates are thus mutually adjusted.</w:t>
            </w:r>
          </w:p>
        </w:tc>
      </w:tr>
    </w:tbl>
    <w:p w:rsidR="007F651C" w:rsidRPr="00864F9A" w:rsidRDefault="00F27B48" w:rsidP="00864F9A">
      <w:pPr>
        <w:pageBreakBefor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S2</w:t>
      </w:r>
      <w:r w:rsidR="00864F9A">
        <w:rPr>
          <w:rFonts w:ascii="Times New Roman" w:hAnsi="Times New Roman" w:cs="Times New Roman"/>
          <w:b/>
        </w:rPr>
        <w:t>: Sensitivity a</w:t>
      </w:r>
      <w:r>
        <w:rPr>
          <w:rFonts w:ascii="Times New Roman" w:hAnsi="Times New Roman" w:cs="Times New Roman"/>
          <w:b/>
        </w:rPr>
        <w:t>nalysis</w:t>
      </w:r>
      <w:r w:rsidR="00864F9A">
        <w:rPr>
          <w:rFonts w:ascii="Times New Roman" w:hAnsi="Times New Roman" w:cs="Times New Roman"/>
          <w:b/>
        </w:rPr>
        <w:t xml:space="preserve"> eliminating infection-free period</w:t>
      </w:r>
      <w:r>
        <w:rPr>
          <w:rFonts w:ascii="Times New Roman" w:hAnsi="Times New Roman" w:cs="Times New Roman"/>
          <w:b/>
        </w:rPr>
        <w:t xml:space="preserve">: </w:t>
      </w:r>
      <w:r w:rsidR="00864F9A">
        <w:rPr>
          <w:rFonts w:ascii="Times New Roman" w:hAnsi="Times New Roman" w:cs="Times New Roman"/>
          <w:b/>
        </w:rPr>
        <w:t>o</w:t>
      </w:r>
      <w:r w:rsidRPr="00383F4E">
        <w:rPr>
          <w:rFonts w:ascii="Times New Roman" w:hAnsi="Times New Roman" w:cs="Times New Roman"/>
          <w:b/>
        </w:rPr>
        <w:t>utcome events during follow-up by exposure status</w:t>
      </w:r>
    </w:p>
    <w:tbl>
      <w:tblPr>
        <w:tblStyle w:val="TableGrid"/>
        <w:tblW w:w="86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20"/>
        <w:gridCol w:w="720"/>
        <w:gridCol w:w="990"/>
        <w:gridCol w:w="720"/>
        <w:gridCol w:w="26"/>
        <w:gridCol w:w="774"/>
        <w:gridCol w:w="64"/>
        <w:gridCol w:w="1556"/>
        <w:gridCol w:w="720"/>
        <w:gridCol w:w="28"/>
        <w:gridCol w:w="864"/>
        <w:gridCol w:w="8"/>
        <w:gridCol w:w="1350"/>
      </w:tblGrid>
      <w:tr w:rsidR="00864F9A" w:rsidRPr="005057F3" w:rsidTr="007C6360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F9A" w:rsidRPr="007F159B" w:rsidRDefault="00864F9A" w:rsidP="0005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bottom"/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At-risk time</w:t>
            </w:r>
          </w:p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pt-mo</w:t>
            </w:r>
            <w:proofErr w:type="spellEnd"/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64F9A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Any SARS-CoV-2 Infection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64F9A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Clinically Manifest COVID-19</w:t>
            </w:r>
          </w:p>
        </w:tc>
      </w:tr>
      <w:tr w:rsidR="00864F9A" w:rsidRPr="005057F3" w:rsidTr="007C6360"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F9A" w:rsidRPr="007F159B" w:rsidRDefault="00864F9A" w:rsidP="0005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F9A" w:rsidRPr="007F159B" w:rsidRDefault="00864F9A" w:rsidP="0005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864F9A" w:rsidRPr="007F159B" w:rsidRDefault="00864F9A" w:rsidP="0005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64" w:type="dxa"/>
            <w:gridSpan w:val="3"/>
            <w:tcBorders>
              <w:bottom w:val="single" w:sz="12" w:space="0" w:color="auto"/>
            </w:tcBorders>
            <w:vAlign w:val="bottom"/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</w:t>
            </w:r>
            <w:r w:rsidRPr="007F15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:rsidR="00864F9A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IRR</w:t>
            </w:r>
          </w:p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7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bottom"/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</w:t>
            </w:r>
            <w:r w:rsidRPr="007F15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360" w:rsidRDefault="007C6360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IRR</w:t>
            </w:r>
          </w:p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</w:tr>
      <w:tr w:rsidR="00864F9A" w:rsidRPr="005057F3" w:rsidTr="007C6360">
        <w:tc>
          <w:tcPr>
            <w:tcW w:w="8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F9A" w:rsidRPr="007F159B" w:rsidRDefault="00864F9A" w:rsidP="0005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Baseline IgG+ vs IgG-</w:t>
            </w:r>
          </w:p>
        </w:tc>
      </w:tr>
      <w:tr w:rsidR="00864F9A" w:rsidRPr="005057F3" w:rsidTr="007C6360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4F9A" w:rsidRPr="007F159B" w:rsidRDefault="00864F9A" w:rsidP="00864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IgG+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nil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12" w:space="0" w:color="auto"/>
              <w:bottom w:val="nil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64F9A" w:rsidRDefault="00864F9A" w:rsidP="0086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  <w:p w:rsidR="00864F9A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(0.30, 0.85)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64F9A" w:rsidRDefault="00864F9A" w:rsidP="0086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864F9A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(0.13, 0.75)</w:t>
            </w:r>
          </w:p>
        </w:tc>
      </w:tr>
      <w:tr w:rsidR="00864F9A" w:rsidRPr="005057F3" w:rsidTr="007C6360"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F9A" w:rsidRPr="007F159B" w:rsidRDefault="00864F9A" w:rsidP="00864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59B">
              <w:rPr>
                <w:rFonts w:ascii="Times New Roman" w:hAnsi="Times New Roman" w:cs="Times New Roman"/>
                <w:b/>
                <w:sz w:val="20"/>
                <w:szCs w:val="20"/>
              </w:rPr>
              <w:t>IgG-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11,428</w:t>
            </w:r>
          </w:p>
        </w:tc>
        <w:tc>
          <w:tcPr>
            <w:tcW w:w="746" w:type="dxa"/>
            <w:gridSpan w:val="2"/>
            <w:tcBorders>
              <w:top w:val="nil"/>
              <w:bottom w:val="single" w:sz="12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74" w:type="dxa"/>
            <w:tcBorders>
              <w:top w:val="nil"/>
              <w:bottom w:val="single" w:sz="12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64F9A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gridSpan w:val="3"/>
            <w:tcBorders>
              <w:top w:val="nil"/>
              <w:right w:val="single" w:sz="4" w:space="0" w:color="auto"/>
            </w:tcBorders>
          </w:tcPr>
          <w:p w:rsidR="00864F9A" w:rsidRPr="007F159B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64F9A" w:rsidRDefault="00864F9A" w:rsidP="0086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864F9A" w:rsidRPr="005057F3" w:rsidTr="007C6360">
        <w:tc>
          <w:tcPr>
            <w:tcW w:w="864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4F9A" w:rsidRPr="007F159B" w:rsidRDefault="00864F9A" w:rsidP="0005419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CI, confidence interval; </w:t>
            </w:r>
            <w:proofErr w:type="spellStart"/>
            <w:r w:rsidRPr="007F159B">
              <w:rPr>
                <w:rFonts w:ascii="Times New Roman" w:hAnsi="Times New Roman" w:cs="Times New Roman"/>
                <w:sz w:val="18"/>
              </w:rPr>
              <w:t>Hx</w:t>
            </w:r>
            <w:proofErr w:type="spellEnd"/>
            <w:r w:rsidRPr="007F159B">
              <w:rPr>
                <w:rFonts w:ascii="Times New Roman" w:hAnsi="Times New Roman" w:cs="Times New Roman"/>
                <w:sz w:val="18"/>
              </w:rPr>
              <w:t xml:space="preserve">, history of SARS-CoV-2 infection; IgG, immunoglobulin G against SARS-CoV-2; </w:t>
            </w:r>
            <w:r>
              <w:rPr>
                <w:rFonts w:ascii="Times New Roman" w:hAnsi="Times New Roman" w:cs="Times New Roman"/>
                <w:sz w:val="18"/>
              </w:rPr>
              <w:t xml:space="preserve">IRR, incidence rate ratio; </w:t>
            </w:r>
            <w:proofErr w:type="spellStart"/>
            <w:r w:rsidRPr="007F159B">
              <w:rPr>
                <w:rFonts w:ascii="Times New Roman" w:hAnsi="Times New Roman" w:cs="Times New Roman"/>
                <w:sz w:val="18"/>
              </w:rPr>
              <w:t>pt-mo</w:t>
            </w:r>
            <w:proofErr w:type="spellEnd"/>
            <w:r w:rsidRPr="007F159B">
              <w:rPr>
                <w:rFonts w:ascii="Times New Roman" w:hAnsi="Times New Roman" w:cs="Times New Roman"/>
                <w:sz w:val="18"/>
              </w:rPr>
              <w:t>, patient months</w:t>
            </w:r>
            <w:r>
              <w:rPr>
                <w:rFonts w:ascii="Times New Roman" w:hAnsi="Times New Roman" w:cs="Times New Roman"/>
                <w:sz w:val="18"/>
              </w:rPr>
              <w:t>; ref, referent.</w:t>
            </w:r>
          </w:p>
          <w:p w:rsidR="00864F9A" w:rsidRPr="007F159B" w:rsidRDefault="00864F9A" w:rsidP="0005419E">
            <w:pPr>
              <w:rPr>
                <w:rFonts w:ascii="Times New Roman" w:hAnsi="Times New Roman" w:cs="Times New Roman"/>
                <w:sz w:val="18"/>
              </w:rPr>
            </w:pPr>
          </w:p>
          <w:p w:rsidR="00864F9A" w:rsidRPr="007F159B" w:rsidRDefault="00864F9A" w:rsidP="0005419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159B">
              <w:rPr>
                <w:rFonts w:ascii="Times New Roman" w:hAnsi="Times New Roman" w:cs="Times New Roman"/>
                <w:sz w:val="18"/>
                <w:vertAlign w:val="superscript"/>
              </w:rPr>
              <w:t>a</w:t>
            </w:r>
            <w:proofErr w:type="spellEnd"/>
            <w:r w:rsidRPr="007F159B">
              <w:rPr>
                <w:rFonts w:ascii="Times New Roman" w:hAnsi="Times New Roman" w:cs="Times New Roman"/>
                <w:sz w:val="18"/>
              </w:rPr>
              <w:t xml:space="preserve"> Expressed as events per 100 patient-months</w:t>
            </w:r>
          </w:p>
        </w:tc>
      </w:tr>
    </w:tbl>
    <w:p w:rsidR="00864F9A" w:rsidRDefault="00864F9A"/>
    <w:sectPr w:rsidR="00864F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38" w:rsidRDefault="006A7E38" w:rsidP="0018509A">
      <w:pPr>
        <w:spacing w:after="0" w:line="240" w:lineRule="auto"/>
      </w:pPr>
      <w:r>
        <w:separator/>
      </w:r>
    </w:p>
  </w:endnote>
  <w:endnote w:type="continuationSeparator" w:id="0">
    <w:p w:rsidR="006A7E38" w:rsidRDefault="006A7E38" w:rsidP="0018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8509A" w:rsidRPr="0018509A" w:rsidRDefault="0018509A">
        <w:pPr>
          <w:pStyle w:val="Footer"/>
          <w:jc w:val="center"/>
          <w:rPr>
            <w:rFonts w:ascii="Times New Roman" w:hAnsi="Times New Roman" w:cs="Times New Roman"/>
          </w:rPr>
        </w:pPr>
        <w:r w:rsidRPr="0018509A">
          <w:rPr>
            <w:rFonts w:ascii="Times New Roman" w:hAnsi="Times New Roman" w:cs="Times New Roman"/>
          </w:rPr>
          <w:fldChar w:fldCharType="begin"/>
        </w:r>
        <w:r w:rsidRPr="0018509A">
          <w:rPr>
            <w:rFonts w:ascii="Times New Roman" w:hAnsi="Times New Roman" w:cs="Times New Roman"/>
          </w:rPr>
          <w:instrText xml:space="preserve"> PAGE   \* MERGEFORMAT </w:instrText>
        </w:r>
        <w:r w:rsidRPr="0018509A">
          <w:rPr>
            <w:rFonts w:ascii="Times New Roman" w:hAnsi="Times New Roman" w:cs="Times New Roman"/>
          </w:rPr>
          <w:fldChar w:fldCharType="separate"/>
        </w:r>
        <w:r w:rsidR="00CD1172">
          <w:rPr>
            <w:rFonts w:ascii="Times New Roman" w:hAnsi="Times New Roman" w:cs="Times New Roman"/>
            <w:noProof/>
          </w:rPr>
          <w:t>6</w:t>
        </w:r>
        <w:r w:rsidRPr="0018509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509A" w:rsidRDefault="00185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38" w:rsidRDefault="006A7E38" w:rsidP="0018509A">
      <w:pPr>
        <w:spacing w:after="0" w:line="240" w:lineRule="auto"/>
      </w:pPr>
      <w:r>
        <w:separator/>
      </w:r>
    </w:p>
  </w:footnote>
  <w:footnote w:type="continuationSeparator" w:id="0">
    <w:p w:rsidR="006A7E38" w:rsidRDefault="006A7E38" w:rsidP="0018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B3A"/>
    <w:multiLevelType w:val="hybridMultilevel"/>
    <w:tmpl w:val="773E13E2"/>
    <w:lvl w:ilvl="0" w:tplc="AF5846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B17DF"/>
    <w:multiLevelType w:val="hybridMultilevel"/>
    <w:tmpl w:val="EA7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9"/>
    <w:rsid w:val="00116392"/>
    <w:rsid w:val="00160BD3"/>
    <w:rsid w:val="0018509A"/>
    <w:rsid w:val="001E29A8"/>
    <w:rsid w:val="002E7757"/>
    <w:rsid w:val="00381153"/>
    <w:rsid w:val="00396998"/>
    <w:rsid w:val="00411E17"/>
    <w:rsid w:val="00460040"/>
    <w:rsid w:val="00495051"/>
    <w:rsid w:val="00533E26"/>
    <w:rsid w:val="00582858"/>
    <w:rsid w:val="005F47C1"/>
    <w:rsid w:val="0061662C"/>
    <w:rsid w:val="00634A6D"/>
    <w:rsid w:val="00635F32"/>
    <w:rsid w:val="006A7E38"/>
    <w:rsid w:val="0072334B"/>
    <w:rsid w:val="007C6360"/>
    <w:rsid w:val="007E1368"/>
    <w:rsid w:val="007F651C"/>
    <w:rsid w:val="00842619"/>
    <w:rsid w:val="00864F9A"/>
    <w:rsid w:val="00901105"/>
    <w:rsid w:val="00CD1172"/>
    <w:rsid w:val="00DD65F7"/>
    <w:rsid w:val="00EE0127"/>
    <w:rsid w:val="00F14AD8"/>
    <w:rsid w:val="00F27B4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1FF5F-2E2F-447B-A4F5-76F6C3B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9A"/>
  </w:style>
  <w:style w:type="paragraph" w:styleId="Footer">
    <w:name w:val="footer"/>
    <w:basedOn w:val="Normal"/>
    <w:link w:val="FooterChar"/>
    <w:uiPriority w:val="99"/>
    <w:unhideWhenUsed/>
    <w:rsid w:val="0018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9A"/>
  </w:style>
  <w:style w:type="paragraph" w:styleId="ListParagraph">
    <w:name w:val="List Paragraph"/>
    <w:basedOn w:val="Normal"/>
    <w:uiPriority w:val="34"/>
    <w:qFormat/>
    <w:rsid w:val="00185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DaVita, Inc.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Cohen</dc:creator>
  <cp:keywords/>
  <dc:description/>
  <cp:lastModifiedBy>Dena Cohen</cp:lastModifiedBy>
  <cp:revision>15</cp:revision>
  <dcterms:created xsi:type="dcterms:W3CDTF">2021-04-13T19:22:00Z</dcterms:created>
  <dcterms:modified xsi:type="dcterms:W3CDTF">2021-04-15T17:01:00Z</dcterms:modified>
</cp:coreProperties>
</file>