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3D2F" w14:textId="3834FF4A" w:rsidR="00940A9E" w:rsidRDefault="00C11213" w:rsidP="00C11213">
      <w:pPr>
        <w:jc w:val="center"/>
        <w:rPr>
          <w:rFonts w:ascii="Arial" w:hAnsi="Arial" w:cs="Arial"/>
          <w:sz w:val="22"/>
        </w:rPr>
      </w:pPr>
      <w:r w:rsidRPr="00C11213">
        <w:rPr>
          <w:rFonts w:ascii="Arial" w:hAnsi="Arial" w:cs="Arial"/>
          <w:b/>
          <w:bCs/>
          <w:sz w:val="22"/>
        </w:rPr>
        <w:t>Supplementary Content</w:t>
      </w:r>
    </w:p>
    <w:p w14:paraId="38258E4A" w14:textId="37B9D5E1" w:rsidR="00CE31A0" w:rsidRDefault="00CE31A0" w:rsidP="00B14EA9">
      <w:pPr>
        <w:rPr>
          <w:rFonts w:ascii="Arial" w:hAnsi="Arial" w:cs="Arial"/>
          <w:sz w:val="22"/>
        </w:rPr>
      </w:pPr>
    </w:p>
    <w:p w14:paraId="4FA3E78A" w14:textId="72867707" w:rsidR="00E007BA" w:rsidRPr="00E007BA" w:rsidRDefault="00DA3FCB" w:rsidP="002B6951">
      <w:pPr>
        <w:rPr>
          <w:rFonts w:ascii="Arial" w:hAnsi="Arial" w:cs="Arial"/>
          <w:sz w:val="22"/>
        </w:rPr>
      </w:pPr>
      <w:r>
        <w:rPr>
          <w:rFonts w:ascii="Arial" w:hAnsi="Arial" w:cs="Arial"/>
          <w:b/>
          <w:bCs/>
          <w:sz w:val="22"/>
        </w:rPr>
        <w:t xml:space="preserve">Supplemental </w:t>
      </w:r>
      <w:r w:rsidR="00E007BA">
        <w:rPr>
          <w:rFonts w:ascii="Arial" w:hAnsi="Arial" w:cs="Arial"/>
          <w:b/>
          <w:bCs/>
          <w:sz w:val="22"/>
        </w:rPr>
        <w:t>Methods</w:t>
      </w:r>
    </w:p>
    <w:p w14:paraId="547A170C" w14:textId="77777777" w:rsidR="00E007BA" w:rsidRDefault="00E007BA" w:rsidP="002B6951">
      <w:pPr>
        <w:rPr>
          <w:rFonts w:ascii="Arial" w:hAnsi="Arial" w:cs="Arial"/>
          <w:b/>
          <w:bCs/>
          <w:sz w:val="22"/>
        </w:rPr>
      </w:pPr>
    </w:p>
    <w:p w14:paraId="1C55FCD8" w14:textId="46F24EC9" w:rsidR="002B6951" w:rsidRPr="00B14EA9" w:rsidRDefault="00DA3FCB" w:rsidP="002B6951">
      <w:pPr>
        <w:rPr>
          <w:rFonts w:ascii="Arial" w:hAnsi="Arial" w:cs="Arial"/>
          <w:sz w:val="22"/>
        </w:rPr>
      </w:pPr>
      <w:r>
        <w:rPr>
          <w:rFonts w:ascii="Arial" w:hAnsi="Arial" w:cs="Arial"/>
          <w:b/>
          <w:bCs/>
          <w:sz w:val="22"/>
        </w:rPr>
        <w:t xml:space="preserve">Supplemental </w:t>
      </w:r>
      <w:r w:rsidR="002B6951" w:rsidRPr="00B14EA9">
        <w:rPr>
          <w:rFonts w:ascii="Arial" w:hAnsi="Arial" w:cs="Arial"/>
          <w:b/>
          <w:bCs/>
          <w:sz w:val="22"/>
        </w:rPr>
        <w:t>Figure 1</w:t>
      </w:r>
      <w:r w:rsidR="002B6951" w:rsidRPr="00B14EA9">
        <w:rPr>
          <w:rFonts w:ascii="Arial" w:hAnsi="Arial" w:cs="Arial"/>
          <w:sz w:val="22"/>
        </w:rPr>
        <w:t xml:space="preserve">. </w:t>
      </w:r>
      <w:r w:rsidR="002B6951" w:rsidRPr="005C1232">
        <w:rPr>
          <w:rFonts w:ascii="Arial" w:hAnsi="Arial" w:cs="Arial"/>
          <w:sz w:val="22"/>
        </w:rPr>
        <w:t>Candidate Predictor Variables Considered for Inclusion in Prediction Models</w:t>
      </w:r>
    </w:p>
    <w:p w14:paraId="6D1A76C0" w14:textId="77777777" w:rsidR="002B6951" w:rsidRDefault="002B6951" w:rsidP="00B14EA9">
      <w:pPr>
        <w:rPr>
          <w:rFonts w:ascii="Arial" w:hAnsi="Arial" w:cs="Arial"/>
          <w:b/>
          <w:bCs/>
          <w:sz w:val="22"/>
        </w:rPr>
      </w:pPr>
    </w:p>
    <w:p w14:paraId="2F30166E" w14:textId="44816A9B" w:rsidR="009577D9" w:rsidRDefault="00DA3FCB" w:rsidP="00B14EA9">
      <w:pPr>
        <w:rPr>
          <w:rFonts w:ascii="Arial" w:hAnsi="Arial" w:cs="Arial"/>
          <w:sz w:val="22"/>
        </w:rPr>
      </w:pPr>
      <w:r>
        <w:rPr>
          <w:rFonts w:ascii="Arial" w:hAnsi="Arial" w:cs="Arial"/>
          <w:b/>
          <w:bCs/>
          <w:sz w:val="22"/>
        </w:rPr>
        <w:t xml:space="preserve">Supplemental </w:t>
      </w:r>
      <w:r w:rsidR="009577D9" w:rsidRPr="00B14EA9">
        <w:rPr>
          <w:rFonts w:ascii="Arial" w:hAnsi="Arial" w:cs="Arial"/>
          <w:b/>
          <w:bCs/>
          <w:sz w:val="22"/>
        </w:rPr>
        <w:t xml:space="preserve">Figure </w:t>
      </w:r>
      <w:r w:rsidR="002B6951">
        <w:rPr>
          <w:rFonts w:ascii="Arial" w:hAnsi="Arial" w:cs="Arial"/>
          <w:b/>
          <w:bCs/>
          <w:sz w:val="22"/>
        </w:rPr>
        <w:t>2</w:t>
      </w:r>
      <w:r w:rsidR="009577D9" w:rsidRPr="00B14EA9">
        <w:rPr>
          <w:rFonts w:ascii="Arial" w:hAnsi="Arial" w:cs="Arial"/>
          <w:sz w:val="22"/>
        </w:rPr>
        <w:t xml:space="preserve">. </w:t>
      </w:r>
      <w:r w:rsidR="00DE0F81" w:rsidRPr="00DE0F81">
        <w:rPr>
          <w:rFonts w:ascii="Arial" w:hAnsi="Arial" w:cs="Arial"/>
          <w:sz w:val="22"/>
        </w:rPr>
        <w:t>Calibration Slope Plots of Cox Proportional Hazards and Fine-Gray Subdistribution Hazards Modeling Algorithms</w:t>
      </w:r>
    </w:p>
    <w:p w14:paraId="5B62A3AA" w14:textId="77777777" w:rsidR="001D6C5B" w:rsidRDefault="001D6C5B" w:rsidP="00B14EA9">
      <w:pPr>
        <w:rPr>
          <w:rFonts w:ascii="Arial" w:eastAsia="+mn-ea" w:hAnsi="Arial" w:cs="Arial"/>
          <w:b/>
          <w:color w:val="000000"/>
          <w:kern w:val="24"/>
          <w:sz w:val="22"/>
        </w:rPr>
      </w:pPr>
    </w:p>
    <w:p w14:paraId="4F9786CE" w14:textId="5D8DBE6D" w:rsidR="002807D6" w:rsidRPr="0077332A" w:rsidRDefault="00DA3FCB" w:rsidP="0077332A">
      <w:pPr>
        <w:rPr>
          <w:rFonts w:ascii="Arial" w:hAnsi="Arial" w:cs="Arial"/>
          <w:sz w:val="22"/>
        </w:rPr>
      </w:pPr>
      <w:r>
        <w:rPr>
          <w:rFonts w:ascii="Arial" w:hAnsi="Arial" w:cs="Arial"/>
          <w:b/>
          <w:bCs/>
          <w:sz w:val="22"/>
        </w:rPr>
        <w:t xml:space="preserve">Supplemental </w:t>
      </w:r>
      <w:r w:rsidR="0017576E" w:rsidRPr="005C1232">
        <w:rPr>
          <w:rFonts w:ascii="Arial" w:eastAsia="+mn-ea" w:hAnsi="Arial" w:cs="Arial"/>
          <w:b/>
          <w:color w:val="000000"/>
          <w:kern w:val="24"/>
          <w:sz w:val="22"/>
        </w:rPr>
        <w:t xml:space="preserve">Figure </w:t>
      </w:r>
      <w:r w:rsidR="00672C0F">
        <w:rPr>
          <w:rFonts w:ascii="Arial" w:eastAsia="+mn-ea" w:hAnsi="Arial" w:cs="Arial"/>
          <w:b/>
          <w:color w:val="000000"/>
          <w:kern w:val="24"/>
          <w:sz w:val="22"/>
        </w:rPr>
        <w:t>3</w:t>
      </w:r>
      <w:r w:rsidR="0017576E" w:rsidRPr="005C1232">
        <w:rPr>
          <w:rFonts w:ascii="Arial" w:eastAsia="+mn-ea" w:hAnsi="Arial" w:cs="Arial"/>
          <w:b/>
          <w:color w:val="000000"/>
          <w:kern w:val="24"/>
          <w:sz w:val="22"/>
        </w:rPr>
        <w:t>.</w:t>
      </w:r>
      <w:r w:rsidR="0017576E" w:rsidRPr="005C1232">
        <w:rPr>
          <w:rFonts w:ascii="Arial" w:eastAsia="+mn-ea" w:hAnsi="Arial" w:cs="Arial"/>
          <w:color w:val="000000"/>
          <w:kern w:val="24"/>
          <w:sz w:val="22"/>
        </w:rPr>
        <w:t xml:space="preserve"> </w:t>
      </w:r>
      <w:r w:rsidR="0017576E" w:rsidRPr="0017576E">
        <w:rPr>
          <w:rFonts w:ascii="Arial" w:hAnsi="Arial" w:cs="Arial"/>
          <w:sz w:val="22"/>
        </w:rPr>
        <w:t xml:space="preserve">Calibration of </w:t>
      </w:r>
      <w:r w:rsidR="0017576E">
        <w:rPr>
          <w:rFonts w:ascii="Arial" w:hAnsi="Arial" w:cs="Arial"/>
          <w:sz w:val="22"/>
        </w:rPr>
        <w:t xml:space="preserve">the ACC/AHA Pooled Cohort Equations </w:t>
      </w:r>
      <w:r w:rsidR="0017576E" w:rsidRPr="0017576E">
        <w:rPr>
          <w:rFonts w:ascii="Arial" w:hAnsi="Arial" w:cs="Arial"/>
          <w:sz w:val="22"/>
        </w:rPr>
        <w:t xml:space="preserve">in </w:t>
      </w:r>
      <w:r w:rsidR="0017576E">
        <w:rPr>
          <w:rFonts w:ascii="Arial" w:hAnsi="Arial" w:cs="Arial"/>
          <w:sz w:val="22"/>
        </w:rPr>
        <w:t>the CRIC Study</w:t>
      </w:r>
    </w:p>
    <w:p w14:paraId="4F6F534D" w14:textId="77777777" w:rsidR="002807D6" w:rsidRDefault="002807D6" w:rsidP="008B7E80">
      <w:pPr>
        <w:spacing w:after="160" w:line="259" w:lineRule="auto"/>
        <w:rPr>
          <w:rFonts w:ascii="Arial" w:hAnsi="Arial" w:cs="Arial"/>
          <w:b/>
          <w:bCs/>
          <w:sz w:val="22"/>
        </w:rPr>
      </w:pPr>
    </w:p>
    <w:p w14:paraId="4A838D4E" w14:textId="7D409FDD" w:rsidR="00B57846" w:rsidRPr="00E33D20" w:rsidRDefault="00B57846" w:rsidP="00B57846">
      <w:pPr>
        <w:spacing w:after="160" w:line="259" w:lineRule="auto"/>
        <w:rPr>
          <w:rFonts w:ascii="Arial" w:hAnsi="Arial" w:cs="Arial"/>
          <w:b/>
          <w:bCs/>
          <w:sz w:val="22"/>
        </w:rPr>
      </w:pPr>
      <w:r>
        <w:rPr>
          <w:rFonts w:ascii="Arial" w:hAnsi="Arial" w:cs="Arial"/>
          <w:b/>
          <w:bCs/>
          <w:sz w:val="22"/>
        </w:rPr>
        <w:t xml:space="preserve">Supplemental </w:t>
      </w:r>
      <w:r w:rsidRPr="005C1232">
        <w:rPr>
          <w:rFonts w:ascii="Arial" w:eastAsia="+mn-ea" w:hAnsi="Arial" w:cs="Arial"/>
          <w:b/>
          <w:color w:val="000000"/>
          <w:kern w:val="24"/>
          <w:sz w:val="22"/>
        </w:rPr>
        <w:t xml:space="preserve">Figure </w:t>
      </w:r>
      <w:r>
        <w:rPr>
          <w:rFonts w:ascii="Arial" w:eastAsia="+mn-ea" w:hAnsi="Arial" w:cs="Arial"/>
          <w:b/>
          <w:color w:val="000000"/>
          <w:kern w:val="24"/>
          <w:sz w:val="22"/>
        </w:rPr>
        <w:t>4</w:t>
      </w:r>
      <w:r w:rsidRPr="005C1232">
        <w:rPr>
          <w:rFonts w:ascii="Arial" w:eastAsia="+mn-ea" w:hAnsi="Arial" w:cs="Arial"/>
          <w:b/>
          <w:color w:val="000000"/>
          <w:kern w:val="24"/>
          <w:sz w:val="22"/>
        </w:rPr>
        <w:t>.</w:t>
      </w:r>
      <w:r w:rsidRPr="005C1232">
        <w:rPr>
          <w:rFonts w:ascii="Arial" w:eastAsia="+mn-ea" w:hAnsi="Arial" w:cs="Arial"/>
          <w:color w:val="000000"/>
          <w:kern w:val="24"/>
          <w:sz w:val="22"/>
        </w:rPr>
        <w:t xml:space="preserve"> </w:t>
      </w:r>
      <w:r>
        <w:rPr>
          <w:rFonts w:ascii="Arial" w:hAnsi="Arial" w:cs="Arial"/>
          <w:sz w:val="22"/>
        </w:rPr>
        <w:t>Prediction Performance of the CKD Patch in the CRIC Study</w:t>
      </w:r>
    </w:p>
    <w:p w14:paraId="33D0C68C" w14:textId="77777777" w:rsidR="00B57846" w:rsidRDefault="00B57846" w:rsidP="00B57846">
      <w:pPr>
        <w:spacing w:after="160" w:line="259" w:lineRule="auto"/>
        <w:rPr>
          <w:rFonts w:ascii="Arial" w:hAnsi="Arial" w:cs="Arial"/>
          <w:b/>
          <w:bCs/>
          <w:sz w:val="22"/>
        </w:rPr>
      </w:pPr>
    </w:p>
    <w:p w14:paraId="20EE6207" w14:textId="605BA387" w:rsidR="008B7E80" w:rsidRPr="00E33D20" w:rsidRDefault="008B7E80" w:rsidP="008B7E80">
      <w:pPr>
        <w:spacing w:after="160" w:line="259" w:lineRule="auto"/>
        <w:rPr>
          <w:rFonts w:ascii="Arial" w:hAnsi="Arial" w:cs="Arial"/>
          <w:b/>
          <w:bCs/>
          <w:sz w:val="22"/>
        </w:rPr>
      </w:pPr>
      <w:r>
        <w:rPr>
          <w:rFonts w:ascii="Arial" w:hAnsi="Arial" w:cs="Arial"/>
          <w:b/>
          <w:bCs/>
          <w:sz w:val="22"/>
        </w:rPr>
        <w:t xml:space="preserve">Supplemental </w:t>
      </w:r>
      <w:r w:rsidRPr="005C1232">
        <w:rPr>
          <w:rFonts w:ascii="Arial" w:eastAsia="+mn-ea" w:hAnsi="Arial" w:cs="Arial"/>
          <w:b/>
          <w:color w:val="000000"/>
          <w:kern w:val="24"/>
          <w:sz w:val="22"/>
        </w:rPr>
        <w:t xml:space="preserve">Figure </w:t>
      </w:r>
      <w:r w:rsidR="00B57846">
        <w:rPr>
          <w:rFonts w:ascii="Arial" w:eastAsia="+mn-ea" w:hAnsi="Arial" w:cs="Arial"/>
          <w:b/>
          <w:color w:val="000000"/>
          <w:kern w:val="24"/>
          <w:sz w:val="22"/>
        </w:rPr>
        <w:t>5</w:t>
      </w:r>
      <w:r w:rsidRPr="005C1232">
        <w:rPr>
          <w:rFonts w:ascii="Arial" w:eastAsia="+mn-ea" w:hAnsi="Arial" w:cs="Arial"/>
          <w:b/>
          <w:color w:val="000000"/>
          <w:kern w:val="24"/>
          <w:sz w:val="22"/>
        </w:rPr>
        <w:t>.</w:t>
      </w:r>
      <w:r w:rsidRPr="005C1232">
        <w:rPr>
          <w:rFonts w:ascii="Arial" w:eastAsia="+mn-ea" w:hAnsi="Arial" w:cs="Arial"/>
          <w:color w:val="000000"/>
          <w:kern w:val="24"/>
          <w:sz w:val="22"/>
        </w:rPr>
        <w:t xml:space="preserve"> </w:t>
      </w:r>
      <w:r>
        <w:rPr>
          <w:rFonts w:ascii="Arial" w:hAnsi="Arial" w:cs="Arial"/>
          <w:sz w:val="22"/>
        </w:rPr>
        <w:t>Prediction Performance of Novel CRIC Study Models by CKD Stage</w:t>
      </w:r>
    </w:p>
    <w:p w14:paraId="74783C4D" w14:textId="77777777" w:rsidR="008B7E80" w:rsidRDefault="008B7E80" w:rsidP="00E33D20">
      <w:pPr>
        <w:spacing w:after="160" w:line="259" w:lineRule="auto"/>
        <w:rPr>
          <w:rFonts w:ascii="Arial" w:hAnsi="Arial" w:cs="Arial"/>
          <w:b/>
          <w:bCs/>
          <w:sz w:val="22"/>
        </w:rPr>
      </w:pPr>
    </w:p>
    <w:p w14:paraId="65AA7837" w14:textId="369D5613" w:rsidR="00E33D20" w:rsidRPr="00E33D20" w:rsidRDefault="00E33D20" w:rsidP="00E33D20">
      <w:pPr>
        <w:spacing w:after="160" w:line="259" w:lineRule="auto"/>
        <w:rPr>
          <w:rFonts w:ascii="Arial" w:hAnsi="Arial" w:cs="Arial"/>
          <w:b/>
          <w:bCs/>
          <w:sz w:val="22"/>
        </w:rPr>
      </w:pPr>
      <w:r>
        <w:rPr>
          <w:rFonts w:ascii="Arial" w:hAnsi="Arial" w:cs="Arial"/>
          <w:b/>
          <w:bCs/>
          <w:sz w:val="22"/>
        </w:rPr>
        <w:t xml:space="preserve">Supplemental </w:t>
      </w:r>
      <w:r w:rsidRPr="005C1232">
        <w:rPr>
          <w:rFonts w:ascii="Arial" w:eastAsia="+mn-ea" w:hAnsi="Arial" w:cs="Arial"/>
          <w:b/>
          <w:color w:val="000000"/>
          <w:kern w:val="24"/>
          <w:sz w:val="22"/>
        </w:rPr>
        <w:t xml:space="preserve">Figure </w:t>
      </w:r>
      <w:r w:rsidR="00B57846">
        <w:rPr>
          <w:rFonts w:ascii="Arial" w:eastAsia="+mn-ea" w:hAnsi="Arial" w:cs="Arial"/>
          <w:b/>
          <w:color w:val="000000"/>
          <w:kern w:val="24"/>
          <w:sz w:val="22"/>
        </w:rPr>
        <w:t>6</w:t>
      </w:r>
      <w:r w:rsidRPr="005C1232">
        <w:rPr>
          <w:rFonts w:ascii="Arial" w:eastAsia="+mn-ea" w:hAnsi="Arial" w:cs="Arial"/>
          <w:b/>
          <w:color w:val="000000"/>
          <w:kern w:val="24"/>
          <w:sz w:val="22"/>
        </w:rPr>
        <w:t>.</w:t>
      </w:r>
      <w:r w:rsidRPr="005C1232">
        <w:rPr>
          <w:rFonts w:ascii="Arial" w:eastAsia="+mn-ea" w:hAnsi="Arial" w:cs="Arial"/>
          <w:color w:val="000000"/>
          <w:kern w:val="24"/>
          <w:sz w:val="22"/>
        </w:rPr>
        <w:t xml:space="preserve"> </w:t>
      </w:r>
      <w:r>
        <w:rPr>
          <w:rFonts w:ascii="Arial" w:hAnsi="Arial" w:cs="Arial"/>
          <w:sz w:val="22"/>
        </w:rPr>
        <w:t xml:space="preserve">Prediction Performance of Novel CRIC Study Models </w:t>
      </w:r>
      <w:r w:rsidR="008B7E80">
        <w:rPr>
          <w:rFonts w:ascii="Arial" w:hAnsi="Arial" w:cs="Arial"/>
          <w:sz w:val="22"/>
        </w:rPr>
        <w:t>in External Validation Data</w:t>
      </w:r>
    </w:p>
    <w:p w14:paraId="4499465B" w14:textId="77777777" w:rsidR="009577D9" w:rsidRPr="00B14EA9" w:rsidRDefault="009577D9" w:rsidP="00B14EA9">
      <w:pPr>
        <w:rPr>
          <w:rFonts w:ascii="Arial" w:hAnsi="Arial" w:cs="Arial"/>
          <w:sz w:val="22"/>
        </w:rPr>
      </w:pPr>
    </w:p>
    <w:p w14:paraId="059FF81A" w14:textId="2A4671D9" w:rsidR="00DB66C0" w:rsidRDefault="00DA3FCB" w:rsidP="00DB66C0">
      <w:pPr>
        <w:rPr>
          <w:rFonts w:ascii="Arial" w:hAnsi="Arial" w:cs="Arial"/>
          <w:sz w:val="22"/>
        </w:rPr>
      </w:pPr>
      <w:r>
        <w:rPr>
          <w:rFonts w:ascii="Arial" w:hAnsi="Arial" w:cs="Arial"/>
          <w:b/>
          <w:bCs/>
          <w:sz w:val="22"/>
        </w:rPr>
        <w:t xml:space="preserve">Supplemental </w:t>
      </w:r>
      <w:r w:rsidR="00DB66C0" w:rsidRPr="00B14EA9">
        <w:rPr>
          <w:rFonts w:ascii="Arial" w:hAnsi="Arial" w:cs="Arial"/>
          <w:b/>
          <w:bCs/>
          <w:sz w:val="22"/>
        </w:rPr>
        <w:t xml:space="preserve">Table </w:t>
      </w:r>
      <w:r w:rsidR="00FB3A85">
        <w:rPr>
          <w:rFonts w:ascii="Arial" w:hAnsi="Arial" w:cs="Arial"/>
          <w:b/>
          <w:bCs/>
          <w:sz w:val="22"/>
        </w:rPr>
        <w:t>1</w:t>
      </w:r>
      <w:r w:rsidR="00DB66C0" w:rsidRPr="00B14EA9">
        <w:rPr>
          <w:rFonts w:ascii="Arial" w:hAnsi="Arial" w:cs="Arial"/>
          <w:sz w:val="22"/>
        </w:rPr>
        <w:t xml:space="preserve">.  </w:t>
      </w:r>
      <w:r w:rsidR="00DE0F81" w:rsidRPr="00DE0F81">
        <w:rPr>
          <w:rFonts w:ascii="Arial" w:hAnsi="Arial" w:cs="Arial"/>
          <w:sz w:val="22"/>
        </w:rPr>
        <w:t>Discrimination and Index of Prediction Accuracy for 10-year Risk Prediction of Atherosclerotic Cardiovascular Disease</w:t>
      </w:r>
    </w:p>
    <w:p w14:paraId="7EF00532" w14:textId="590443E7" w:rsidR="00F65F74" w:rsidRDefault="00F65F74" w:rsidP="00DB66C0">
      <w:pPr>
        <w:rPr>
          <w:rFonts w:ascii="Arial" w:hAnsi="Arial" w:cs="Arial"/>
          <w:sz w:val="22"/>
        </w:rPr>
      </w:pPr>
    </w:p>
    <w:p w14:paraId="13ADCEC3" w14:textId="33ED89B9" w:rsidR="00F65F74" w:rsidRPr="00B14EA9" w:rsidRDefault="00DA3FCB" w:rsidP="00F65F74">
      <w:pPr>
        <w:spacing w:after="80"/>
        <w:contextualSpacing w:val="0"/>
        <w:rPr>
          <w:rFonts w:ascii="Arial" w:hAnsi="Arial" w:cs="Arial"/>
          <w:sz w:val="22"/>
        </w:rPr>
      </w:pPr>
      <w:r>
        <w:rPr>
          <w:rFonts w:ascii="Arial" w:hAnsi="Arial" w:cs="Arial"/>
          <w:b/>
          <w:bCs/>
          <w:sz w:val="22"/>
        </w:rPr>
        <w:t xml:space="preserve">Supplemental </w:t>
      </w:r>
      <w:r w:rsidR="00F65F74" w:rsidRPr="004C71CE">
        <w:rPr>
          <w:rFonts w:ascii="Arial" w:hAnsi="Arial" w:cs="Arial"/>
          <w:b/>
          <w:bCs/>
          <w:sz w:val="22"/>
        </w:rPr>
        <w:t xml:space="preserve">Table </w:t>
      </w:r>
      <w:r w:rsidR="00F65F74">
        <w:rPr>
          <w:rFonts w:ascii="Arial" w:hAnsi="Arial" w:cs="Arial"/>
          <w:b/>
          <w:bCs/>
          <w:sz w:val="22"/>
        </w:rPr>
        <w:t>2</w:t>
      </w:r>
      <w:r w:rsidR="00F65F74" w:rsidRPr="004C71CE">
        <w:rPr>
          <w:rFonts w:ascii="Arial" w:hAnsi="Arial" w:cs="Arial"/>
          <w:sz w:val="22"/>
        </w:rPr>
        <w:t xml:space="preserve">. </w:t>
      </w:r>
      <w:r w:rsidR="00F65F74">
        <w:rPr>
          <w:rFonts w:ascii="Arial" w:hAnsi="Arial" w:cs="Arial"/>
          <w:sz w:val="22"/>
        </w:rPr>
        <w:t>Internal-External Validation of 10-year Risk Prediction of Atherosclerotic Cardiovascular Disease in the CRIC Study</w:t>
      </w:r>
    </w:p>
    <w:p w14:paraId="75170CC8" w14:textId="77777777" w:rsidR="00DB66C0" w:rsidRDefault="00DB66C0" w:rsidP="00597EAF">
      <w:pPr>
        <w:rPr>
          <w:rFonts w:ascii="Arial" w:hAnsi="Arial" w:cs="Arial"/>
          <w:b/>
          <w:bCs/>
          <w:sz w:val="22"/>
        </w:rPr>
      </w:pPr>
    </w:p>
    <w:p w14:paraId="381AFC1A" w14:textId="5938168C" w:rsidR="002B6951" w:rsidRPr="00B14EA9" w:rsidRDefault="00DA3FCB" w:rsidP="002B6951">
      <w:pPr>
        <w:rPr>
          <w:rFonts w:ascii="Arial" w:hAnsi="Arial" w:cs="Arial"/>
          <w:sz w:val="22"/>
        </w:rPr>
      </w:pPr>
      <w:r>
        <w:rPr>
          <w:rFonts w:ascii="Arial" w:hAnsi="Arial" w:cs="Arial"/>
          <w:b/>
          <w:bCs/>
          <w:sz w:val="22"/>
        </w:rPr>
        <w:t xml:space="preserve">Supplemental </w:t>
      </w:r>
      <w:r w:rsidR="002B6951" w:rsidRPr="00B14EA9">
        <w:rPr>
          <w:rFonts w:ascii="Arial" w:hAnsi="Arial" w:cs="Arial"/>
          <w:b/>
          <w:bCs/>
          <w:sz w:val="22"/>
        </w:rPr>
        <w:t xml:space="preserve">Table </w:t>
      </w:r>
      <w:r w:rsidR="00F65F74">
        <w:rPr>
          <w:rFonts w:ascii="Arial" w:hAnsi="Arial" w:cs="Arial"/>
          <w:b/>
          <w:bCs/>
          <w:sz w:val="22"/>
        </w:rPr>
        <w:t>3</w:t>
      </w:r>
      <w:r w:rsidR="002B6951" w:rsidRPr="00B14EA9">
        <w:rPr>
          <w:rFonts w:ascii="Arial" w:hAnsi="Arial" w:cs="Arial"/>
          <w:sz w:val="22"/>
        </w:rPr>
        <w:t xml:space="preserve">. </w:t>
      </w:r>
      <w:r w:rsidR="002B6951" w:rsidRPr="002B6951">
        <w:rPr>
          <w:rFonts w:ascii="Arial" w:hAnsi="Arial" w:cs="Arial"/>
          <w:sz w:val="22"/>
        </w:rPr>
        <w:t>Example Calculations of Predicted 10-year Risk of ASCVD (ACC/AHA PCEs Variables)</w:t>
      </w:r>
    </w:p>
    <w:p w14:paraId="7E4653E6" w14:textId="77777777" w:rsidR="002B6951" w:rsidRDefault="002B6951" w:rsidP="002B6951">
      <w:pPr>
        <w:rPr>
          <w:rFonts w:ascii="Arial" w:hAnsi="Arial" w:cs="Arial"/>
          <w:b/>
          <w:bCs/>
          <w:sz w:val="22"/>
        </w:rPr>
      </w:pPr>
    </w:p>
    <w:p w14:paraId="6B0D9251" w14:textId="5D981306" w:rsidR="002B6951" w:rsidRPr="00B14EA9" w:rsidRDefault="00DA3FCB" w:rsidP="002B6951">
      <w:pPr>
        <w:rPr>
          <w:rFonts w:ascii="Arial" w:hAnsi="Arial" w:cs="Arial"/>
          <w:sz w:val="22"/>
        </w:rPr>
      </w:pPr>
      <w:r>
        <w:rPr>
          <w:rFonts w:ascii="Arial" w:hAnsi="Arial" w:cs="Arial"/>
          <w:b/>
          <w:bCs/>
          <w:sz w:val="22"/>
        </w:rPr>
        <w:t xml:space="preserve">Supplemental </w:t>
      </w:r>
      <w:r w:rsidR="002B6951" w:rsidRPr="00B14EA9">
        <w:rPr>
          <w:rFonts w:ascii="Arial" w:hAnsi="Arial" w:cs="Arial"/>
          <w:b/>
          <w:bCs/>
          <w:sz w:val="22"/>
        </w:rPr>
        <w:t xml:space="preserve">Table </w:t>
      </w:r>
      <w:r w:rsidR="00F65F74">
        <w:rPr>
          <w:rFonts w:ascii="Arial" w:hAnsi="Arial" w:cs="Arial"/>
          <w:b/>
          <w:bCs/>
          <w:sz w:val="22"/>
        </w:rPr>
        <w:t>4</w:t>
      </w:r>
      <w:r w:rsidR="002B6951" w:rsidRPr="00B14EA9">
        <w:rPr>
          <w:rFonts w:ascii="Arial" w:hAnsi="Arial" w:cs="Arial"/>
          <w:sz w:val="22"/>
        </w:rPr>
        <w:t xml:space="preserve">. </w:t>
      </w:r>
      <w:r w:rsidR="002B6951" w:rsidRPr="002B6951">
        <w:rPr>
          <w:rFonts w:ascii="Arial" w:hAnsi="Arial" w:cs="Arial"/>
          <w:sz w:val="22"/>
        </w:rPr>
        <w:t>Example Calculations of Predicted 10-year Risk of ASCVD (</w:t>
      </w:r>
      <w:r w:rsidR="002B6951">
        <w:rPr>
          <w:rFonts w:ascii="Arial" w:hAnsi="Arial" w:cs="Arial"/>
          <w:sz w:val="22"/>
        </w:rPr>
        <w:t>CRIC Clinical Model</w:t>
      </w:r>
      <w:r w:rsidR="002B6951" w:rsidRPr="002B6951">
        <w:rPr>
          <w:rFonts w:ascii="Arial" w:hAnsi="Arial" w:cs="Arial"/>
          <w:sz w:val="22"/>
        </w:rPr>
        <w:t>)</w:t>
      </w:r>
    </w:p>
    <w:p w14:paraId="02B31FB2" w14:textId="77777777" w:rsidR="002B6951" w:rsidRDefault="002B6951" w:rsidP="002B6951">
      <w:pPr>
        <w:rPr>
          <w:rFonts w:ascii="Arial" w:hAnsi="Arial" w:cs="Arial"/>
          <w:sz w:val="22"/>
        </w:rPr>
      </w:pPr>
    </w:p>
    <w:p w14:paraId="1F0B07CB" w14:textId="33101718" w:rsidR="00060D18" w:rsidRDefault="00DA3FCB" w:rsidP="002B6951">
      <w:pPr>
        <w:rPr>
          <w:rFonts w:ascii="Arial" w:hAnsi="Arial" w:cs="Arial"/>
          <w:sz w:val="22"/>
        </w:rPr>
      </w:pPr>
      <w:r>
        <w:rPr>
          <w:rFonts w:ascii="Arial" w:hAnsi="Arial" w:cs="Arial"/>
          <w:b/>
          <w:bCs/>
          <w:sz w:val="22"/>
        </w:rPr>
        <w:t xml:space="preserve">Supplemental </w:t>
      </w:r>
      <w:r w:rsidR="002B6951" w:rsidRPr="00B14EA9">
        <w:rPr>
          <w:rFonts w:ascii="Arial" w:hAnsi="Arial" w:cs="Arial"/>
          <w:b/>
          <w:bCs/>
          <w:sz w:val="22"/>
        </w:rPr>
        <w:t xml:space="preserve">Table </w:t>
      </w:r>
      <w:r w:rsidR="00F65F74">
        <w:rPr>
          <w:rFonts w:ascii="Arial" w:hAnsi="Arial" w:cs="Arial"/>
          <w:b/>
          <w:bCs/>
          <w:sz w:val="22"/>
        </w:rPr>
        <w:t>5</w:t>
      </w:r>
      <w:r w:rsidR="002B6951" w:rsidRPr="00B14EA9">
        <w:rPr>
          <w:rFonts w:ascii="Arial" w:hAnsi="Arial" w:cs="Arial"/>
          <w:sz w:val="22"/>
        </w:rPr>
        <w:t xml:space="preserve">. </w:t>
      </w:r>
      <w:r w:rsidR="002B6951" w:rsidRPr="002B6951">
        <w:rPr>
          <w:rFonts w:ascii="Arial" w:hAnsi="Arial" w:cs="Arial"/>
          <w:sz w:val="22"/>
        </w:rPr>
        <w:t>Example Calculations of Predicted 10-year Risk of ASCVD (</w:t>
      </w:r>
      <w:r w:rsidR="002B6951">
        <w:rPr>
          <w:rFonts w:ascii="Arial" w:hAnsi="Arial" w:cs="Arial"/>
          <w:sz w:val="22"/>
        </w:rPr>
        <w:t>CRIC Enriched Model</w:t>
      </w:r>
      <w:r w:rsidR="002B6951" w:rsidRPr="002B6951">
        <w:rPr>
          <w:rFonts w:ascii="Arial" w:hAnsi="Arial" w:cs="Arial"/>
          <w:sz w:val="22"/>
        </w:rPr>
        <w:t>)</w:t>
      </w:r>
    </w:p>
    <w:p w14:paraId="0B52B788" w14:textId="7F579EA4" w:rsidR="00D17019" w:rsidRDefault="00D17019" w:rsidP="002B6951">
      <w:pPr>
        <w:rPr>
          <w:rFonts w:ascii="Arial" w:hAnsi="Arial" w:cs="Arial"/>
          <w:sz w:val="22"/>
        </w:rPr>
      </w:pPr>
    </w:p>
    <w:p w14:paraId="5F6DE94B" w14:textId="380ACA02" w:rsidR="00D17019" w:rsidRDefault="00D17019" w:rsidP="002B6951">
      <w:pPr>
        <w:rPr>
          <w:rFonts w:ascii="Arial" w:hAnsi="Arial" w:cs="Arial"/>
          <w:sz w:val="22"/>
        </w:rPr>
      </w:pPr>
      <w:r>
        <w:rPr>
          <w:rFonts w:ascii="Arial" w:hAnsi="Arial" w:cs="Arial"/>
          <w:b/>
          <w:bCs/>
          <w:sz w:val="22"/>
        </w:rPr>
        <w:t xml:space="preserve">Supplemental </w:t>
      </w:r>
      <w:r w:rsidRPr="00F90BB9">
        <w:rPr>
          <w:rFonts w:ascii="Arial" w:eastAsia="+mn-ea" w:hAnsi="Arial" w:cs="Arial"/>
          <w:b/>
          <w:color w:val="000000"/>
          <w:kern w:val="24"/>
          <w:sz w:val="22"/>
        </w:rPr>
        <w:t xml:space="preserve">Table </w:t>
      </w:r>
      <w:r w:rsidR="002362BE">
        <w:rPr>
          <w:rFonts w:ascii="Arial" w:eastAsia="+mn-ea" w:hAnsi="Arial" w:cs="Arial"/>
          <w:b/>
          <w:color w:val="000000"/>
          <w:kern w:val="24"/>
          <w:sz w:val="22"/>
        </w:rPr>
        <w:t>6</w:t>
      </w:r>
      <w:r w:rsidRPr="00F90BB9">
        <w:rPr>
          <w:rFonts w:ascii="Arial" w:eastAsia="+mn-ea" w:hAnsi="Arial" w:cs="Arial"/>
          <w:b/>
          <w:color w:val="000000"/>
          <w:kern w:val="24"/>
          <w:sz w:val="22"/>
        </w:rPr>
        <w:t>.</w:t>
      </w:r>
      <w:r w:rsidRPr="00F90BB9">
        <w:rPr>
          <w:rFonts w:ascii="Arial" w:eastAsia="+mn-ea" w:hAnsi="Arial" w:cs="Arial"/>
          <w:color w:val="000000"/>
          <w:kern w:val="24"/>
          <w:sz w:val="22"/>
        </w:rPr>
        <w:t xml:space="preserve"> </w:t>
      </w:r>
      <w:r w:rsidRPr="002459FA">
        <w:rPr>
          <w:rFonts w:ascii="Arial" w:eastAsia="+mn-ea" w:hAnsi="Arial" w:cs="Arial"/>
          <w:color w:val="000000"/>
          <w:kern w:val="24"/>
          <w:sz w:val="22"/>
        </w:rPr>
        <w:t>Baseline Characteristics of Development (CRIC Study) and External Validation (ARIC and MESA) Cohort Participants</w:t>
      </w:r>
    </w:p>
    <w:p w14:paraId="1DF09596" w14:textId="77777777" w:rsidR="00060D18" w:rsidRDefault="00060D18" w:rsidP="002B6951">
      <w:pPr>
        <w:rPr>
          <w:rFonts w:ascii="Arial" w:hAnsi="Arial" w:cs="Arial"/>
          <w:sz w:val="22"/>
        </w:rPr>
      </w:pPr>
    </w:p>
    <w:p w14:paraId="259AE230" w14:textId="752F0F3F" w:rsidR="00060D18" w:rsidRDefault="00DA3FCB" w:rsidP="002B6951">
      <w:pPr>
        <w:rPr>
          <w:rFonts w:ascii="Arial" w:hAnsi="Arial" w:cs="Arial"/>
          <w:sz w:val="22"/>
        </w:rPr>
      </w:pPr>
      <w:r>
        <w:rPr>
          <w:rFonts w:ascii="Arial" w:hAnsi="Arial" w:cs="Arial"/>
          <w:b/>
          <w:bCs/>
          <w:sz w:val="22"/>
        </w:rPr>
        <w:t xml:space="preserve">Supplemental </w:t>
      </w:r>
      <w:r w:rsidR="00060D18" w:rsidRPr="00EA3792">
        <w:rPr>
          <w:rFonts w:ascii="Arial" w:eastAsia="+mn-ea" w:hAnsi="Arial" w:cs="Arial"/>
          <w:b/>
          <w:color w:val="000000"/>
          <w:kern w:val="24"/>
          <w:sz w:val="22"/>
        </w:rPr>
        <w:t xml:space="preserve">Table </w:t>
      </w:r>
      <w:r w:rsidR="002362BE">
        <w:rPr>
          <w:rFonts w:ascii="Arial" w:eastAsia="+mn-ea" w:hAnsi="Arial" w:cs="Arial"/>
          <w:b/>
          <w:color w:val="000000"/>
          <w:kern w:val="24"/>
          <w:sz w:val="22"/>
        </w:rPr>
        <w:t>7</w:t>
      </w:r>
      <w:r w:rsidR="00060D18" w:rsidRPr="00EA3792">
        <w:rPr>
          <w:rFonts w:ascii="Arial" w:eastAsia="+mn-ea" w:hAnsi="Arial" w:cs="Arial"/>
          <w:b/>
          <w:color w:val="000000"/>
          <w:kern w:val="24"/>
          <w:sz w:val="22"/>
        </w:rPr>
        <w:t>.</w:t>
      </w:r>
      <w:r w:rsidR="00060D18" w:rsidRPr="00EA3792">
        <w:rPr>
          <w:rFonts w:ascii="Arial" w:eastAsia="+mn-ea" w:hAnsi="Arial" w:cs="Arial"/>
          <w:color w:val="000000"/>
          <w:kern w:val="24"/>
          <w:sz w:val="22"/>
        </w:rPr>
        <w:t xml:space="preserve"> </w:t>
      </w:r>
      <w:r w:rsidR="00060D18">
        <w:rPr>
          <w:rFonts w:ascii="Arial" w:eastAsia="+mn-ea" w:hAnsi="Arial" w:cs="Arial"/>
          <w:color w:val="000000"/>
          <w:kern w:val="24"/>
          <w:sz w:val="22"/>
        </w:rPr>
        <w:t>Reclassification of Events</w:t>
      </w:r>
      <w:r w:rsidR="00060D18" w:rsidRPr="00380CEF">
        <w:rPr>
          <w:rFonts w:ascii="Arial" w:eastAsia="+mn-ea" w:hAnsi="Arial" w:cs="Arial"/>
          <w:color w:val="000000"/>
          <w:kern w:val="24"/>
          <w:sz w:val="22"/>
        </w:rPr>
        <w:t xml:space="preserve"> for Risk Prediction Models for ASCVD in CKD</w:t>
      </w:r>
    </w:p>
    <w:p w14:paraId="65D644BA" w14:textId="77777777" w:rsidR="00060D18" w:rsidRDefault="00060D18" w:rsidP="002B6951">
      <w:pPr>
        <w:rPr>
          <w:rFonts w:ascii="Arial" w:hAnsi="Arial" w:cs="Arial"/>
          <w:sz w:val="22"/>
        </w:rPr>
      </w:pPr>
    </w:p>
    <w:p w14:paraId="4A933F9E" w14:textId="2968D2A2" w:rsidR="009577D9" w:rsidRPr="00B14EA9" w:rsidRDefault="00DA3FCB" w:rsidP="002B6951">
      <w:pPr>
        <w:rPr>
          <w:rFonts w:ascii="Arial" w:hAnsi="Arial" w:cs="Arial"/>
          <w:sz w:val="22"/>
        </w:rPr>
      </w:pPr>
      <w:r>
        <w:rPr>
          <w:rFonts w:ascii="Arial" w:hAnsi="Arial" w:cs="Arial"/>
          <w:b/>
          <w:bCs/>
          <w:sz w:val="22"/>
        </w:rPr>
        <w:t xml:space="preserve">Supplemental </w:t>
      </w:r>
      <w:r w:rsidR="00060D18" w:rsidRPr="00EA3792">
        <w:rPr>
          <w:rFonts w:ascii="Arial" w:eastAsia="+mn-ea" w:hAnsi="Arial" w:cs="Arial"/>
          <w:b/>
          <w:color w:val="000000"/>
          <w:kern w:val="24"/>
          <w:sz w:val="22"/>
        </w:rPr>
        <w:t xml:space="preserve">Table </w:t>
      </w:r>
      <w:r w:rsidR="002362BE">
        <w:rPr>
          <w:rFonts w:ascii="Arial" w:eastAsia="+mn-ea" w:hAnsi="Arial" w:cs="Arial"/>
          <w:b/>
          <w:color w:val="000000"/>
          <w:kern w:val="24"/>
          <w:sz w:val="22"/>
        </w:rPr>
        <w:t>8</w:t>
      </w:r>
      <w:r w:rsidR="00060D18" w:rsidRPr="00EA3792">
        <w:rPr>
          <w:rFonts w:ascii="Arial" w:eastAsia="+mn-ea" w:hAnsi="Arial" w:cs="Arial"/>
          <w:b/>
          <w:color w:val="000000"/>
          <w:kern w:val="24"/>
          <w:sz w:val="22"/>
        </w:rPr>
        <w:t>.</w:t>
      </w:r>
      <w:r w:rsidR="00060D18" w:rsidRPr="00EA3792">
        <w:rPr>
          <w:rFonts w:ascii="Arial" w:eastAsia="+mn-ea" w:hAnsi="Arial" w:cs="Arial"/>
          <w:color w:val="000000"/>
          <w:kern w:val="24"/>
          <w:sz w:val="22"/>
        </w:rPr>
        <w:t xml:space="preserve"> </w:t>
      </w:r>
      <w:r w:rsidR="00060D18">
        <w:rPr>
          <w:rFonts w:ascii="Arial" w:eastAsia="+mn-ea" w:hAnsi="Arial" w:cs="Arial"/>
          <w:color w:val="000000"/>
          <w:kern w:val="24"/>
          <w:sz w:val="22"/>
        </w:rPr>
        <w:t>Reclassification of Non-events</w:t>
      </w:r>
      <w:r w:rsidR="00060D18" w:rsidRPr="00380CEF">
        <w:rPr>
          <w:rFonts w:ascii="Arial" w:eastAsia="+mn-ea" w:hAnsi="Arial" w:cs="Arial"/>
          <w:color w:val="000000"/>
          <w:kern w:val="24"/>
          <w:sz w:val="22"/>
        </w:rPr>
        <w:t xml:space="preserve"> for Risk Prediction Models for ASCVD in CKD</w:t>
      </w:r>
      <w:r w:rsidR="009577D9" w:rsidRPr="00B14EA9">
        <w:rPr>
          <w:rFonts w:ascii="Arial" w:hAnsi="Arial" w:cs="Arial"/>
          <w:sz w:val="22"/>
        </w:rPr>
        <w:br w:type="page"/>
      </w:r>
    </w:p>
    <w:p w14:paraId="386AECDA" w14:textId="672C8FCD" w:rsidR="00E007BA" w:rsidRPr="004A00FD" w:rsidRDefault="00DA3FCB" w:rsidP="00CE31A0">
      <w:pPr>
        <w:rPr>
          <w:rFonts w:cs="Times New Roman"/>
          <w:szCs w:val="24"/>
        </w:rPr>
      </w:pPr>
      <w:r>
        <w:rPr>
          <w:rFonts w:cs="Times New Roman"/>
          <w:b/>
          <w:bCs/>
          <w:szCs w:val="24"/>
        </w:rPr>
        <w:lastRenderedPageBreak/>
        <w:t xml:space="preserve">Supplemental </w:t>
      </w:r>
      <w:r w:rsidR="00E007BA" w:rsidRPr="004A00FD">
        <w:rPr>
          <w:rFonts w:cs="Times New Roman"/>
          <w:b/>
          <w:bCs/>
          <w:szCs w:val="24"/>
        </w:rPr>
        <w:t>Methods</w:t>
      </w:r>
    </w:p>
    <w:p w14:paraId="44736677" w14:textId="77777777" w:rsidR="00CE31A0" w:rsidRPr="004A00FD" w:rsidRDefault="00CE31A0" w:rsidP="00CE31A0">
      <w:pPr>
        <w:rPr>
          <w:rFonts w:cs="Times New Roman"/>
          <w:bCs/>
          <w:szCs w:val="24"/>
        </w:rPr>
      </w:pPr>
    </w:p>
    <w:p w14:paraId="542C1A37" w14:textId="154A579A" w:rsidR="00AE0874" w:rsidRDefault="00734B3E" w:rsidP="00CE31A0">
      <w:pPr>
        <w:rPr>
          <w:rFonts w:cs="Times New Roman"/>
          <w:b/>
          <w:szCs w:val="24"/>
        </w:rPr>
      </w:pPr>
      <w:r>
        <w:rPr>
          <w:rFonts w:cs="Times New Roman"/>
          <w:b/>
          <w:szCs w:val="24"/>
        </w:rPr>
        <w:t xml:space="preserve">Measurement of </w:t>
      </w:r>
      <w:r w:rsidR="00AE0874" w:rsidRPr="004A00FD">
        <w:rPr>
          <w:rFonts w:cs="Times New Roman"/>
          <w:b/>
          <w:szCs w:val="24"/>
        </w:rPr>
        <w:t>Candidate Predictor Variables</w:t>
      </w:r>
    </w:p>
    <w:p w14:paraId="600F608C" w14:textId="77777777" w:rsidR="004D45D7" w:rsidRPr="004A00FD" w:rsidRDefault="004D45D7" w:rsidP="00CE31A0">
      <w:pPr>
        <w:rPr>
          <w:rFonts w:cs="Times New Roman"/>
          <w:b/>
          <w:szCs w:val="24"/>
        </w:rPr>
      </w:pPr>
    </w:p>
    <w:p w14:paraId="2A479FF4" w14:textId="75613C72" w:rsidR="00167961" w:rsidRDefault="00167961" w:rsidP="004A00FD">
      <w:pPr>
        <w:spacing w:after="160"/>
        <w:ind w:firstLine="720"/>
        <w:rPr>
          <w:rFonts w:cs="Times New Roman"/>
          <w:bCs/>
          <w:szCs w:val="24"/>
        </w:rPr>
      </w:pPr>
      <w:r w:rsidRPr="00167961">
        <w:rPr>
          <w:rFonts w:cs="Times New Roman"/>
          <w:bCs/>
          <w:szCs w:val="24"/>
        </w:rPr>
        <w:t xml:space="preserve">Candidate predictor variables considered for inclusion in the prediction models are displayed in </w:t>
      </w:r>
      <w:r w:rsidR="00C11213">
        <w:rPr>
          <w:rFonts w:cs="Times New Roman"/>
          <w:bCs/>
          <w:szCs w:val="24"/>
        </w:rPr>
        <w:t>e</w:t>
      </w:r>
      <w:r w:rsidRPr="00167961">
        <w:rPr>
          <w:rFonts w:cs="Times New Roman"/>
          <w:bCs/>
          <w:szCs w:val="24"/>
        </w:rPr>
        <w:t>Figure 1. Candidate variables included those in the ACC/AHA PCEs</w:t>
      </w:r>
      <w:r w:rsidRPr="00167961">
        <w:rPr>
          <w:rFonts w:cs="Times New Roman"/>
          <w:bCs/>
          <w:szCs w:val="24"/>
        </w:rPr>
        <w:fldChar w:fldCharType="begin" w:fldLock="1"/>
      </w:r>
      <w:r w:rsidR="00604CF6">
        <w:rPr>
          <w:rFonts w:cs="Times New Roman"/>
          <w:bCs/>
          <w:szCs w:val="24"/>
        </w:rPr>
        <w:instrText>ADDIN CSL_CITATION {"citationItems":[{"id":"ITEM-1","itemData":{"DOI":"10.1161/01.cir.0000437741.48606.98","ISBN":"1524-4539 (Electronic)\\r0009-7322 (Linking)","ISSN":"15244539","PMID":"24222018","author":[{"dropping-particle":"","family":"Goff","given":"David C.","non-dropping-particle":"","parse-names":false,"suffix":""},{"dropping-particle":"","family":"Lloyd-Jones","given":"Donald M.","non-dropping-particle":"","parse-names":false,"suffix":""},{"dropping-particle":"","family":"Bennett","given":"Glen","non-dropping-particle":"","parse-names":false,"suffix":""},{"dropping-particle":"","family":"Coady","given":"Sean","non-dropping-particle":"","parse-names":false,"suffix":""},{"dropping-particle":"","family":"D'Agostino","given":"Ralph B.","non-dropping-particle":"","parse-names":false,"suffix":""},{"dropping-particle":"","family":"Gibbons","given":"Raymond","non-dropping-particle":"","parse-names":false,"suffix":""},{"dropping-particle":"","family":"Greenland","given":"Philip","non-dropping-particle":"","parse-names":false,"suffix":""},{"dropping-particle":"","family":"Lackland","given":"Daniel T.","non-dropping-particle":"","parse-names":false,"suffix":""},{"dropping-particle":"","family":"Levy","given":"Daniel","non-dropping-particle":"","parse-names":false,"suffix":""},{"dropping-particle":"","family":"O'Donnell","given":"Christopher J.","non-dropping-particle":"","parse-names":false,"suffix":""},{"dropping-particle":"","family":"Robinson","given":"Jennifer G.","non-dropping-particle":"","parse-names":false,"suffix":""},{"dropping-particle":"","family":"Schwartz","given":"J. Sanford","non-dropping-particle":"","parse-names":false,"suffix":""},{"dropping-particle":"","family":"Shero","given":"Susan T.","non-dropping-particle":"","parse-names":false,"suffix":""},{"dropping-particle":"","family":"Smith","given":"Sidney C.","non-dropping-particle":"","parse-names":false,"suffix":""},{"dropping-particle":"","family":"Sorlie","given":"Paul","non-dropping-particle":"","parse-names":false,"suffix":""},{"dropping-particle":"","family":"Stone","given":"Neil J.","non-dropping-particle":"","parse-names":false,"suffix":""},{"dropping-particle":"","family":"Wilson","given":"Peter W F","non-dropping-particle":"","parse-names":false,"suffix":""}],"container-title":"Circulation","id":"ITEM-1","issue":"25 Pt B","issued":{"date-parts":[["2013"]]},"page":"2935-2959","title":"2013 ACC/AHA guideline on the assessment of cardiovascular risk: A report of the American College of Cardiology/American Heart Association task force on practice guidelines","type":"article-journal","volume":"63"},"uris":["http://www.mendeley.com/documents/?uuid=50984e66-19ea-41ae-adc4-691c34bd1618"]}],"mendeley":{"formattedCitation":"&lt;sup&gt;1&lt;/sup&gt;","plainTextFormattedCitation":"1","previouslyFormattedCitation":"&lt;sup&gt;1&lt;/sup&gt;"},"properties":{"noteIndex":0},"schema":"https://github.com/citation-style-language/schema/raw/master/csl-citation.json"}</w:instrText>
      </w:r>
      <w:r w:rsidRPr="00167961">
        <w:rPr>
          <w:rFonts w:cs="Times New Roman"/>
          <w:bCs/>
          <w:szCs w:val="24"/>
        </w:rPr>
        <w:fldChar w:fldCharType="separate"/>
      </w:r>
      <w:r w:rsidR="005B22E8" w:rsidRPr="005B22E8">
        <w:rPr>
          <w:rFonts w:cs="Times New Roman"/>
          <w:bCs/>
          <w:noProof/>
          <w:szCs w:val="24"/>
          <w:vertAlign w:val="superscript"/>
        </w:rPr>
        <w:t>1</w:t>
      </w:r>
      <w:r w:rsidRPr="00167961">
        <w:rPr>
          <w:rFonts w:cs="Times New Roman"/>
          <w:bCs/>
          <w:szCs w:val="24"/>
        </w:rPr>
        <w:fldChar w:fldCharType="end"/>
      </w:r>
      <w:r w:rsidRPr="00167961">
        <w:rPr>
          <w:rFonts w:cs="Times New Roman"/>
          <w:bCs/>
          <w:szCs w:val="24"/>
        </w:rPr>
        <w:t xml:space="preserve">: age, sex, race/ethnicity, total cholesterol, high-density lipoprotein (HDL) cholesterol, systolic blood pressure (BP), use of BP-lowering medications, history of diabetes, and current smoking. Additional candidate variables were chosen based on associations with ASCVD among patients with CKD identified in prior reports, and included: metabolic factors (body mass index, hemoglobin A1c [HbA1c], use of glucose-lowering medications, insulin, uric acid, homocysteine); </w:t>
      </w:r>
      <w:r w:rsidR="00EA3D86">
        <w:rPr>
          <w:rFonts w:cs="Times New Roman"/>
          <w:bCs/>
          <w:szCs w:val="24"/>
        </w:rPr>
        <w:t>kidney</w:t>
      </w:r>
      <w:r w:rsidR="00EA3D86" w:rsidRPr="00167961">
        <w:rPr>
          <w:rFonts w:cs="Times New Roman"/>
          <w:bCs/>
          <w:szCs w:val="24"/>
        </w:rPr>
        <w:t xml:space="preserve"> </w:t>
      </w:r>
      <w:r w:rsidRPr="00167961">
        <w:rPr>
          <w:rFonts w:cs="Times New Roman"/>
          <w:bCs/>
          <w:szCs w:val="24"/>
        </w:rPr>
        <w:t>disease factors (eGFR</w:t>
      </w:r>
      <w:r w:rsidR="005F6B39">
        <w:rPr>
          <w:rFonts w:cs="Times New Roman"/>
          <w:bCs/>
          <w:szCs w:val="24"/>
        </w:rPr>
        <w:t xml:space="preserve"> [cystatin C-based CKD-EPI equation]</w:t>
      </w:r>
      <w:r w:rsidRPr="00167961">
        <w:rPr>
          <w:rFonts w:cs="Times New Roman"/>
          <w:bCs/>
          <w:szCs w:val="24"/>
        </w:rPr>
        <w:t>, urinary albumin-to-creatinine ratio [ACR], hemoglobin, urea nitrogen, serum albumin, bicarbonate, urinary neutrophil gelatinase-associated lipocalin [NGAL]); lipid metabolism factors (low-density lipoprotein [LDL] cholesterol, very-LDL cholesterol, triglycerides, use of statin medications, apolipoprotein A1, apolipoprotein B); vascular factors (diastolic BP, ankle-brachial index [ABI]); mineral metabolism factors (calcium, phosphate, fibroblast growth factor-23); inflammation factors (white blood cell count, high-sensitivity c-reactive protein, fibrinogen, tumor necrosis factor-α, interleukin-6, interleukin-1 receptor antagonist, interleukin-1 β); and cardiac biomarkers (</w:t>
      </w:r>
      <w:bookmarkStart w:id="0" w:name="_Hlk63937691"/>
      <w:r w:rsidRPr="00167961">
        <w:rPr>
          <w:rFonts w:cs="Times New Roman"/>
          <w:bCs/>
          <w:szCs w:val="24"/>
        </w:rPr>
        <w:t>high-sensitivity troponin-T, troponin-I, N-terminal prohormone of brain natriuretic peptide [NT-proBNP]</w:t>
      </w:r>
      <w:bookmarkEnd w:id="0"/>
      <w:r w:rsidRPr="00167961">
        <w:rPr>
          <w:rFonts w:cs="Times New Roman"/>
          <w:bCs/>
          <w:szCs w:val="24"/>
        </w:rPr>
        <w:t>). We considered two sets of variables for development of the prediction models: one set including only readily clinically available variables (</w:t>
      </w:r>
      <w:r w:rsidR="00C11213">
        <w:rPr>
          <w:rFonts w:cs="Times New Roman"/>
          <w:bCs/>
          <w:szCs w:val="24"/>
        </w:rPr>
        <w:t>e</w:t>
      </w:r>
      <w:r w:rsidRPr="00167961">
        <w:rPr>
          <w:rFonts w:cs="Times New Roman"/>
          <w:bCs/>
          <w:szCs w:val="24"/>
        </w:rPr>
        <w:t>Figure 1; black text) and another set containing all candidate predictor variables, including biomarkers that are less likely to be measured in routine clinical practice (</w:t>
      </w:r>
      <w:r w:rsidR="00C11213">
        <w:rPr>
          <w:rFonts w:cs="Times New Roman"/>
          <w:bCs/>
          <w:szCs w:val="24"/>
        </w:rPr>
        <w:t>e</w:t>
      </w:r>
      <w:r w:rsidRPr="00167961">
        <w:rPr>
          <w:rFonts w:cs="Times New Roman"/>
          <w:bCs/>
          <w:szCs w:val="24"/>
        </w:rPr>
        <w:t>Figure 1; blue text).</w:t>
      </w:r>
      <w:r w:rsidR="00EA3D86" w:rsidRPr="00EA3D86">
        <w:rPr>
          <w:bCs/>
        </w:rPr>
        <w:t xml:space="preserve"> </w:t>
      </w:r>
      <w:r w:rsidR="00BD0C2F" w:rsidRPr="00BD0C2F">
        <w:rPr>
          <w:rFonts w:cs="Times New Roman"/>
          <w:bCs/>
          <w:szCs w:val="24"/>
        </w:rPr>
        <w:t>In a secondary analysis, we evaluated the performance of the “CKD Patch”, which incorporates eGFR and urinary albumin-to-creatinine ratio (ACR) measurements into the ACC/AHA PCEs.</w:t>
      </w:r>
      <w:r w:rsidR="000D06B3" w:rsidRPr="00EA3D86">
        <w:rPr>
          <w:rFonts w:cs="Times New Roman"/>
          <w:bCs/>
          <w:szCs w:val="24"/>
        </w:rPr>
        <w:fldChar w:fldCharType="begin" w:fldLock="1"/>
      </w:r>
      <w:r w:rsidR="000D06B3">
        <w:rPr>
          <w:rFonts w:cs="Times New Roman"/>
          <w:bCs/>
          <w:szCs w:val="24"/>
        </w:rPr>
        <w:instrText>ADDIN CSL_CITATION {"citationItems":[{"id":"ITEM-1","itemData":{"DOI":"10.1016/j.eclinm.2020.100552","ISSN":"2589-5370 (Electronic)","PMID":"33150324","abstract":"BACKGROUND: Chronic kidney disease (CKD) measures (estimated glomerular filtration rate [eGFR] and albuminuria) are frequently assessed in clinical practice and improve the prediction of incident cardiovascular disease (CVD), yet most major clinical guidelines do not have a standardized approach for incorporating these measures into CVD risk prediction. \"CKD Patch\" is a validated method to calibrate and improve the predicted risk from established equations according to CKD measures. METHODS: Utilizing data from 4,143,535 adults from 35 datasets, we developed several \"CKD Patches\" incorporating eGFR and albuminuria, to enhance prediction of risk of atherosclerotic CVD (ASCVD) by the Pooled Cohort Equation (PCE) and CVD mortality by Systematic COronary Risk Evaluation (SCORE). The risk enhancement by CKD Patch was determined by the deviation between individual CKD measures and the values expected from their traditional CVD risk factors and the hazard ratios for eGFR and albuminuria. We then validated this approach among 4,932,824 adults from 37 independent datasets, comparing the original PCE and SCORE equations (recalibrated in each dataset) to those with addition of CKD Patch. FINDINGS: We confirmed the prediction improvement with the CKD Patch for CVD mortality beyond SCORE and ASCVD beyond PCE in validation datasets (Δc-statistic 0.027 [95% CI 0.018-0.036] and 0.010 [0.007-0.013] and categorical net reclassification improvement 0.080 [0.032-0.127] and 0.056 [0.044-0.067], respectively). The median (IQI) of the ratio of predicted risk for CVD mortality with CKD Patch vs. the original prediction with SCORE was 2.64 (1.89-3.40) in very high-risk CKD (e.g., eGFR 30-44 ml/min/1.73m(2) with albuminuria ≥30 mg/g), 1.86 (1.48-2.44) in high-risk CKD (e.g., eGFR 45-59 ml/min/1.73m(2) with albuminuria 30-299 mg/g), and 1.37 (1.14-1.69) in moderate risk CKD (e.g., eGFR 60-89 ml/min/1.73m(2) with albuminuria 30-299 mg/g), indicating considerable risk underestimation in CKD with SCORE. The corresponding estimates for ASCVD with PCE were 1.55 (1.37-1.81), 1.24 (1.10-1.54), and 1.21 (0.98-1.46). INTERPRETATION: The \"CKD Patch\" can be used to quantitatively enhance ASCVD and CVD mortality risk prediction equations recommended in major US and European guidelines according to CKD measures, when available. FUNDING: US National Kidney Foundation and the NIDDK.","author":[{"dropping-particle":"","family":"Matsushita","given":"Kunihiro","non-dropping-particle":"","parse-names":false,"suffix":""},{"dropping-particle":"","family":"Jassal","given":"Simerjot K","non-dropping-particle":"","parse-names":false,"suffix":""},{"dropping-particle":"","family":"Sang","given":"Yingying","non-dropping-particle":"","parse-names":false,"suffix":""},{"dropping-particle":"","family":"Ballew","given":"Shoshana H","non-dropping-particle":"","parse-names":false,"suffix":""},{"dropping-particle":"","family":"Grams","given":"Morgan E","non-dropping-particle":"","parse-names":false,"suffix":""},{"dropping-particle":"","family":"Surapaneni","given":"Aditya","non-dropping-particle":"","parse-names":false,"suffix":""},{"dropping-particle":"","family":"Arnlov","given":"Johan","non-dropping-particle":"","parse-names":false,"suffix":""},{"dropping-particle":"","family":"Bansal","given":"Nisha","non-dropping-particle":"","parse-names":false,"suffix":""},{"dropping-particle":"","family":"Bozic","given":"Milica","non-dropping-particle":"","parse-names":false,"suffix":""},{"dropping-particle":"","family":"Brenner","given":"Hermann","non-dropping-particle":"","parse-names":false,"suffix":""},{"dropping-particle":"","family":"Brunskill","given":"Nigel J","non-dropping-particle":"","parse-names":false,"suffix":""},{"dropping-particle":"","family":"Chang","given":"Alex R","non-dropping-particle":"","parse-names":false,"suffix":""},{"dropping-particle":"","family":"Chinnadurai","given":"Rajkumar","non-dropping-particle":"","parse-names":false,"suffix":""},{"dropping-particle":"","family":"Cirillo","given":"Massimo","non-dropping-particle":"","parse-names":false,"suffix":""},{"dropping-particle":"","family":"Correa","given":"Adolfo","non-dropping-particle":"","parse-names":false,"suffix":""},{"dropping-particle":"","family":"Ebert","given":"Natalie","non-dropping-particle":"","parse-names":false,"suffix":""},{"dropping-particle":"","family":"Eckardt","given":"Kai-Uwe","non-dropping-particle":"","parse-names":false,"suffix":""},{"dropping-particle":"","family":"Gansevoort","given":"Ron T","non-dropping-particle":"","parse-names":false,"suffix":""},{"dropping-particle":"","family":"Gutierrez","given":"Orlando","non-dropping-particle":"","parse-names":false,"suffix":""},{"dropping-particle":"","family":"Hadaegh","given":"Farzad","non-dropping-particle":"","parse-names":false,"suffix":""},{"dropping-particle":"","family":"He","given":"Jiang","non-dropping-particle":"","parse-names":false,"suffix":""},{"dropping-particle":"","family":"Hwang","given":"Shih-Jen","non-dropping-particle":"","parse-names":false,"suffix":""},{"dropping-particle":"","family":"Jafar","given":"Tazeen H","non-dropping-particle":"","parse-names":false,"suffix":""},{"dropping-particle":"","family":"Kayama","given":"Takamasa","non-dropping-particle":"","parse-names":false,"suffix":""},{"dropping-particle":"","family":"Kovesdy","given":"Csaba P","non-dropping-particle":"","parse-names":false,"suffix":""},{"dropping-particle":"","family":"Landman","given":"Gijs W","non-dropping-particle":"","parse-names":false,"suffix":""},{"dropping-particle":"","family":"Levey","given":"Andrew S","non-dropping-particle":"","parse-names":false,"suffix":""},{"dropping-particle":"","family":"Lloyd-Jones","given":"Donald M","non-dropping-particle":"","parse-names":false,"suffix":""},{"dropping-particle":"","family":"Major","given":"Rupert W","non-dropping-particle":"","parse-names":false,"suffix":""},{"dropping-particle":"","family":"Miura","given":"Katsuyuki","non-dropping-particle":"","parse-names":false,"suffix":""},{"dropping-particle":"","family":"Muntner","given":"Paul","non-dropping-particle":"","parse-names":false,"suffix":""},{"dropping-particle":"","family":"Nadkarni","given":"Girish N","non-dropping-particle":"","parse-names":false,"suffix":""},{"dropping-particle":"","family":"Naimark","given":"David Mj","non-dropping-particle":"","parse-names":false,"suffix":""},{"dropping-particle":"","family":"Nowak","given":"Christoph","non-dropping-particle":"","parse-names":false,"suffix":""},{"dropping-particle":"","family":"Ohkubo","given":"Takayoshi","non-dropping-particle":"","parse-names":false,"suffix":""},{"dropping-particle":"","family":"Pena","given":"Michelle J","non-dropping-particle":"","parse-names":false,"suffix":""},{"dropping-particle":"","family":"Polkinghorne","given":"Kevan R","non-dropping-particle":"","parse-names":false,"suffix":""},{"dropping-particle":"","family":"Sabanayagam","given":"Charumathi","non-dropping-particle":"","parse-names":false,"suffix":""},{"dropping-particle":"","family":"Sairenchi","given":"Toshimi","non-dropping-particle":"","parse-names":false,"suffix":""},{"dropping-particle":"","family":"Schneider","given":"Markus P","non-dropping-particle":"","parse-names":false,"suffix":""},{"dropping-particle":"","family":"Shalev","given":"Varda","non-dropping-particle":"","parse-names":false,"suffix":""},{"dropping-particle":"","family":"Shlipak","given":"Michael","non-dropping-particle":"","parse-names":false,"suffix":""},{"dropping-particle":"","family":"Solbu","given":"Marit D","non-dropping-particle":"","parse-names":false,"suffix":""},{"dropping-particle":"","family":"Stempniewicz","given":"Nikita","non-dropping-particle":"","parse-names":false,"suffix":""},{"dropping-particle":"","family":"Tollitt","given":"James","non-dropping-particle":"","parse-names":false,"suffix":""},{"dropping-particle":"","family":"Valdivielso","given":"José M","non-dropping-particle":"","parse-names":false,"suffix":""},{"dropping-particle":"","family":"Leeuw","given":"Joep","non-dropping-particle":"van der","parse-names":false,"suffix":""},{"dropping-particle":"","family":"Wang","given":"Angela Yee-Moon","non-dropping-particle":"","parse-names":false,"suffix":""},{"dropping-particle":"","family":"Wen","given":"Chi-Pang","non-dropping-particle":"","parse-names":false,"suffix":""},{"dropping-particle":"","family":"Woodward","given":"Mark","non-dropping-particle":"","parse-names":false,"suffix":""},{"dropping-particle":"","family":"Yamagishi","given":"Kazumasa","non-dropping-particle":"","parse-names":false,"suffix":""},{"dropping-particle":"","family":"Yatsuya","given":"Hiroshi","non-dropping-particle":"","parse-names":false,"suffix":""},{"dropping-particle":"","family":"Zhang","given":"Luxia","non-dropping-particle":"","parse-names":false,"suffix":""},{"dropping-particle":"","family":"Schaeffner","given":"Elke","non-dropping-particle":"","parse-names":false,"suffix":""},{"dropping-particle":"","family":"Coresh","given":"Josef","non-dropping-particle":"","parse-names":false,"suffix":""}],"container-title":"EClinicalMedicine","id":"ITEM-1","issued":{"date-parts":[["2020","10"]]},"language":"eng","page":"100552","title":"Incorporating kidney disease measures into cardiovascular risk prediction: Development and validation in 9 million adults from 72 datasets.","type":"article-journal","volume":"27"},"uris":["http://www.mendeley.com/documents/?uuid=d6b73c03-178f-4f39-891f-a03a19b797fd"]}],"mendeley":{"formattedCitation":"&lt;sup&gt;2&lt;/sup&gt;","plainTextFormattedCitation":"2","previouslyFormattedCitation":"&lt;sup&gt;2&lt;/sup&gt;"},"properties":{"noteIndex":0},"schema":"https://github.com/citation-style-language/schema/raw/master/csl-citation.json"}</w:instrText>
      </w:r>
      <w:r w:rsidR="000D06B3" w:rsidRPr="00EA3D86">
        <w:rPr>
          <w:rFonts w:cs="Times New Roman"/>
          <w:bCs/>
          <w:szCs w:val="24"/>
        </w:rPr>
        <w:fldChar w:fldCharType="separate"/>
      </w:r>
      <w:r w:rsidR="000D06B3" w:rsidRPr="00BD0C2F">
        <w:rPr>
          <w:rFonts w:cs="Times New Roman"/>
          <w:bCs/>
          <w:noProof/>
          <w:szCs w:val="24"/>
          <w:vertAlign w:val="superscript"/>
        </w:rPr>
        <w:t>2</w:t>
      </w:r>
      <w:r w:rsidR="000D06B3" w:rsidRPr="00EA3D86">
        <w:rPr>
          <w:rFonts w:cs="Times New Roman"/>
          <w:bCs/>
          <w:szCs w:val="24"/>
        </w:rPr>
        <w:fldChar w:fldCharType="end"/>
      </w:r>
      <w:r w:rsidR="00BD0C2F" w:rsidRPr="00BD0C2F">
        <w:rPr>
          <w:rFonts w:cs="Times New Roman"/>
          <w:bCs/>
          <w:szCs w:val="24"/>
        </w:rPr>
        <w:t xml:space="preserve"> </w:t>
      </w:r>
      <w:r w:rsidR="009C1F6A">
        <w:rPr>
          <w:rFonts w:cs="Times New Roman"/>
          <w:bCs/>
          <w:szCs w:val="24"/>
        </w:rPr>
        <w:t xml:space="preserve">Specifically, </w:t>
      </w:r>
      <w:r w:rsidR="000D06B3" w:rsidRPr="000D06B3">
        <w:rPr>
          <w:rFonts w:cs="Times New Roman"/>
          <w:bCs/>
          <w:szCs w:val="24"/>
        </w:rPr>
        <w:t>the ACC/AHA PCEs were recalibrated to the CRIC Study sample by fitting a new Cox model with the log-transformed PCEs predicted risk as the only independent variable.</w:t>
      </w:r>
      <w:r w:rsidR="000D06B3">
        <w:rPr>
          <w:rFonts w:cs="Times New Roman"/>
          <w:bCs/>
          <w:szCs w:val="24"/>
        </w:rPr>
        <w:fldChar w:fldCharType="begin" w:fldLock="1"/>
      </w:r>
      <w:r w:rsidR="000D06B3">
        <w:rPr>
          <w:rFonts w:cs="Times New Roman"/>
          <w:bCs/>
          <w:szCs w:val="24"/>
        </w:rPr>
        <w:instrText>ADDIN CSL_CITATION {"citationItems":[{"id":"ITEM-1","itemData":{"ISBN":"9780387772431","abstract":"This book provides insight and practical illustrations on how modern statistical concepts and regression methods can be applied in medical prediction problems, including diagnostic and prognostic outcomes. Many advances have been made in statistical approaches towards outcome prediction, but these innovations are insufficiently applied in medical research. Old-fashioned, data hungry methods are often used in data sets of limited size, validation of predictions is not done or done simplistically, and updating of previously developed models is not considered. A sensible strategy is needed for model development, validation, and updating, such that prediction models can better support medical practice. Clinical prediction models presents a practical checklist with seven steps that need to be considered for development of a valid prediction model. These include preliminary considerations such as dealing with missing values","author":[{"dropping-particle":"","family":"Steyerberg","given":"Ewout W","non-dropping-particle":"","parse-names":false,"suffix":""}],"id":"ITEM-1","issued":{"date-parts":[["2019"]]},"note":"Includes bibliographical references (p. 463-485) and index.","publisher":"Springer","publisher-place":"New York","title":"Clinical prediction models: a practical approach to development, validation, and updating","type":"book"},"uris":["http://www.mendeley.com/documents/?uuid=18f2c2f3-44c8-49a1-a5c2-f618c29e9d53"]}],"mendeley":{"formattedCitation":"&lt;sup&gt;3&lt;/sup&gt;","plainTextFormattedCitation":"3"},"properties":{"noteIndex":0},"schema":"https://github.com/citation-style-language/schema/raw/master/csl-citation.json"}</w:instrText>
      </w:r>
      <w:r w:rsidR="000D06B3">
        <w:rPr>
          <w:rFonts w:cs="Times New Roman"/>
          <w:bCs/>
          <w:szCs w:val="24"/>
        </w:rPr>
        <w:fldChar w:fldCharType="separate"/>
      </w:r>
      <w:r w:rsidR="000D06B3" w:rsidRPr="000D06B3">
        <w:rPr>
          <w:rFonts w:cs="Times New Roman"/>
          <w:bCs/>
          <w:noProof/>
          <w:szCs w:val="24"/>
          <w:vertAlign w:val="superscript"/>
        </w:rPr>
        <w:t>3</w:t>
      </w:r>
      <w:r w:rsidR="000D06B3">
        <w:rPr>
          <w:rFonts w:cs="Times New Roman"/>
          <w:bCs/>
          <w:szCs w:val="24"/>
        </w:rPr>
        <w:fldChar w:fldCharType="end"/>
      </w:r>
      <w:r w:rsidR="000D06B3" w:rsidRPr="000D06B3">
        <w:rPr>
          <w:rFonts w:cs="Times New Roman"/>
          <w:bCs/>
          <w:szCs w:val="24"/>
        </w:rPr>
        <w:t xml:space="preserve"> Then, the published CKD Patch equations were applied to the recalibrated PCEs, with expected </w:t>
      </w:r>
      <w:r w:rsidR="009C1F6A">
        <w:rPr>
          <w:rFonts w:cs="Times New Roman"/>
          <w:bCs/>
          <w:szCs w:val="24"/>
        </w:rPr>
        <w:t>eGFR</w:t>
      </w:r>
      <w:r w:rsidR="000D06B3" w:rsidRPr="000D06B3">
        <w:rPr>
          <w:rFonts w:cs="Times New Roman"/>
          <w:bCs/>
          <w:szCs w:val="24"/>
        </w:rPr>
        <w:t xml:space="preserve"> and urinary </w:t>
      </w:r>
      <w:r w:rsidR="009C1F6A">
        <w:rPr>
          <w:rFonts w:cs="Times New Roman"/>
          <w:bCs/>
          <w:szCs w:val="24"/>
        </w:rPr>
        <w:t>ACR</w:t>
      </w:r>
      <w:r w:rsidR="000D06B3" w:rsidRPr="000D06B3">
        <w:rPr>
          <w:rFonts w:cs="Times New Roman"/>
          <w:bCs/>
          <w:szCs w:val="24"/>
        </w:rPr>
        <w:t xml:space="preserve"> centered at CRIC Study-specific averages.</w:t>
      </w:r>
      <w:r w:rsidR="000D06B3">
        <w:rPr>
          <w:rFonts w:cs="Times New Roman"/>
          <w:bCs/>
          <w:szCs w:val="24"/>
        </w:rPr>
        <w:t xml:space="preserve"> </w:t>
      </w:r>
    </w:p>
    <w:p w14:paraId="3C125E99" w14:textId="2ABB1637" w:rsidR="005B0D48" w:rsidRPr="005A5B10" w:rsidRDefault="00D9581E" w:rsidP="004A00FD">
      <w:pPr>
        <w:spacing w:after="160"/>
        <w:ind w:firstLine="720"/>
        <w:rPr>
          <w:rFonts w:cs="Times New Roman"/>
          <w:bCs/>
          <w:szCs w:val="24"/>
        </w:rPr>
      </w:pPr>
      <w:r w:rsidRPr="005A5B10">
        <w:rPr>
          <w:rFonts w:cs="Times New Roman"/>
          <w:bCs/>
          <w:szCs w:val="24"/>
        </w:rPr>
        <w:t>Demographic information</w:t>
      </w:r>
      <w:r w:rsidR="005A4E7A" w:rsidRPr="005A5B10">
        <w:rPr>
          <w:rFonts w:cs="Times New Roman"/>
          <w:bCs/>
          <w:szCs w:val="24"/>
        </w:rPr>
        <w:t xml:space="preserve">, medical history, and </w:t>
      </w:r>
      <w:r w:rsidRPr="005A5B10">
        <w:rPr>
          <w:rFonts w:cs="Times New Roman"/>
          <w:bCs/>
          <w:szCs w:val="24"/>
        </w:rPr>
        <w:t xml:space="preserve">medication use were </w:t>
      </w:r>
      <w:r w:rsidR="005A4E7A" w:rsidRPr="005A5B10">
        <w:rPr>
          <w:rFonts w:cs="Times New Roman"/>
          <w:bCs/>
          <w:szCs w:val="24"/>
        </w:rPr>
        <w:t xml:space="preserve">collected via </w:t>
      </w:r>
      <w:r w:rsidRPr="005A5B10">
        <w:rPr>
          <w:rFonts w:cs="Times New Roman"/>
          <w:bCs/>
          <w:szCs w:val="24"/>
        </w:rPr>
        <w:t>self-reported</w:t>
      </w:r>
      <w:r w:rsidR="005A4E7A" w:rsidRPr="005A5B10">
        <w:rPr>
          <w:rFonts w:cs="Times New Roman"/>
          <w:bCs/>
          <w:szCs w:val="24"/>
        </w:rPr>
        <w:t xml:space="preserve"> </w:t>
      </w:r>
      <w:r w:rsidRPr="005A5B10">
        <w:rPr>
          <w:rFonts w:cs="Times New Roman"/>
          <w:bCs/>
          <w:szCs w:val="24"/>
        </w:rPr>
        <w:t xml:space="preserve">questionnaire. </w:t>
      </w:r>
      <w:r w:rsidR="005B0D48" w:rsidRPr="005A5B10">
        <w:rPr>
          <w:rFonts w:cs="Times New Roman"/>
          <w:bCs/>
          <w:szCs w:val="24"/>
        </w:rPr>
        <w:t xml:space="preserve">We defined history of cardiovascular disease as self-reported prior coronary artery disease, heart failure, stroke, or peripheral artery disease. </w:t>
      </w:r>
      <w:r w:rsidR="00734B3E" w:rsidRPr="005A5B10">
        <w:rPr>
          <w:rFonts w:cs="Times New Roman"/>
          <w:bCs/>
          <w:szCs w:val="24"/>
        </w:rPr>
        <w:t>Body weight, height, and blood pressure (BP) were measured using standard protocols</w:t>
      </w:r>
      <w:r w:rsidR="005B22E8">
        <w:rPr>
          <w:rFonts w:cs="Times New Roman"/>
          <w:bCs/>
          <w:szCs w:val="24"/>
        </w:rPr>
        <w:t>.</w:t>
      </w:r>
      <w:r w:rsidR="00734B3E" w:rsidRPr="005A5B10">
        <w:rPr>
          <w:rFonts w:cs="Times New Roman"/>
          <w:bCs/>
          <w:szCs w:val="24"/>
        </w:rPr>
        <w:fldChar w:fldCharType="begin" w:fldLock="1"/>
      </w:r>
      <w:r w:rsidR="000D06B3">
        <w:rPr>
          <w:rFonts w:cs="Times New Roman"/>
          <w:bCs/>
          <w:szCs w:val="24"/>
        </w:rPr>
        <w:instrText>ADDIN CSL_CITATION {"citationItems":[{"id":"ITEM-1","itemData":{"DOI":"10.2215/CJN.00070109","ISBN":"3129967729","ISSN":"15559041","PMID":"19541818","abstract":"BACKGROUND AND OBJECTIVES: The Chronic Renal Insufficiency Cohort (CRIC) Study was established to examine risk factors for the progression of chronic kidney disease (CKD) and cardiovascular disease (CVD) in patients with CKD. We examined baseline demographic and clinical characteristics.\\n\\nDESIGN, SETTING, PARTICIPANTS, &amp; MEASUREMENTS: Seven clinical centers recruited adults who were aged 21 to 74 yr and had CKD using age-based estimated GFR (eGFR) inclusion criteria. At baseline, blood and urine specimens were collected and information regarding health behaviors, diet, quality of life, and functional status was obtained. GFR was measured using radiolabeled iothalamate in one third of participants.\\n\\nRESULTS: A total of 3612 participants were enrolled with mean age +/- SD of 58.2 +/- 11.0 yr; 46% were women, and 47% had diabetes. Overall, 45% were non-Hispanic white, 46% were non-Hispanic black, and 5% were Hispanic. Eighty-six percent reported hypertension, 22% coronary disease, and 10% heart failure. Mean body mass index was 32.1 +/- 7.9 kg/m(2), and 47% had a BP &gt;130/80 mmHg. Mean eGFR was 43.4 +/- 13.5 ml/min per 1.73 m(2), and median (interquartile range) protein excretion was 0.17 g/24 h (0.07 to 0.81 g/24 h). Lower eGFR was associated with older age, lower socioeconomic and educational level, cigarette smoking, self-reported CVD, peripheral arterial disease, and elevated BP.\\n\\nCONCLUSIONS: Lower level of eGFR was associated with a greater burden of CVD as well as lower socioeconomic and educational status. Long-term follow-up of participants will provide critical insights into the epidemiology of CKD and its relationship to adverse outcomes.","author":[{"dropping-particle":"","family":"Lash","given":"James P.","non-dropping-particle":"","parse-names":false,"suffix":""},{"dropping-particle":"","family":"Go","given":"Alan S.","non-dropping-particle":"","parse-names":false,"suffix":""},{"dropping-particle":"","family":"Appel","given":"Lawrence J.","non-dropping-particle":"","parse-names":false,"suffix":""},{"dropping-particle":"","family":"He","given":"Jiang","non-dropping-particle":"","parse-names":false,"suffix":""},{"dropping-particle":"","family":"Ojo","given":"Akinlolu","non-dropping-particle":"","parse-names":false,"suffix":""},{"dropping-particle":"","family":"Rahman","given":"Mahboob","non-dropping-particle":"","parse-names":false,"suffix":""},{"dropping-particle":"","family":"Townsend","given":"Raymond R.","non-dropping-particle":"","parse-names":false,"suffix":""},{"dropping-particle":"","family":"Xie","given":"Dawei","non-dropping-particle":"","parse-names":false,"suffix":""},{"dropping-particle":"","family":"Cifelli","given":"Denise","non-dropping-particle":"","parse-names":false,"suffix":""},{"dropping-particle":"","family":"Cohan","given":"Janet","non-dropping-particle":"","parse-names":false,"suffix":""},{"dropping-particle":"","family":"Fink","given":"Jeffrey C.","non-dropping-particle":"","parse-names":false,"suffix":""},{"dropping-particle":"","family":"Fischer","given":"Michael J.","non-dropping-particle":"","parse-names":false,"suffix":""},{"dropping-particle":"","family":"Gadegbeku","given":"Crystal","non-dropping-particle":"","parse-names":false,"suffix":""},{"dropping-particle":"","family":"Hamm","given":"L. Lee","non-dropping-particle":"","parse-names":false,"suffix":""},{"dropping-particle":"","family":"Kusek","given":"John W.","non-dropping-particle":"","parse-names":false,"suffix":""},{"dropping-particle":"","family":"Landis","given":"J. Richard","non-dropping-particle":"","parse-names":false,"suffix":""},{"dropping-particle":"","family":"Narva","given":"Andrew","non-dropping-particle":"","parse-names":false,"suffix":""},{"dropping-particle":"","family":"Robinson","given":"Nancy","non-dropping-particle":"","parse-names":false,"suffix":""},{"dropping-particle":"","family":"Teal","given":"Valerie","non-dropping-particle":"","parse-names":false,"suffix":""},{"dropping-particle":"","family":"Feldman","given":"Harold I.","non-dropping-particle":"","parse-names":false,"suffix":""}],"container-title":"Clinical journal of the American Society of Nephrology : CJASN","id":"ITEM-1","issue":"8","issued":{"date-parts":[["2009"]]},"page":"1302-1311","title":"Chronic renal insufficiency cohort (CRIC) study: Baseline characteristics and associations with kidney function","type":"article-journal","volume":"4"},"uris":["http://www.mendeley.com/documents/?uuid=9d9a55c1-1fa3-496e-ba01-88b280140c74"]}],"mendeley":{"formattedCitation":"&lt;sup&gt;4&lt;/sup&gt;","plainTextFormattedCitation":"4","previouslyFormattedCitation":"&lt;sup&gt;3&lt;/sup&gt;"},"properties":{"noteIndex":0},"schema":"https://github.com/citation-style-language/schema/raw/master/csl-citation.json"}</w:instrText>
      </w:r>
      <w:r w:rsidR="00734B3E" w:rsidRPr="005A5B10">
        <w:rPr>
          <w:rFonts w:cs="Times New Roman"/>
          <w:bCs/>
          <w:szCs w:val="24"/>
        </w:rPr>
        <w:fldChar w:fldCharType="separate"/>
      </w:r>
      <w:r w:rsidR="000D06B3" w:rsidRPr="000D06B3">
        <w:rPr>
          <w:rFonts w:cs="Times New Roman"/>
          <w:bCs/>
          <w:noProof/>
          <w:szCs w:val="24"/>
          <w:vertAlign w:val="superscript"/>
        </w:rPr>
        <w:t>4</w:t>
      </w:r>
      <w:r w:rsidR="00734B3E" w:rsidRPr="005A5B10">
        <w:rPr>
          <w:rFonts w:cs="Times New Roman"/>
          <w:bCs/>
          <w:szCs w:val="24"/>
        </w:rPr>
        <w:fldChar w:fldCharType="end"/>
      </w:r>
      <w:r w:rsidR="00734B3E" w:rsidRPr="005A5B10">
        <w:rPr>
          <w:rFonts w:cs="Times New Roman"/>
          <w:bCs/>
          <w:szCs w:val="24"/>
        </w:rPr>
        <w:t xml:space="preserve"> Body mass index was quantified as weight in kilograms divided by height in meters squared.</w:t>
      </w:r>
      <w:r w:rsidR="006224BC" w:rsidRPr="005A5B10">
        <w:rPr>
          <w:rFonts w:eastAsiaTheme="minorEastAsia" w:cs="Times New Roman"/>
          <w:szCs w:val="24"/>
        </w:rPr>
        <w:t xml:space="preserve"> Ankle-brachial index (</w:t>
      </w:r>
      <w:r w:rsidR="006224BC" w:rsidRPr="005A5B10">
        <w:rPr>
          <w:rFonts w:cs="Times New Roman"/>
          <w:bCs/>
          <w:szCs w:val="24"/>
        </w:rPr>
        <w:t>ABI) was measured using a standard protocol and the leg-specific ABI was calculated by dividing the higher systolic BP in the posterior tibial or dorsalis pedis by the higher of the right or left brachial systolic BP</w:t>
      </w:r>
      <w:r w:rsidR="005B22E8">
        <w:rPr>
          <w:rFonts w:cs="Times New Roman"/>
          <w:bCs/>
          <w:szCs w:val="24"/>
        </w:rPr>
        <w:t>.</w:t>
      </w:r>
      <w:r w:rsidR="00534FC1" w:rsidRPr="005A5B10">
        <w:rPr>
          <w:rFonts w:cs="Times New Roman"/>
          <w:bCs/>
          <w:szCs w:val="24"/>
        </w:rPr>
        <w:fldChar w:fldCharType="begin" w:fldLock="1"/>
      </w:r>
      <w:r w:rsidR="000D06B3">
        <w:rPr>
          <w:rFonts w:cs="Times New Roman"/>
          <w:bCs/>
          <w:szCs w:val="24"/>
        </w:rPr>
        <w:instrText>ADDIN CSL_CITATION {"citationItems":[{"id":"ITEM-1","itemData":{"DOI":"10.1016/j.jacc.2016.11.007","ISSN":"1558-3597 (Electronic)","PMID":"27851992","author":[{"dropping-particle":"","family":"Gerhard-Herman","given":"Marie D","non-dropping-particle":"","parse-names":false,"suffix":""},{"dropping-particle":"","family":"Gornik","given":"Heather L","non-dropping-particle":"","parse-names":false,"suffix":""},{"dropping-particle":"","family":"Barrett","given":"Coletta","non-dropping-particle":"","parse-names":false,"suffix":""},{"dropping-particle":"","family":"Barshes","given":"Neal R","non-dropping-particle":"","parse-names":false,"suffix":""},{"dropping-particle":"","family":"Corriere","given":"Matthew A","non-dropping-particle":"","parse-names":false,"suffix":""},{"dropping-particle":"","family":"Drachman","given":"Douglas E","non-dropping-particle":"","parse-names":false,"suffix":""},{"dropping-particle":"","family":"Fleisher","given":"Lee A","non-dropping-particle":"","parse-names":false,"suffix":""},{"dropping-particle":"","family":"Fowkes","given":"Francis Gerry R","non-dropping-particle":"","parse-names":false,"suffix":""},{"dropping-particle":"","family":"Hamburg","given":"Naomi M","non-dropping-particle":"","parse-names":false,"suffix":""},{"dropping-particle":"","family":"Kinlay","given":"Scott","non-dropping-particle":"","parse-names":false,"suffix":""},{"dropping-particle":"","family":"Lookstein","given":"Robert","non-dropping-particle":"","parse-names":false,"suffix":""},{"dropping-particle":"","family":"Misra","given":"Sanjay","non-dropping-particle":"","parse-names":false,"suffix":""},{"dropping-particle":"","family":"Mureebe","given":"Leila","non-dropping-particle":"","parse-names":false,"suffix":""},{"dropping-particle":"","family":"Olin","given":"Jeffrey W","non-dropping-particle":"","parse-names":false,"suffix":""},{"dropping-particle":"","family":"Patel","given":"Rajan A G","non-dropping-particle":"","parse-names":false,"suffix":""},{"dropping-particle":"","family":"Regensteiner","given":"Judith G","non-dropping-particle":"","parse-names":false,"suffix":""},{"dropping-particle":"","family":"Schanzer","given":"Andres","non-dropping-particle":"","parse-names":false,"suffix":""},{"dropping-particle":"","family":"Shishehbor","given":"Mehdi H","non-dropping-particle":"","parse-names":false,"suffix":""},{"dropping-particle":"","family":"Stewart","given":"Kerry J","non-dropping-particle":"","parse-names":false,"suffix":""},{"dropping-particle":"","family":"Treat-Jacobson","given":"Diane","non-dropping-particle":"","parse-names":false,"suffix":""},{"dropping-particle":"","family":"Walsh","given":"M Eileen","non-dropping-particle":"","parse-names":false,"suffix":""}],"container-title":"Journal of the American College of Cardiology","id":"ITEM-1","issue":"11","issued":{"date-parts":[["2017","3"]]},"language":"eng","page":"e71-e126","publisher-place":"United States","title":"2016 AHA/ACC Guideline on the Management of Patients With Lower Extremity Peripheral  Artery Disease: A Report of the American College of Cardiology/American Heart Association Task Force on Clinical Practice Guidelines.","type":"article-journal","volume":"69"},"uris":["http://www.mendeley.com/documents/?uuid=2dd32875-210a-4b05-b86c-3a2bde357045"]}],"mendeley":{"formattedCitation":"&lt;sup&gt;5&lt;/sup&gt;","plainTextFormattedCitation":"5","previouslyFormattedCitation":"&lt;sup&gt;4&lt;/sup&gt;"},"properties":{"noteIndex":0},"schema":"https://github.com/citation-style-language/schema/raw/master/csl-citation.json"}</w:instrText>
      </w:r>
      <w:r w:rsidR="00534FC1" w:rsidRPr="005A5B10">
        <w:rPr>
          <w:rFonts w:cs="Times New Roman"/>
          <w:bCs/>
          <w:szCs w:val="24"/>
        </w:rPr>
        <w:fldChar w:fldCharType="separate"/>
      </w:r>
      <w:r w:rsidR="000D06B3" w:rsidRPr="000D06B3">
        <w:rPr>
          <w:rFonts w:cs="Times New Roman"/>
          <w:bCs/>
          <w:noProof/>
          <w:szCs w:val="24"/>
          <w:vertAlign w:val="superscript"/>
        </w:rPr>
        <w:t>5</w:t>
      </w:r>
      <w:r w:rsidR="00534FC1" w:rsidRPr="005A5B10">
        <w:rPr>
          <w:rFonts w:cs="Times New Roman"/>
          <w:bCs/>
          <w:szCs w:val="24"/>
        </w:rPr>
        <w:fldChar w:fldCharType="end"/>
      </w:r>
    </w:p>
    <w:p w14:paraId="3E86E688" w14:textId="5DC8783D" w:rsidR="005B0D48" w:rsidRPr="005A5B10" w:rsidRDefault="005B0D48" w:rsidP="003F1D70">
      <w:pPr>
        <w:spacing w:after="160"/>
        <w:ind w:firstLine="720"/>
        <w:rPr>
          <w:rFonts w:cs="Times New Roman"/>
          <w:bCs/>
          <w:szCs w:val="24"/>
        </w:rPr>
      </w:pPr>
      <w:r w:rsidRPr="005A5B10">
        <w:rPr>
          <w:rFonts w:cs="Times New Roman"/>
          <w:bCs/>
          <w:szCs w:val="24"/>
        </w:rPr>
        <w:t xml:space="preserve">Cholesterol, glucose, </w:t>
      </w:r>
      <w:r w:rsidR="00734B3E" w:rsidRPr="005A5B10">
        <w:rPr>
          <w:rFonts w:cs="Times New Roman"/>
          <w:bCs/>
          <w:szCs w:val="24"/>
        </w:rPr>
        <w:t>hemoglobin A1c (</w:t>
      </w:r>
      <w:r w:rsidRPr="005A5B10">
        <w:rPr>
          <w:rFonts w:cs="Times New Roman"/>
          <w:bCs/>
          <w:szCs w:val="24"/>
        </w:rPr>
        <w:t>HbA1c</w:t>
      </w:r>
      <w:r w:rsidR="00734B3E" w:rsidRPr="005A5B10">
        <w:rPr>
          <w:rFonts w:cs="Times New Roman"/>
          <w:bCs/>
          <w:szCs w:val="24"/>
        </w:rPr>
        <w:t>)</w:t>
      </w:r>
      <w:r w:rsidRPr="005A5B10">
        <w:rPr>
          <w:rFonts w:cs="Times New Roman"/>
          <w:bCs/>
          <w:szCs w:val="24"/>
        </w:rPr>
        <w:t xml:space="preserve">, insulin, uric acid, </w:t>
      </w:r>
      <w:r w:rsidR="006224BC" w:rsidRPr="005A5B10">
        <w:rPr>
          <w:rFonts w:cs="Times New Roman"/>
          <w:bCs/>
          <w:szCs w:val="24"/>
        </w:rPr>
        <w:t>serum creatinine</w:t>
      </w:r>
      <w:r w:rsidR="00734B3E" w:rsidRPr="005A5B10">
        <w:rPr>
          <w:rFonts w:cs="Times New Roman"/>
          <w:bCs/>
          <w:szCs w:val="24"/>
        </w:rPr>
        <w:t xml:space="preserve">, hemoglobin, urea nitrogen, serum albumin, bicarbonate, calcium, and phosphate were measured using standard laboratory methods. </w:t>
      </w:r>
      <w:r w:rsidR="006224BC" w:rsidRPr="005A5B10">
        <w:rPr>
          <w:rFonts w:cs="Times New Roman"/>
          <w:bCs/>
          <w:szCs w:val="24"/>
        </w:rPr>
        <w:t xml:space="preserve">Urinary albumin was measured by radioimmunoassay. </w:t>
      </w:r>
      <w:r w:rsidR="003F1D70" w:rsidRPr="005A5B10">
        <w:rPr>
          <w:rFonts w:cs="Times New Roman"/>
          <w:bCs/>
          <w:szCs w:val="24"/>
        </w:rPr>
        <w:t xml:space="preserve">Apolipoprotein A1 and apolipoprotein B were measured using immunoturbidimetric assays. </w:t>
      </w:r>
      <w:r w:rsidR="00734B3E" w:rsidRPr="005A5B10">
        <w:rPr>
          <w:rFonts w:cs="Times New Roman"/>
          <w:bCs/>
          <w:szCs w:val="24"/>
        </w:rPr>
        <w:t xml:space="preserve">High-sensitive C-reactive protein (hsCRP), interleukin-6 (IL-6), tumor necrosis factor-α (TNF-α), homocysteine, and cystatin C were measured using the particle enhanced immunonephelometry method. Fibrinogen was measured using the immunochemical reaction method. Fibroblast growth factor-23 was measured by a </w:t>
      </w:r>
      <w:r w:rsidR="006224BC" w:rsidRPr="005A5B10">
        <w:rPr>
          <w:rFonts w:cs="Times New Roman"/>
          <w:bCs/>
          <w:szCs w:val="24"/>
        </w:rPr>
        <w:t>second-generation</w:t>
      </w:r>
      <w:r w:rsidR="00734B3E" w:rsidRPr="005A5B10">
        <w:rPr>
          <w:rFonts w:cs="Times New Roman"/>
          <w:bCs/>
          <w:szCs w:val="24"/>
        </w:rPr>
        <w:t xml:space="preserve"> C-terminal assay (Immutopics).</w:t>
      </w:r>
      <w:r w:rsidR="006224BC" w:rsidRPr="005A5B10">
        <w:rPr>
          <w:szCs w:val="24"/>
        </w:rPr>
        <w:t xml:space="preserve"> </w:t>
      </w:r>
      <w:r w:rsidR="006224BC" w:rsidRPr="005A5B10">
        <w:rPr>
          <w:rFonts w:cs="Times New Roman"/>
          <w:bCs/>
          <w:szCs w:val="24"/>
        </w:rPr>
        <w:t xml:space="preserve">Sandwich ELISAs (Quantikine HS; R&amp;D Systems) were used to quantify interleukin-1 β and interleukin-1 receptor antagonist. </w:t>
      </w:r>
      <w:r w:rsidR="00534FC1" w:rsidRPr="005A5B10">
        <w:rPr>
          <w:rFonts w:cs="Times New Roman"/>
          <w:bCs/>
          <w:szCs w:val="24"/>
        </w:rPr>
        <w:t xml:space="preserve">Urinary </w:t>
      </w:r>
      <w:r w:rsidR="003F1D70" w:rsidRPr="005A5B10">
        <w:rPr>
          <w:rFonts w:cs="Times New Roman"/>
          <w:bCs/>
          <w:szCs w:val="24"/>
        </w:rPr>
        <w:t>neutrophil gelatinase-associated lipocalin (</w:t>
      </w:r>
      <w:r w:rsidR="00534FC1" w:rsidRPr="005A5B10">
        <w:rPr>
          <w:rFonts w:cs="Times New Roman"/>
          <w:bCs/>
          <w:szCs w:val="24"/>
        </w:rPr>
        <w:t>NGAL</w:t>
      </w:r>
      <w:r w:rsidR="003F1D70" w:rsidRPr="005A5B10">
        <w:rPr>
          <w:rFonts w:cs="Times New Roman"/>
          <w:bCs/>
          <w:szCs w:val="24"/>
        </w:rPr>
        <w:t>)</w:t>
      </w:r>
      <w:r w:rsidR="00534FC1" w:rsidRPr="005A5B10">
        <w:rPr>
          <w:rFonts w:cs="Times New Roman"/>
          <w:bCs/>
          <w:szCs w:val="24"/>
        </w:rPr>
        <w:t xml:space="preserve"> was measured with a 2-step assay using chemiluminescent microparticle immunoassay technology</w:t>
      </w:r>
      <w:r w:rsidR="003F1D70" w:rsidRPr="005A5B10">
        <w:rPr>
          <w:rFonts w:cs="Times New Roman"/>
          <w:bCs/>
          <w:szCs w:val="24"/>
        </w:rPr>
        <w:t xml:space="preserve"> </w:t>
      </w:r>
      <w:r w:rsidR="00534FC1" w:rsidRPr="005A5B10">
        <w:rPr>
          <w:rFonts w:cs="Times New Roman"/>
          <w:bCs/>
          <w:szCs w:val="24"/>
        </w:rPr>
        <w:t>on an ARCHITECT i2000SR (Abbott Laboratories)</w:t>
      </w:r>
      <w:r w:rsidR="003F1D70" w:rsidRPr="005A5B10">
        <w:rPr>
          <w:rFonts w:cs="Times New Roman"/>
          <w:bCs/>
          <w:szCs w:val="24"/>
        </w:rPr>
        <w:t>. High-sensitivity troponin-T, troponin-I, and N-terminal prohormone of brain natriuretic peptide (NT-proBNP) were measured using chemiluminescent microparticle immunoassay technology on an Elecsys 2010 at the University of Maryland.</w:t>
      </w:r>
    </w:p>
    <w:p w14:paraId="7D6C8B9F" w14:textId="48356120" w:rsidR="00AE0874" w:rsidRPr="005A5B10" w:rsidRDefault="00AE0874" w:rsidP="00CE31A0">
      <w:pPr>
        <w:spacing w:after="160"/>
        <w:rPr>
          <w:rFonts w:cs="Times New Roman"/>
          <w:bCs/>
          <w:szCs w:val="24"/>
        </w:rPr>
      </w:pPr>
    </w:p>
    <w:p w14:paraId="3AE11E8F" w14:textId="48F7BE24" w:rsidR="00AE0874" w:rsidRDefault="00AE0874" w:rsidP="00CE31A0">
      <w:pPr>
        <w:spacing w:after="160"/>
        <w:rPr>
          <w:rFonts w:eastAsia="+mn-ea" w:cs="Times New Roman"/>
          <w:b/>
          <w:color w:val="000000"/>
          <w:kern w:val="24"/>
          <w:szCs w:val="24"/>
        </w:rPr>
      </w:pPr>
      <w:r w:rsidRPr="005A5B10">
        <w:rPr>
          <w:rFonts w:eastAsia="+mn-ea" w:cs="Times New Roman"/>
          <w:b/>
          <w:color w:val="000000"/>
          <w:kern w:val="24"/>
          <w:szCs w:val="24"/>
        </w:rPr>
        <w:t>Model Development</w:t>
      </w:r>
    </w:p>
    <w:p w14:paraId="63463867" w14:textId="77777777" w:rsidR="004D45D7" w:rsidRPr="005A5B10" w:rsidRDefault="004D45D7" w:rsidP="00CE31A0">
      <w:pPr>
        <w:spacing w:after="160"/>
        <w:rPr>
          <w:rFonts w:eastAsia="+mn-ea" w:cs="Times New Roman"/>
          <w:b/>
          <w:color w:val="000000"/>
          <w:kern w:val="24"/>
          <w:szCs w:val="24"/>
        </w:rPr>
      </w:pPr>
    </w:p>
    <w:p w14:paraId="25BF20B1" w14:textId="118060CE" w:rsidR="005602B8" w:rsidRDefault="00AE0874" w:rsidP="00CE31A0">
      <w:pPr>
        <w:spacing w:after="160"/>
        <w:rPr>
          <w:rFonts w:eastAsia="+mn-ea" w:cs="Times New Roman"/>
          <w:bCs/>
          <w:color w:val="000000"/>
          <w:kern w:val="24"/>
          <w:szCs w:val="24"/>
        </w:rPr>
      </w:pPr>
      <w:r w:rsidRPr="005A5B10">
        <w:rPr>
          <w:rFonts w:eastAsia="+mn-ea" w:cs="Times New Roman"/>
          <w:bCs/>
          <w:color w:val="000000"/>
          <w:kern w:val="24"/>
          <w:szCs w:val="24"/>
        </w:rPr>
        <w:lastRenderedPageBreak/>
        <w:tab/>
        <w:t>A priori, we evaluated the ACC/AHA PCEs in the CRIC sample using 2 approaches: 1) predicted risk from the published model coefficients</w:t>
      </w:r>
      <w:r w:rsidRPr="005A5B10">
        <w:rPr>
          <w:rFonts w:eastAsia="+mn-ea" w:cs="Times New Roman"/>
          <w:bCs/>
          <w:color w:val="000000"/>
          <w:kern w:val="24"/>
          <w:szCs w:val="24"/>
        </w:rPr>
        <w:fldChar w:fldCharType="begin" w:fldLock="1"/>
      </w:r>
      <w:r w:rsidR="00604CF6">
        <w:rPr>
          <w:rFonts w:eastAsia="+mn-ea" w:cs="Times New Roman"/>
          <w:bCs/>
          <w:color w:val="000000"/>
          <w:kern w:val="24"/>
          <w:szCs w:val="24"/>
        </w:rPr>
        <w:instrText>ADDIN CSL_CITATION {"citationItems":[{"id":"ITEM-1","itemData":{"DOI":"10.1161/01.cir.0000437741.48606.98","ISBN":"1524-4539 (Electronic)\\r0009-7322 (Linking)","ISSN":"15244539","PMID":"24222018","author":[{"dropping-particle":"","family":"Goff","given":"David C.","non-dropping-particle":"","parse-names":false,"suffix":""},{"dropping-particle":"","family":"Lloyd-Jones","given":"Donald M.","non-dropping-particle":"","parse-names":false,"suffix":""},{"dropping-particle":"","family":"Bennett","given":"Glen","non-dropping-particle":"","parse-names":false,"suffix":""},{"dropping-particle":"","family":"Coady","given":"Sean","non-dropping-particle":"","parse-names":false,"suffix":""},{"dropping-particle":"","family":"D'Agostino","given":"Ralph B.","non-dropping-particle":"","parse-names":false,"suffix":""},{"dropping-particle":"","family":"Gibbons","given":"Raymond","non-dropping-particle":"","parse-names":false,"suffix":""},{"dropping-particle":"","family":"Greenland","given":"Philip","non-dropping-particle":"","parse-names":false,"suffix":""},{"dropping-particle":"","family":"Lackland","given":"Daniel T.","non-dropping-particle":"","parse-names":false,"suffix":""},{"dropping-particle":"","family":"Levy","given":"Daniel","non-dropping-particle":"","parse-names":false,"suffix":""},{"dropping-particle":"","family":"O'Donnell","given":"Christopher J.","non-dropping-particle":"","parse-names":false,"suffix":""},{"dropping-particle":"","family":"Robinson","given":"Jennifer G.","non-dropping-particle":"","parse-names":false,"suffix":""},{"dropping-particle":"","family":"Schwartz","given":"J. Sanford","non-dropping-particle":"","parse-names":false,"suffix":""},{"dropping-particle":"","family":"Shero","given":"Susan T.","non-dropping-particle":"","parse-names":false,"suffix":""},{"dropping-particle":"","family":"Smith","given":"Sidney C.","non-dropping-particle":"","parse-names":false,"suffix":""},{"dropping-particle":"","family":"Sorlie","given":"Paul","non-dropping-particle":"","parse-names":false,"suffix":""},{"dropping-particle":"","family":"Stone","given":"Neil J.","non-dropping-particle":"","parse-names":false,"suffix":""},{"dropping-particle":"","family":"Wilson","given":"Peter W F","non-dropping-particle":"","parse-names":false,"suffix":""}],"container-title":"Circulation","id":"ITEM-1","issue":"25 Pt B","issued":{"date-parts":[["2013"]]},"page":"2935-2959","title":"2013 ACC/AHA guideline on the assessment of cardiovascular risk: A report of the American College of Cardiology/American Heart Association task force on practice guidelines","type":"article-journal","volume":"63"},"uris":["http://www.mendeley.com/documents/?uuid=50984e66-19ea-41ae-adc4-691c34bd1618"]}],"mendeley":{"formattedCitation":"&lt;sup&gt;1&lt;/sup&gt;","plainTextFormattedCitation":"1","previouslyFormattedCitation":"&lt;sup&gt;1&lt;/sup&gt;"},"properties":{"noteIndex":0},"schema":"https://github.com/citation-style-language/schema/raw/master/csl-citation.json"}</w:instrText>
      </w:r>
      <w:r w:rsidRPr="005A5B10">
        <w:rPr>
          <w:rFonts w:eastAsia="+mn-ea" w:cs="Times New Roman"/>
          <w:bCs/>
          <w:color w:val="000000"/>
          <w:kern w:val="24"/>
          <w:szCs w:val="24"/>
        </w:rPr>
        <w:fldChar w:fldCharType="separate"/>
      </w:r>
      <w:r w:rsidR="005B22E8" w:rsidRPr="005B22E8">
        <w:rPr>
          <w:rFonts w:eastAsia="+mn-ea" w:cs="Times New Roman"/>
          <w:bCs/>
          <w:noProof/>
          <w:color w:val="000000"/>
          <w:kern w:val="24"/>
          <w:szCs w:val="24"/>
          <w:vertAlign w:val="superscript"/>
        </w:rPr>
        <w:t>1</w:t>
      </w:r>
      <w:r w:rsidRPr="005A5B10">
        <w:rPr>
          <w:rFonts w:eastAsia="+mn-ea" w:cs="Times New Roman"/>
          <w:bCs/>
          <w:color w:val="000000"/>
          <w:kern w:val="24"/>
          <w:szCs w:val="24"/>
        </w:rPr>
        <w:fldChar w:fldCharType="end"/>
      </w:r>
      <w:r w:rsidRPr="005A5B10">
        <w:rPr>
          <w:rFonts w:eastAsia="+mn-ea" w:cs="Times New Roman"/>
          <w:bCs/>
          <w:color w:val="000000"/>
          <w:kern w:val="24"/>
          <w:szCs w:val="24"/>
        </w:rPr>
        <w:t>; and 2) variables</w:t>
      </w:r>
      <w:r w:rsidRPr="004A00FD">
        <w:rPr>
          <w:rFonts w:eastAsia="+mn-ea" w:cs="Times New Roman"/>
          <w:bCs/>
          <w:color w:val="000000"/>
          <w:kern w:val="24"/>
          <w:szCs w:val="24"/>
        </w:rPr>
        <w:t xml:space="preserve"> included in the ACC/AHA PCEs with coefficients recalculated using the CRIC sample. Additionally, we evaluated several modeling algorithms and selection procedures to develop the final models. Our primary approach used Cox proportional hazards regression models to predict the probability of having an incident ASCVD event within 10 years of baseline</w:t>
      </w:r>
      <w:r w:rsidR="005B22E8">
        <w:rPr>
          <w:rFonts w:eastAsia="+mn-ea" w:cs="Times New Roman"/>
          <w:bCs/>
          <w:color w:val="000000"/>
          <w:kern w:val="24"/>
          <w:szCs w:val="24"/>
        </w:rPr>
        <w:t>.</w:t>
      </w:r>
      <w:r w:rsidRPr="004A00FD">
        <w:rPr>
          <w:rFonts w:eastAsia="+mn-ea" w:cs="Times New Roman"/>
          <w:bCs/>
          <w:color w:val="000000"/>
          <w:kern w:val="24"/>
          <w:szCs w:val="24"/>
        </w:rPr>
        <w:fldChar w:fldCharType="begin" w:fldLock="1"/>
      </w:r>
      <w:r w:rsidR="00604CF6">
        <w:rPr>
          <w:rFonts w:eastAsia="+mn-ea" w:cs="Times New Roman"/>
          <w:bCs/>
          <w:color w:val="000000"/>
          <w:kern w:val="24"/>
          <w:szCs w:val="24"/>
        </w:rPr>
        <w:instrText>ADDIN CSL_CITATION {"citationItems":[{"id":"ITEM-1","itemData":{"DOI":"10.1161/01.cir.0000437741.48606.98","ISBN":"1524-4539 (Electronic)\\r0009-7322 (Linking)","ISSN":"15244539","PMID":"24222018","author":[{"dropping-particle":"","family":"Goff","given":"David C.","non-dropping-particle":"","parse-names":false,"suffix":""},{"dropping-particle":"","family":"Lloyd-Jones","given":"Donald M.","non-dropping-particle":"","parse-names":false,"suffix":""},{"dropping-particle":"","family":"Bennett","given":"Glen","non-dropping-particle":"","parse-names":false,"suffix":""},{"dropping-particle":"","family":"Coady","given":"Sean","non-dropping-particle":"","parse-names":false,"suffix":""},{"dropping-particle":"","family":"D'Agostino","given":"Ralph B.","non-dropping-particle":"","parse-names":false,"suffix":""},{"dropping-particle":"","family":"Gibbons","given":"Raymond","non-dropping-particle":"","parse-names":false,"suffix":""},{"dropping-particle":"","family":"Greenland","given":"Philip","non-dropping-particle":"","parse-names":false,"suffix":""},{"dropping-particle":"","family":"Lackland","given":"Daniel T.","non-dropping-particle":"","parse-names":false,"suffix":""},{"dropping-particle":"","family":"Levy","given":"Daniel","non-dropping-particle":"","parse-names":false,"suffix":""},{"dropping-particle":"","family":"O'Donnell","given":"Christopher J.","non-dropping-particle":"","parse-names":false,"suffix":""},{"dropping-particle":"","family":"Robinson","given":"Jennifer G.","non-dropping-particle":"","parse-names":false,"suffix":""},{"dropping-particle":"","family":"Schwartz","given":"J. Sanford","non-dropping-particle":"","parse-names":false,"suffix":""},{"dropping-particle":"","family":"Shero","given":"Susan T.","non-dropping-particle":"","parse-names":false,"suffix":""},{"dropping-particle":"","family":"Smith","given":"Sidney C.","non-dropping-particle":"","parse-names":false,"suffix":""},{"dropping-particle":"","family":"Sorlie","given":"Paul","non-dropping-particle":"","parse-names":false,"suffix":""},{"dropping-particle":"","family":"Stone","given":"Neil J.","non-dropping-particle":"","parse-names":false,"suffix":""},{"dropping-particle":"","family":"Wilson","given":"Peter W F","non-dropping-particle":"","parse-names":false,"suffix":""}],"container-title":"Circulation","id":"ITEM-1","issue":"25 Pt B","issued":{"date-parts":[["2013"]]},"page":"2935-2959","title":"2013 ACC/AHA guideline on the assessment of cardiovascular risk: A report of the American College of Cardiology/American Heart Association task force on practice guidelines","type":"article-journal","volume":"63"},"uris":["http://www.mendeley.com/documents/?uuid=50984e66-19ea-41ae-adc4-691c34bd1618"]}],"mendeley":{"formattedCitation":"&lt;sup&gt;1&lt;/sup&gt;","plainTextFormattedCitation":"1","previouslyFormattedCitation":"&lt;sup&gt;1&lt;/sup&gt;"},"properties":{"noteIndex":0},"schema":"https://github.com/citation-style-language/schema/raw/master/csl-citation.json"}</w:instrText>
      </w:r>
      <w:r w:rsidRPr="004A00FD">
        <w:rPr>
          <w:rFonts w:eastAsia="+mn-ea" w:cs="Times New Roman"/>
          <w:bCs/>
          <w:color w:val="000000"/>
          <w:kern w:val="24"/>
          <w:szCs w:val="24"/>
        </w:rPr>
        <w:fldChar w:fldCharType="separate"/>
      </w:r>
      <w:r w:rsidR="005B22E8" w:rsidRPr="005B22E8">
        <w:rPr>
          <w:rFonts w:eastAsia="+mn-ea" w:cs="Times New Roman"/>
          <w:bCs/>
          <w:noProof/>
          <w:color w:val="000000"/>
          <w:kern w:val="24"/>
          <w:szCs w:val="24"/>
          <w:vertAlign w:val="superscript"/>
        </w:rPr>
        <w:t>1</w:t>
      </w:r>
      <w:r w:rsidRPr="004A00FD">
        <w:rPr>
          <w:rFonts w:eastAsia="+mn-ea" w:cs="Times New Roman"/>
          <w:bCs/>
          <w:color w:val="000000"/>
          <w:kern w:val="24"/>
          <w:szCs w:val="24"/>
        </w:rPr>
        <w:fldChar w:fldCharType="end"/>
      </w:r>
      <w:r w:rsidRPr="004A00FD">
        <w:rPr>
          <w:rFonts w:eastAsia="+mn-ea" w:cs="Times New Roman"/>
          <w:bCs/>
          <w:color w:val="000000"/>
          <w:kern w:val="24"/>
          <w:szCs w:val="24"/>
        </w:rPr>
        <w:t xml:space="preserve"> As a secondary approach, we used the Fine &amp; Gray subdistribution hazards model to account for the competing risk of death</w:t>
      </w:r>
      <w:r w:rsidR="005B22E8">
        <w:rPr>
          <w:rFonts w:eastAsia="+mn-ea" w:cs="Times New Roman"/>
          <w:bCs/>
          <w:color w:val="000000"/>
          <w:kern w:val="24"/>
          <w:szCs w:val="24"/>
        </w:rPr>
        <w:t>.</w:t>
      </w:r>
      <w:r w:rsidRPr="004A00FD">
        <w:rPr>
          <w:rFonts w:eastAsia="+mn-ea" w:cs="Times New Roman"/>
          <w:bCs/>
          <w:color w:val="000000"/>
          <w:kern w:val="24"/>
          <w:szCs w:val="24"/>
        </w:rPr>
        <w:fldChar w:fldCharType="begin" w:fldLock="1"/>
      </w:r>
      <w:r w:rsidR="000D06B3">
        <w:rPr>
          <w:rFonts w:eastAsia="+mn-ea" w:cs="Times New Roman"/>
          <w:bCs/>
          <w:color w:val="000000"/>
          <w:kern w:val="24"/>
          <w:szCs w:val="24"/>
        </w:rPr>
        <w:instrText>ADDIN CSL_CITATION {"citationItems":[{"id":"ITEM-1","itemData":{"DOI":"10.2307/2670170","ISSN":"01621459","abstract":"[With explanatory covariates, the standard analysis for competing risks data involves modeling the cause-specific hazard functions via a proportional hazards assumption. Unfortunately, the cause-specific hazard function does not have a direct interpretation in terms of survival probabilities for the particular failure type. In recent years many clinicians have begun using the cumulative incidence function, the marginal failure probabilities for a particular cause, which is intuitively appealing and more easily explained to the nonstatistician. The cumulative incidence is especially relevant in cost-effectiveness analyses in which the survival probabilities are needed to determine treatment utility. Previously, authors have considered methods for combining estimates of the cause-specific hazard functions under the proportional hazards formulation. However, these methods do not allow the analyst to directly assess the effect of a covariate on the marginal probability function. In this article we propose a novel semiparametric proportional hazards model for the subdistribution. Using the partial likelihood principle and weighting techniques, we derive estimation and inference procedures for the finite-dimensional regression parameter under a variety of censoring scenarios. We give a uniformly consistent estimator for the predicted cumulative incidence for an individual with certain covariates; confidence intervals and bands can be obtained analytically or with an easy-to-implement simulation technique. To contrast the two approaches, we analyze a dataset from a breast cancer clinical trial under both models.]","author":[{"dropping-particle":"","family":"Fine","given":"Jason P","non-dropping-particle":"","parse-names":false,"suffix":""},{"dropping-particle":"","family":"Gray","given":"Robert J","non-dropping-particle":"","parse-names":false,"suffix":""}],"container-title":"Journal of the American Statistical Association","id":"ITEM-1","issue":"446","issued":{"date-parts":[["1999","1","18"]]},"page":"496-509","publisher":"[American Statistical Association, Taylor &amp; Francis, Ltd.]","title":"A Proportional Hazards Model for the Subdistribution of a Competing Risk","type":"article-journal","volume":"94"},"uris":["http://www.mendeley.com/documents/?uuid=a665fb0b-0ec5-4958-9db2-1da756e658ef"]}],"mendeley":{"formattedCitation":"&lt;sup&gt;6&lt;/sup&gt;","plainTextFormattedCitation":"6","previouslyFormattedCitation":"&lt;sup&gt;5&lt;/sup&gt;"},"properties":{"noteIndex":0},"schema":"https://github.com/citation-style-language/schema/raw/master/csl-citation.json"}</w:instrText>
      </w:r>
      <w:r w:rsidRPr="004A00FD">
        <w:rPr>
          <w:rFonts w:eastAsia="+mn-ea" w:cs="Times New Roman"/>
          <w:bCs/>
          <w:color w:val="000000"/>
          <w:kern w:val="24"/>
          <w:szCs w:val="24"/>
        </w:rPr>
        <w:fldChar w:fldCharType="separate"/>
      </w:r>
      <w:r w:rsidR="000D06B3" w:rsidRPr="000D06B3">
        <w:rPr>
          <w:rFonts w:eastAsia="+mn-ea" w:cs="Times New Roman"/>
          <w:bCs/>
          <w:noProof/>
          <w:color w:val="000000"/>
          <w:kern w:val="24"/>
          <w:szCs w:val="24"/>
          <w:vertAlign w:val="superscript"/>
        </w:rPr>
        <w:t>6</w:t>
      </w:r>
      <w:r w:rsidRPr="004A00FD">
        <w:rPr>
          <w:rFonts w:eastAsia="+mn-ea" w:cs="Times New Roman"/>
          <w:bCs/>
          <w:color w:val="000000"/>
          <w:kern w:val="24"/>
          <w:szCs w:val="24"/>
        </w:rPr>
        <w:fldChar w:fldCharType="end"/>
      </w:r>
      <w:r w:rsidRPr="004A00FD">
        <w:rPr>
          <w:rFonts w:eastAsia="+mn-ea" w:cs="Times New Roman"/>
          <w:bCs/>
          <w:color w:val="000000"/>
          <w:kern w:val="24"/>
          <w:szCs w:val="24"/>
        </w:rPr>
        <w:t xml:space="preserve"> Within both modeling algorithms, we evaluated </w:t>
      </w:r>
      <w:r w:rsidR="005602B8">
        <w:rPr>
          <w:rFonts w:eastAsia="+mn-ea" w:cs="Times New Roman"/>
          <w:bCs/>
          <w:color w:val="000000"/>
          <w:kern w:val="24"/>
          <w:szCs w:val="24"/>
        </w:rPr>
        <w:t>3</w:t>
      </w:r>
      <w:r w:rsidRPr="004A00FD">
        <w:rPr>
          <w:rFonts w:eastAsia="+mn-ea" w:cs="Times New Roman"/>
          <w:bCs/>
          <w:color w:val="000000"/>
          <w:kern w:val="24"/>
          <w:szCs w:val="24"/>
        </w:rPr>
        <w:t xml:space="preserve"> predictor selection procedures</w:t>
      </w:r>
      <w:r w:rsidR="005A5B10">
        <w:rPr>
          <w:rFonts w:eastAsia="+mn-ea" w:cs="Times New Roman"/>
          <w:bCs/>
          <w:color w:val="000000"/>
          <w:kern w:val="24"/>
          <w:szCs w:val="24"/>
        </w:rPr>
        <w:t xml:space="preserve">. The first two </w:t>
      </w:r>
      <w:r w:rsidR="009D0E7A">
        <w:rPr>
          <w:rFonts w:eastAsia="+mn-ea" w:cs="Times New Roman"/>
          <w:bCs/>
          <w:color w:val="000000"/>
          <w:kern w:val="24"/>
          <w:szCs w:val="24"/>
        </w:rPr>
        <w:t>procedures</w:t>
      </w:r>
      <w:r w:rsidR="005A5B10">
        <w:rPr>
          <w:rFonts w:eastAsia="+mn-ea" w:cs="Times New Roman"/>
          <w:bCs/>
          <w:color w:val="000000"/>
          <w:kern w:val="24"/>
          <w:szCs w:val="24"/>
        </w:rPr>
        <w:t xml:space="preserve"> used </w:t>
      </w:r>
      <w:r w:rsidRPr="004A00FD">
        <w:rPr>
          <w:rFonts w:eastAsia="+mn-ea" w:cs="Times New Roman"/>
          <w:bCs/>
          <w:color w:val="000000"/>
          <w:kern w:val="24"/>
          <w:szCs w:val="24"/>
        </w:rPr>
        <w:t xml:space="preserve">1) backward elimination with a </w:t>
      </w:r>
      <w:r w:rsidRPr="004A00FD">
        <w:rPr>
          <w:rFonts w:eastAsia="+mn-ea" w:cs="Times New Roman"/>
          <w:bCs/>
          <w:i/>
          <w:iCs/>
          <w:color w:val="000000"/>
          <w:kern w:val="24"/>
          <w:szCs w:val="24"/>
        </w:rPr>
        <w:t>P</w:t>
      </w:r>
      <w:r w:rsidRPr="004A00FD">
        <w:rPr>
          <w:rFonts w:eastAsia="+mn-ea" w:cs="Times New Roman"/>
          <w:bCs/>
          <w:color w:val="000000"/>
          <w:kern w:val="24"/>
          <w:szCs w:val="24"/>
        </w:rPr>
        <w:t xml:space="preserve">&lt;0.05 criterion; </w:t>
      </w:r>
      <w:r w:rsidR="009D0E7A">
        <w:rPr>
          <w:rFonts w:eastAsia="+mn-ea" w:cs="Times New Roman"/>
          <w:bCs/>
          <w:color w:val="000000"/>
          <w:kern w:val="24"/>
          <w:szCs w:val="24"/>
        </w:rPr>
        <w:t xml:space="preserve">and </w:t>
      </w:r>
      <w:r w:rsidRPr="004A00FD">
        <w:rPr>
          <w:rFonts w:eastAsia="+mn-ea" w:cs="Times New Roman"/>
          <w:bCs/>
          <w:color w:val="000000"/>
          <w:kern w:val="24"/>
          <w:szCs w:val="24"/>
        </w:rPr>
        <w:t>2) backward elimination with an AIC criterion</w:t>
      </w:r>
      <w:r w:rsidR="005A5B10">
        <w:rPr>
          <w:rFonts w:eastAsia="+mn-ea" w:cs="Times New Roman"/>
          <w:bCs/>
          <w:color w:val="000000"/>
          <w:kern w:val="24"/>
          <w:szCs w:val="24"/>
        </w:rPr>
        <w:t xml:space="preserve">. </w:t>
      </w:r>
      <w:r w:rsidR="009D0E7A">
        <w:rPr>
          <w:rFonts w:eastAsia="+mn-ea" w:cs="Times New Roman"/>
          <w:bCs/>
          <w:color w:val="000000"/>
          <w:kern w:val="24"/>
          <w:szCs w:val="24"/>
        </w:rPr>
        <w:t xml:space="preserve">The third </w:t>
      </w:r>
      <w:r w:rsidR="005602B8">
        <w:rPr>
          <w:rFonts w:eastAsia="+mn-ea" w:cs="Times New Roman"/>
          <w:bCs/>
          <w:color w:val="000000"/>
          <w:kern w:val="24"/>
          <w:szCs w:val="24"/>
        </w:rPr>
        <w:t>procedure</w:t>
      </w:r>
      <w:r w:rsidR="009D0E7A">
        <w:rPr>
          <w:rFonts w:eastAsia="+mn-ea" w:cs="Times New Roman"/>
          <w:bCs/>
          <w:color w:val="000000"/>
          <w:kern w:val="24"/>
          <w:szCs w:val="24"/>
        </w:rPr>
        <w:t xml:space="preserve"> employed </w:t>
      </w:r>
      <w:r w:rsidR="009D0E7A" w:rsidRPr="004A00FD">
        <w:rPr>
          <w:rFonts w:eastAsia="+mn-ea" w:cs="Times New Roman"/>
          <w:bCs/>
          <w:color w:val="000000"/>
          <w:kern w:val="24"/>
          <w:szCs w:val="24"/>
        </w:rPr>
        <w:t>LASSO (“least absolute shrinkage and selection operator”)</w:t>
      </w:r>
      <w:r w:rsidR="005B22E8">
        <w:rPr>
          <w:rFonts w:eastAsia="+mn-ea" w:cs="Times New Roman"/>
          <w:bCs/>
          <w:color w:val="000000"/>
          <w:kern w:val="24"/>
          <w:szCs w:val="24"/>
        </w:rPr>
        <w:t>.</w:t>
      </w:r>
      <w:r w:rsidR="009D0E7A" w:rsidRPr="004A00FD">
        <w:rPr>
          <w:rFonts w:eastAsia="+mn-ea" w:cs="Times New Roman"/>
          <w:bCs/>
          <w:color w:val="000000"/>
          <w:kern w:val="24"/>
          <w:szCs w:val="24"/>
        </w:rPr>
        <w:fldChar w:fldCharType="begin" w:fldLock="1"/>
      </w:r>
      <w:r w:rsidR="000D06B3">
        <w:rPr>
          <w:rFonts w:eastAsia="+mn-ea" w:cs="Times New Roman"/>
          <w:bCs/>
          <w:color w:val="000000"/>
          <w:kern w:val="24"/>
          <w:szCs w:val="24"/>
        </w:rPr>
        <w:instrText>ADDIN CSL_CITATION {"citationItems":[{"id":"ITEM-1","itemData":{"abstract":"I propose a new method for variable selection and shrinkage in Cox's\\nproportional hazards model. My proposal minimizes the log partial\\nlikelihood subject to the sum of the absolute values of the parameters\\nbeing bounded by a constant. Because of the nature of this constraint,\\nit shrinks coefficients and produces some coefficients that are exactly\\nzero. As a result it reduces the estimation variance while providing\\nan interpretable final model. The method is a variation of the 'lasso'\\nproposal of Tibshirani, designed for the linear regression context.\\nSimulations indicate that the lasso can be more accurate than stepwise\\nselection in this setting.","author":[{"dropping-particle":"","family":"Tibshirani","given":"Robert","non-dropping-particle":"","parse-names":false,"suffix":""}],"container-title":"Statistics in medicine","id":"ITEM-1","issue":"4","issued":{"date-parts":[["1997"]]},"page":"385-395","title":"The LASSO method for variable selection in the Cox model","type":"article-journal","volume":"16"},"uris":["http://www.mendeley.com/documents/?uuid=8bcf0841-5761-48ec-a808-4c51fd3bf746"]}],"mendeley":{"formattedCitation":"&lt;sup&gt;7&lt;/sup&gt;","plainTextFormattedCitation":"7","previouslyFormattedCitation":"&lt;sup&gt;6&lt;/sup&gt;"},"properties":{"noteIndex":0},"schema":"https://github.com/citation-style-language/schema/raw/master/csl-citation.json"}</w:instrText>
      </w:r>
      <w:r w:rsidR="009D0E7A" w:rsidRPr="004A00FD">
        <w:rPr>
          <w:rFonts w:eastAsia="+mn-ea" w:cs="Times New Roman"/>
          <w:bCs/>
          <w:color w:val="000000"/>
          <w:kern w:val="24"/>
          <w:szCs w:val="24"/>
        </w:rPr>
        <w:fldChar w:fldCharType="separate"/>
      </w:r>
      <w:r w:rsidR="000D06B3" w:rsidRPr="000D06B3">
        <w:rPr>
          <w:rFonts w:eastAsia="+mn-ea" w:cs="Times New Roman"/>
          <w:bCs/>
          <w:noProof/>
          <w:color w:val="000000"/>
          <w:kern w:val="24"/>
          <w:szCs w:val="24"/>
          <w:vertAlign w:val="superscript"/>
        </w:rPr>
        <w:t>7</w:t>
      </w:r>
      <w:r w:rsidR="009D0E7A" w:rsidRPr="004A00FD">
        <w:rPr>
          <w:rFonts w:eastAsia="+mn-ea" w:cs="Times New Roman"/>
          <w:bCs/>
          <w:color w:val="000000"/>
          <w:kern w:val="24"/>
          <w:szCs w:val="24"/>
        </w:rPr>
        <w:fldChar w:fldCharType="end"/>
      </w:r>
      <w:r w:rsidR="009D0E7A">
        <w:rPr>
          <w:rFonts w:eastAsia="+mn-ea" w:cs="Times New Roman"/>
          <w:bCs/>
          <w:color w:val="000000"/>
          <w:kern w:val="24"/>
          <w:szCs w:val="24"/>
        </w:rPr>
        <w:t xml:space="preserve"> </w:t>
      </w:r>
      <w:r w:rsidRPr="004A00FD">
        <w:rPr>
          <w:rFonts w:eastAsia="+mn-ea" w:cs="Times New Roman"/>
          <w:bCs/>
          <w:color w:val="000000"/>
          <w:kern w:val="24"/>
          <w:szCs w:val="24"/>
        </w:rPr>
        <w:t>We tuned the LASSO model using cross-validation</w:t>
      </w:r>
      <w:r w:rsidR="009D0E7A">
        <w:rPr>
          <w:rFonts w:eastAsia="+mn-ea" w:cs="Times New Roman"/>
          <w:bCs/>
          <w:color w:val="000000"/>
          <w:kern w:val="24"/>
          <w:szCs w:val="24"/>
        </w:rPr>
        <w:t xml:space="preserve">, and </w:t>
      </w:r>
      <w:r w:rsidR="005602B8">
        <w:rPr>
          <w:rFonts w:eastAsia="+mn-ea" w:cs="Times New Roman"/>
          <w:bCs/>
          <w:color w:val="000000"/>
          <w:kern w:val="24"/>
          <w:szCs w:val="24"/>
        </w:rPr>
        <w:t xml:space="preserve">identified the </w:t>
      </w:r>
      <w:r w:rsidR="005602B8" w:rsidRPr="004A00FD">
        <w:rPr>
          <w:rFonts w:eastAsia="+mn-ea" w:cs="Times New Roman"/>
          <w:bCs/>
          <w:color w:val="000000"/>
          <w:kern w:val="24"/>
          <w:szCs w:val="24"/>
        </w:rPr>
        <w:t xml:space="preserve">regularization penalty that </w:t>
      </w:r>
      <w:r w:rsidR="005602B8">
        <w:rPr>
          <w:rFonts w:eastAsia="+mn-ea" w:cs="Times New Roman"/>
          <w:bCs/>
          <w:color w:val="000000"/>
          <w:kern w:val="24"/>
          <w:szCs w:val="24"/>
        </w:rPr>
        <w:t xml:space="preserve">minimized cross-validated error </w:t>
      </w:r>
      <w:r w:rsidR="005602B8" w:rsidRPr="009D0E7A">
        <w:rPr>
          <w:rFonts w:eastAsia="+mn-ea" w:cs="Times New Roman"/>
          <w:bCs/>
          <w:color w:val="000000"/>
          <w:kern w:val="24"/>
          <w:szCs w:val="24"/>
        </w:rPr>
        <w:t>(i.e., λ=minimum)</w:t>
      </w:r>
      <w:r w:rsidR="005602B8">
        <w:rPr>
          <w:rFonts w:eastAsia="+mn-ea" w:cs="Times New Roman"/>
          <w:bCs/>
          <w:color w:val="000000"/>
          <w:kern w:val="24"/>
          <w:szCs w:val="24"/>
        </w:rPr>
        <w:t xml:space="preserve">. To select parsimonious models with similar predictive performance to models utilizing </w:t>
      </w:r>
      <w:r w:rsidR="005602B8" w:rsidRPr="009D0E7A">
        <w:rPr>
          <w:rFonts w:eastAsia="+mn-ea" w:cs="Times New Roman"/>
          <w:bCs/>
          <w:color w:val="000000"/>
          <w:kern w:val="24"/>
          <w:szCs w:val="24"/>
        </w:rPr>
        <w:t>λ=minimum</w:t>
      </w:r>
      <w:r w:rsidR="005602B8">
        <w:rPr>
          <w:rFonts w:eastAsia="+mn-ea" w:cs="Times New Roman"/>
          <w:bCs/>
          <w:color w:val="000000"/>
          <w:kern w:val="24"/>
          <w:szCs w:val="24"/>
        </w:rPr>
        <w:t xml:space="preserve">, we used </w:t>
      </w:r>
      <w:r w:rsidR="005602B8" w:rsidRPr="005602B8">
        <w:rPr>
          <w:rFonts w:eastAsia="+mn-ea" w:cs="Times New Roman"/>
          <w:bCs/>
          <w:color w:val="000000"/>
          <w:kern w:val="24"/>
          <w:szCs w:val="24"/>
        </w:rPr>
        <w:t>a regularization penalty one standard error higher than that which minimized cross-validated error</w:t>
      </w:r>
      <w:r w:rsidR="005602B8">
        <w:rPr>
          <w:rFonts w:eastAsia="+mn-ea" w:cs="Times New Roman"/>
          <w:bCs/>
          <w:color w:val="000000"/>
          <w:kern w:val="24"/>
          <w:szCs w:val="24"/>
        </w:rPr>
        <w:t>, as recommended.</w:t>
      </w:r>
      <w:r w:rsidR="00604CF6">
        <w:rPr>
          <w:rFonts w:eastAsia="+mn-ea" w:cs="Times New Roman"/>
          <w:bCs/>
          <w:color w:val="000000"/>
          <w:kern w:val="24"/>
          <w:szCs w:val="24"/>
        </w:rPr>
        <w:fldChar w:fldCharType="begin" w:fldLock="1"/>
      </w:r>
      <w:r w:rsidR="000D06B3">
        <w:rPr>
          <w:rFonts w:eastAsia="+mn-ea" w:cs="Times New Roman"/>
          <w:bCs/>
          <w:color w:val="000000"/>
          <w:kern w:val="24"/>
          <w:szCs w:val="24"/>
        </w:rPr>
        <w:instrText>ADDIN CSL_CITATION {"citationItems":[{"id":"ITEM-1","itemData":{"author":[{"dropping-particle":"","family":"Breiman","given":"L","non-dropping-particle":"","parse-names":false,"suffix":""},{"dropping-particle":"","family":"Friedman","given":"J","non-dropping-particle":"","parse-names":false,"suffix":""},{"dropping-particle":"","family":"Stone","given":"CJ","non-dropping-particle":"","parse-names":false,"suffix":""},{"dropping-particle":"","family":"Olshen","given":"RA","non-dropping-particle":"","parse-names":false,"suffix":""}],"id":"ITEM-1","issued":{"date-parts":[["1984"]]},"publisher":"CRC Press","title":"Classification and Regression Trees","type":"book"},"uris":["http://www.mendeley.com/documents/?uuid=95afd813-528b-4526-80ed-a45558ed1947"]}],"mendeley":{"formattedCitation":"&lt;sup&gt;8&lt;/sup&gt;","plainTextFormattedCitation":"8","previouslyFormattedCitation":"&lt;sup&gt;7&lt;/sup&gt;"},"properties":{"noteIndex":0},"schema":"https://github.com/citation-style-language/schema/raw/master/csl-citation.json"}</w:instrText>
      </w:r>
      <w:r w:rsidR="00604CF6">
        <w:rPr>
          <w:rFonts w:eastAsia="+mn-ea" w:cs="Times New Roman"/>
          <w:bCs/>
          <w:color w:val="000000"/>
          <w:kern w:val="24"/>
          <w:szCs w:val="24"/>
        </w:rPr>
        <w:fldChar w:fldCharType="separate"/>
      </w:r>
      <w:r w:rsidR="000D06B3" w:rsidRPr="000D06B3">
        <w:rPr>
          <w:rFonts w:eastAsia="+mn-ea" w:cs="Times New Roman"/>
          <w:bCs/>
          <w:noProof/>
          <w:color w:val="000000"/>
          <w:kern w:val="24"/>
          <w:szCs w:val="24"/>
          <w:vertAlign w:val="superscript"/>
        </w:rPr>
        <w:t>8</w:t>
      </w:r>
      <w:r w:rsidR="00604CF6">
        <w:rPr>
          <w:rFonts w:eastAsia="+mn-ea" w:cs="Times New Roman"/>
          <w:bCs/>
          <w:color w:val="000000"/>
          <w:kern w:val="24"/>
          <w:szCs w:val="24"/>
        </w:rPr>
        <w:fldChar w:fldCharType="end"/>
      </w:r>
    </w:p>
    <w:p w14:paraId="544111AA" w14:textId="77777777" w:rsidR="00D9581E" w:rsidRPr="004A00FD" w:rsidRDefault="00D9581E" w:rsidP="00CE31A0">
      <w:pPr>
        <w:spacing w:after="160"/>
        <w:rPr>
          <w:rFonts w:eastAsia="+mn-ea" w:cs="Times New Roman"/>
          <w:bCs/>
          <w:color w:val="000000"/>
          <w:kern w:val="24"/>
          <w:szCs w:val="24"/>
        </w:rPr>
      </w:pPr>
    </w:p>
    <w:p w14:paraId="5EE9BAB7" w14:textId="17EEB2A5" w:rsidR="00AE0874" w:rsidRDefault="00AE0874" w:rsidP="00CE31A0">
      <w:pPr>
        <w:spacing w:after="160"/>
        <w:rPr>
          <w:rFonts w:eastAsia="+mn-ea" w:cs="Times New Roman"/>
          <w:b/>
          <w:color w:val="000000"/>
          <w:kern w:val="24"/>
          <w:szCs w:val="24"/>
        </w:rPr>
      </w:pPr>
      <w:r w:rsidRPr="00D9581E">
        <w:rPr>
          <w:rFonts w:eastAsia="+mn-ea" w:cs="Times New Roman"/>
          <w:b/>
          <w:color w:val="000000"/>
          <w:kern w:val="24"/>
          <w:szCs w:val="24"/>
        </w:rPr>
        <w:t>Model Validation</w:t>
      </w:r>
    </w:p>
    <w:p w14:paraId="3B4814A5" w14:textId="77777777" w:rsidR="004D45D7" w:rsidRPr="00D9581E" w:rsidRDefault="004D45D7" w:rsidP="00CE31A0">
      <w:pPr>
        <w:spacing w:after="160"/>
        <w:rPr>
          <w:rFonts w:eastAsia="+mn-ea" w:cs="Times New Roman"/>
          <w:b/>
          <w:color w:val="000000"/>
          <w:kern w:val="24"/>
          <w:szCs w:val="24"/>
        </w:rPr>
      </w:pPr>
    </w:p>
    <w:p w14:paraId="47ACE26F" w14:textId="118B31B6" w:rsidR="00AE0874" w:rsidRDefault="00AE0874" w:rsidP="00D9581E">
      <w:pPr>
        <w:spacing w:after="160"/>
        <w:ind w:firstLine="720"/>
        <w:rPr>
          <w:rFonts w:eastAsia="+mn-ea" w:cs="Times New Roman"/>
          <w:bCs/>
          <w:color w:val="000000"/>
          <w:kern w:val="24"/>
          <w:szCs w:val="24"/>
        </w:rPr>
      </w:pPr>
      <w:r w:rsidRPr="004A00FD">
        <w:rPr>
          <w:rFonts w:eastAsia="+mn-ea" w:cs="Times New Roman"/>
          <w:bCs/>
          <w:color w:val="000000"/>
          <w:kern w:val="24"/>
          <w:szCs w:val="24"/>
        </w:rPr>
        <w:t>All modeling strategies were internally validated using 10x10-fold cross-validation, similar to the ACC/AHA PCEs</w:t>
      </w:r>
      <w:r w:rsidR="005B22E8">
        <w:rPr>
          <w:rFonts w:eastAsia="+mn-ea" w:cs="Times New Roman"/>
          <w:bCs/>
          <w:color w:val="000000"/>
          <w:kern w:val="24"/>
          <w:szCs w:val="24"/>
        </w:rPr>
        <w:t>.</w:t>
      </w:r>
      <w:r w:rsidRPr="004A00FD">
        <w:rPr>
          <w:rFonts w:eastAsia="+mn-ea" w:cs="Times New Roman"/>
          <w:bCs/>
          <w:color w:val="000000"/>
          <w:kern w:val="24"/>
          <w:szCs w:val="24"/>
        </w:rPr>
        <w:fldChar w:fldCharType="begin" w:fldLock="1"/>
      </w:r>
      <w:r w:rsidR="00604CF6">
        <w:rPr>
          <w:rFonts w:eastAsia="+mn-ea" w:cs="Times New Roman"/>
          <w:bCs/>
          <w:color w:val="000000"/>
          <w:kern w:val="24"/>
          <w:szCs w:val="24"/>
        </w:rPr>
        <w:instrText>ADDIN CSL_CITATION {"citationItems":[{"id":"ITEM-1","itemData":{"DOI":"10.1161/01.cir.0000437741.48606.98","ISBN":"1524-4539 (Electronic)\\r0009-7322 (Linking)","ISSN":"15244539","PMID":"24222018","author":[{"dropping-particle":"","family":"Goff","given":"David C.","non-dropping-particle":"","parse-names":false,"suffix":""},{"dropping-particle":"","family":"Lloyd-Jones","given":"Donald M.","non-dropping-particle":"","parse-names":false,"suffix":""},{"dropping-particle":"","family":"Bennett","given":"Glen","non-dropping-particle":"","parse-names":false,"suffix":""},{"dropping-particle":"","family":"Coady","given":"Sean","non-dropping-particle":"","parse-names":false,"suffix":""},{"dropping-particle":"","family":"D'Agostino","given":"Ralph B.","non-dropping-particle":"","parse-names":false,"suffix":""},{"dropping-particle":"","family":"Gibbons","given":"Raymond","non-dropping-particle":"","parse-names":false,"suffix":""},{"dropping-particle":"","family":"Greenland","given":"Philip","non-dropping-particle":"","parse-names":false,"suffix":""},{"dropping-particle":"","family":"Lackland","given":"Daniel T.","non-dropping-particle":"","parse-names":false,"suffix":""},{"dropping-particle":"","family":"Levy","given":"Daniel","non-dropping-particle":"","parse-names":false,"suffix":""},{"dropping-particle":"","family":"O'Donnell","given":"Christopher J.","non-dropping-particle":"","parse-names":false,"suffix":""},{"dropping-particle":"","family":"Robinson","given":"Jennifer G.","non-dropping-particle":"","parse-names":false,"suffix":""},{"dropping-particle":"","family":"Schwartz","given":"J. Sanford","non-dropping-particle":"","parse-names":false,"suffix":""},{"dropping-particle":"","family":"Shero","given":"Susan T.","non-dropping-particle":"","parse-names":false,"suffix":""},{"dropping-particle":"","family":"Smith","given":"Sidney C.","non-dropping-particle":"","parse-names":false,"suffix":""},{"dropping-particle":"","family":"Sorlie","given":"Paul","non-dropping-particle":"","parse-names":false,"suffix":""},{"dropping-particle":"","family":"Stone","given":"Neil J.","non-dropping-particle":"","parse-names":false,"suffix":""},{"dropping-particle":"","family":"Wilson","given":"Peter W F","non-dropping-particle":"","parse-names":false,"suffix":""}],"container-title":"Circulation","id":"ITEM-1","issue":"25 Pt B","issued":{"date-parts":[["2013"]]},"page":"2935-2959","title":"2013 ACC/AHA guideline on the assessment of cardiovascular risk: A report of the American College of Cardiology/American Heart Association task force on practice guidelines","type":"article-journal","volume":"63"},"uris":["http://www.mendeley.com/documents/?uuid=50984e66-19ea-41ae-adc4-691c34bd1618"]}],"mendeley":{"formattedCitation":"&lt;sup&gt;1&lt;/sup&gt;","plainTextFormattedCitation":"1","previouslyFormattedCitation":"&lt;sup&gt;1&lt;/sup&gt;"},"properties":{"noteIndex":0},"schema":"https://github.com/citation-style-language/schema/raw/master/csl-citation.json"}</w:instrText>
      </w:r>
      <w:r w:rsidRPr="004A00FD">
        <w:rPr>
          <w:rFonts w:eastAsia="+mn-ea" w:cs="Times New Roman"/>
          <w:bCs/>
          <w:color w:val="000000"/>
          <w:kern w:val="24"/>
          <w:szCs w:val="24"/>
        </w:rPr>
        <w:fldChar w:fldCharType="separate"/>
      </w:r>
      <w:r w:rsidR="005B22E8" w:rsidRPr="005B22E8">
        <w:rPr>
          <w:rFonts w:eastAsia="+mn-ea" w:cs="Times New Roman"/>
          <w:bCs/>
          <w:noProof/>
          <w:color w:val="000000"/>
          <w:kern w:val="24"/>
          <w:szCs w:val="24"/>
          <w:vertAlign w:val="superscript"/>
        </w:rPr>
        <w:t>1</w:t>
      </w:r>
      <w:r w:rsidRPr="004A00FD">
        <w:rPr>
          <w:rFonts w:eastAsia="+mn-ea" w:cs="Times New Roman"/>
          <w:bCs/>
          <w:color w:val="000000"/>
          <w:kern w:val="24"/>
          <w:szCs w:val="24"/>
        </w:rPr>
        <w:fldChar w:fldCharType="end"/>
      </w:r>
      <w:r w:rsidRPr="004A00FD">
        <w:rPr>
          <w:rFonts w:eastAsia="+mn-ea" w:cs="Times New Roman"/>
          <w:bCs/>
          <w:color w:val="000000"/>
          <w:kern w:val="24"/>
          <w:szCs w:val="24"/>
        </w:rPr>
        <w:t xml:space="preserve"> Cross-validation is an extension of split sample testing, which divides available data into training and testing sets, then fits a model to the training data and evaluates the model in the testing data. Cross-validation extends split sample testing by dividing available data into at least 2 non-overlapping subsets, then using each subset once as a testing set and remaining subsets for training. Repeating the cross-validation procedure with different subsets enhances the precision of model performance estimates. The best-performing modeling procedure was used on the full CRIC sample to develop final clinical and biomarker-enriched models. In a sensitivity analysis, we evaluated the best-performing modeling procedure from the 10x10-fold cross-validation using an internal-external validation approach. In </w:t>
      </w:r>
      <w:r w:rsidR="009D0E7A">
        <w:rPr>
          <w:rFonts w:eastAsia="+mn-ea" w:cs="Times New Roman"/>
          <w:bCs/>
          <w:color w:val="000000"/>
          <w:kern w:val="24"/>
          <w:szCs w:val="24"/>
        </w:rPr>
        <w:t>this approach</w:t>
      </w:r>
      <w:r w:rsidRPr="004A00FD">
        <w:rPr>
          <w:rFonts w:eastAsia="+mn-ea" w:cs="Times New Roman"/>
          <w:bCs/>
          <w:color w:val="000000"/>
          <w:kern w:val="24"/>
          <w:szCs w:val="24"/>
        </w:rPr>
        <w:t>, one clinical center is used as testing data while the others are training data, which provides additional information on the potential performance of the models in external datasets similar in composition to the CRIC Study sample</w:t>
      </w:r>
      <w:r w:rsidR="005B22E8">
        <w:rPr>
          <w:rFonts w:eastAsia="+mn-ea" w:cs="Times New Roman"/>
          <w:bCs/>
          <w:color w:val="000000"/>
          <w:kern w:val="24"/>
          <w:szCs w:val="24"/>
        </w:rPr>
        <w:t>.</w:t>
      </w:r>
      <w:r w:rsidRPr="004A00FD">
        <w:rPr>
          <w:rFonts w:eastAsia="+mn-ea" w:cs="Times New Roman"/>
          <w:bCs/>
          <w:color w:val="000000"/>
          <w:kern w:val="24"/>
          <w:szCs w:val="24"/>
        </w:rPr>
        <w:fldChar w:fldCharType="begin" w:fldLock="1"/>
      </w:r>
      <w:r w:rsidR="000D06B3">
        <w:rPr>
          <w:rFonts w:eastAsia="+mn-ea" w:cs="Times New Roman"/>
          <w:bCs/>
          <w:color w:val="000000"/>
          <w:kern w:val="24"/>
          <w:szCs w:val="24"/>
        </w:rPr>
        <w:instrText>ADDIN CSL_CITATION {"citationItems":[{"id":"ITEM-1","itemData":{"DOI":"10.1016/j.jclinepi.2015.04.005","ISSN":"1878-5921 (Electronic)","PMID":"25981519","author":[{"dropping-particle":"","family":"Steyerberg","given":"Ewout W","non-dropping-particle":"","parse-names":false,"suffix":""},{"dropping-particle":"","family":"Harrell","given":"Frank E Jr","non-dropping-particle":"","parse-names":false,"suffix":""}],"container-title":"Journal of clinical epidemiology","id":"ITEM-1","issued":{"date-parts":[["2016","1"]]},"language":"eng","page":"245-247","title":"Prediction models need appropriate internal, internal-external, and external  validation.","type":"article-journal","volume":"69"},"uris":["http://www.mendeley.com/documents/?uuid=116e3ec4-be4c-47f4-8e70-321958e032e6"]}],"mendeley":{"formattedCitation":"&lt;sup&gt;9&lt;/sup&gt;","plainTextFormattedCitation":"9","previouslyFormattedCitation":"&lt;sup&gt;8&lt;/sup&gt;"},"properties":{"noteIndex":0},"schema":"https://github.com/citation-style-language/schema/raw/master/csl-citation.json"}</w:instrText>
      </w:r>
      <w:r w:rsidRPr="004A00FD">
        <w:rPr>
          <w:rFonts w:eastAsia="+mn-ea" w:cs="Times New Roman"/>
          <w:bCs/>
          <w:color w:val="000000"/>
          <w:kern w:val="24"/>
          <w:szCs w:val="24"/>
        </w:rPr>
        <w:fldChar w:fldCharType="separate"/>
      </w:r>
      <w:r w:rsidR="000D06B3" w:rsidRPr="000D06B3">
        <w:rPr>
          <w:rFonts w:eastAsia="+mn-ea" w:cs="Times New Roman"/>
          <w:bCs/>
          <w:noProof/>
          <w:color w:val="000000"/>
          <w:kern w:val="24"/>
          <w:szCs w:val="24"/>
          <w:vertAlign w:val="superscript"/>
        </w:rPr>
        <w:t>9</w:t>
      </w:r>
      <w:r w:rsidRPr="004A00FD">
        <w:rPr>
          <w:rFonts w:eastAsia="+mn-ea" w:cs="Times New Roman"/>
          <w:bCs/>
          <w:color w:val="000000"/>
          <w:kern w:val="24"/>
          <w:szCs w:val="24"/>
        </w:rPr>
        <w:fldChar w:fldCharType="end"/>
      </w:r>
    </w:p>
    <w:p w14:paraId="1543D5D7" w14:textId="69E9404F" w:rsidR="00365867" w:rsidRDefault="00DD4C66" w:rsidP="00D9581E">
      <w:pPr>
        <w:spacing w:after="160"/>
        <w:ind w:firstLine="720"/>
        <w:rPr>
          <w:rFonts w:eastAsia="+mn-ea" w:cs="Times New Roman"/>
          <w:bCs/>
          <w:color w:val="000000"/>
          <w:kern w:val="24"/>
          <w:szCs w:val="24"/>
          <w:vertAlign w:val="superscript"/>
        </w:rPr>
      </w:pPr>
      <w:r w:rsidRPr="00DD4C66">
        <w:rPr>
          <w:rFonts w:eastAsia="+mn-ea" w:cs="Times New Roman"/>
          <w:bCs/>
          <w:color w:val="000000"/>
          <w:kern w:val="24"/>
          <w:szCs w:val="24"/>
        </w:rPr>
        <w:t>We validated our models externally using data from two independent, community-based prospective cohort studies</w:t>
      </w:r>
      <w:r>
        <w:rPr>
          <w:rFonts w:eastAsia="+mn-ea" w:cs="Times New Roman"/>
          <w:bCs/>
          <w:color w:val="000000"/>
          <w:kern w:val="24"/>
          <w:szCs w:val="24"/>
        </w:rPr>
        <w:t xml:space="preserve">. </w:t>
      </w:r>
      <w:r w:rsidR="00365867" w:rsidRPr="00365867">
        <w:rPr>
          <w:rFonts w:eastAsia="+mn-ea" w:cs="Times New Roman"/>
          <w:bCs/>
          <w:color w:val="000000"/>
          <w:kern w:val="24"/>
          <w:szCs w:val="24"/>
        </w:rPr>
        <w:t xml:space="preserve">The </w:t>
      </w:r>
      <w:r w:rsidR="00413EDC">
        <w:rPr>
          <w:rFonts w:eastAsia="+mn-ea" w:cs="Times New Roman"/>
          <w:bCs/>
          <w:color w:val="000000"/>
          <w:kern w:val="24"/>
          <w:szCs w:val="24"/>
        </w:rPr>
        <w:t>Atherosclerosis Risk in Communities (</w:t>
      </w:r>
      <w:r w:rsidR="00365867" w:rsidRPr="00365867">
        <w:rPr>
          <w:rFonts w:eastAsia="+mn-ea" w:cs="Times New Roman"/>
          <w:bCs/>
          <w:color w:val="000000"/>
          <w:kern w:val="24"/>
          <w:szCs w:val="24"/>
        </w:rPr>
        <w:t>ARIC</w:t>
      </w:r>
      <w:r w:rsidR="00413EDC">
        <w:rPr>
          <w:rFonts w:eastAsia="+mn-ea" w:cs="Times New Roman"/>
          <w:bCs/>
          <w:color w:val="000000"/>
          <w:kern w:val="24"/>
          <w:szCs w:val="24"/>
        </w:rPr>
        <w:t>)</w:t>
      </w:r>
      <w:r w:rsidR="00365867" w:rsidRPr="00365867">
        <w:rPr>
          <w:rFonts w:eastAsia="+mn-ea" w:cs="Times New Roman"/>
          <w:bCs/>
          <w:color w:val="000000"/>
          <w:kern w:val="24"/>
          <w:szCs w:val="24"/>
        </w:rPr>
        <w:t xml:space="preserve"> study is an ongoing population-based prospective study of 15,792 </w:t>
      </w:r>
      <w:r w:rsidR="003D3592">
        <w:rPr>
          <w:rFonts w:eastAsia="+mn-ea" w:cs="Times New Roman"/>
          <w:bCs/>
          <w:color w:val="000000"/>
          <w:kern w:val="24"/>
          <w:szCs w:val="24"/>
        </w:rPr>
        <w:t xml:space="preserve">mostly </w:t>
      </w:r>
      <w:r w:rsidR="00365867" w:rsidRPr="00365867">
        <w:rPr>
          <w:rFonts w:eastAsia="+mn-ea" w:cs="Times New Roman"/>
          <w:bCs/>
          <w:color w:val="000000"/>
          <w:kern w:val="24"/>
          <w:szCs w:val="24"/>
        </w:rPr>
        <w:t>white and black participants aged 45-64 years recruited from four US communities during 1987-1989.</w:t>
      </w:r>
      <w:r w:rsidR="00413EDC">
        <w:rPr>
          <w:rFonts w:eastAsia="+mn-ea" w:cs="Times New Roman"/>
          <w:bCs/>
          <w:color w:val="000000"/>
          <w:kern w:val="24"/>
          <w:szCs w:val="24"/>
        </w:rPr>
        <w:t xml:space="preserve"> We included participants who attended Visit 4 (1996-1998) to maximize available data on novel predictors.</w:t>
      </w:r>
      <w:r w:rsidR="00365867" w:rsidRPr="00365867">
        <w:rPr>
          <w:rFonts w:eastAsia="+mn-ea" w:cs="Times New Roman"/>
          <w:bCs/>
          <w:color w:val="000000"/>
          <w:kern w:val="24"/>
          <w:szCs w:val="24"/>
        </w:rPr>
        <w:t xml:space="preserve"> The participants were </w:t>
      </w:r>
      <w:r w:rsidR="00413EDC">
        <w:rPr>
          <w:rFonts w:eastAsia="+mn-ea" w:cs="Times New Roman"/>
          <w:bCs/>
          <w:color w:val="000000"/>
          <w:kern w:val="24"/>
          <w:szCs w:val="24"/>
        </w:rPr>
        <w:t xml:space="preserve">through 2019 </w:t>
      </w:r>
      <w:r w:rsidR="00365867" w:rsidRPr="00365867">
        <w:rPr>
          <w:rFonts w:eastAsia="+mn-ea" w:cs="Times New Roman"/>
          <w:bCs/>
          <w:color w:val="000000"/>
          <w:kern w:val="24"/>
          <w:szCs w:val="24"/>
        </w:rPr>
        <w:t>for validated incident CVD events and deaths.</w:t>
      </w:r>
      <w:r w:rsidR="00365867" w:rsidRPr="00365867">
        <w:rPr>
          <w:rFonts w:eastAsia="+mn-ea" w:cs="Times New Roman"/>
          <w:bCs/>
          <w:color w:val="000000"/>
          <w:kern w:val="24"/>
          <w:szCs w:val="24"/>
          <w:vertAlign w:val="superscript"/>
        </w:rPr>
        <w:t>8</w:t>
      </w:r>
      <w:r w:rsidR="00365867" w:rsidRPr="00365867">
        <w:rPr>
          <w:rFonts w:eastAsia="+mn-ea" w:cs="Times New Roman"/>
          <w:bCs/>
          <w:color w:val="000000"/>
          <w:kern w:val="24"/>
          <w:szCs w:val="24"/>
        </w:rPr>
        <w:t xml:space="preserve"> A total of </w:t>
      </w:r>
      <w:r w:rsidR="00413EDC">
        <w:rPr>
          <w:rFonts w:eastAsia="+mn-ea" w:cs="Times New Roman"/>
          <w:bCs/>
          <w:color w:val="000000"/>
          <w:kern w:val="24"/>
          <w:szCs w:val="24"/>
        </w:rPr>
        <w:t xml:space="preserve">875 </w:t>
      </w:r>
      <w:r w:rsidR="00365867" w:rsidRPr="00365867">
        <w:rPr>
          <w:rFonts w:eastAsia="+mn-ea" w:cs="Times New Roman"/>
          <w:bCs/>
          <w:color w:val="000000"/>
          <w:kern w:val="24"/>
          <w:szCs w:val="24"/>
        </w:rPr>
        <w:t xml:space="preserve">individuals </w:t>
      </w:r>
      <w:r w:rsidR="00413EDC">
        <w:rPr>
          <w:rFonts w:eastAsia="+mn-ea" w:cs="Times New Roman"/>
          <w:bCs/>
          <w:color w:val="000000"/>
          <w:kern w:val="24"/>
          <w:szCs w:val="24"/>
        </w:rPr>
        <w:t xml:space="preserve">with CKD, </w:t>
      </w:r>
      <w:r w:rsidR="00413EDC" w:rsidRPr="00413EDC">
        <w:rPr>
          <w:rFonts w:eastAsia="+mn-ea" w:cs="Times New Roman"/>
          <w:bCs/>
          <w:color w:val="000000"/>
          <w:kern w:val="24"/>
          <w:szCs w:val="24"/>
        </w:rPr>
        <w:t>based on an eGFR &lt;60 mL/min/1.73 m</w:t>
      </w:r>
      <w:r w:rsidR="00413EDC" w:rsidRPr="00413EDC">
        <w:rPr>
          <w:rFonts w:eastAsia="+mn-ea" w:cs="Times New Roman"/>
          <w:bCs/>
          <w:color w:val="000000"/>
          <w:kern w:val="24"/>
          <w:szCs w:val="24"/>
          <w:vertAlign w:val="superscript"/>
        </w:rPr>
        <w:t>2</w:t>
      </w:r>
      <w:r w:rsidR="00413EDC" w:rsidRPr="00413EDC">
        <w:rPr>
          <w:rFonts w:eastAsia="+mn-ea" w:cs="Times New Roman"/>
          <w:bCs/>
          <w:color w:val="000000"/>
          <w:kern w:val="24"/>
          <w:szCs w:val="24"/>
        </w:rPr>
        <w:t xml:space="preserve"> or urinary ACR ≥30 mg/g</w:t>
      </w:r>
      <w:r w:rsidR="00413EDC">
        <w:rPr>
          <w:rFonts w:eastAsia="+mn-ea" w:cs="Times New Roman"/>
          <w:bCs/>
          <w:color w:val="000000"/>
          <w:kern w:val="24"/>
          <w:szCs w:val="24"/>
        </w:rPr>
        <w:t xml:space="preserve">, </w:t>
      </w:r>
      <w:r w:rsidR="00365867" w:rsidRPr="00365867">
        <w:rPr>
          <w:rFonts w:eastAsia="+mn-ea" w:cs="Times New Roman"/>
          <w:bCs/>
          <w:color w:val="000000"/>
          <w:kern w:val="24"/>
          <w:szCs w:val="24"/>
        </w:rPr>
        <w:t xml:space="preserve">were included in the </w:t>
      </w:r>
      <w:r w:rsidR="00413EDC">
        <w:rPr>
          <w:rFonts w:eastAsia="+mn-ea" w:cs="Times New Roman"/>
          <w:bCs/>
          <w:color w:val="000000"/>
          <w:kern w:val="24"/>
          <w:szCs w:val="24"/>
        </w:rPr>
        <w:t>external validation analyses</w:t>
      </w:r>
      <w:r w:rsidR="00365867" w:rsidRPr="00365867">
        <w:rPr>
          <w:rFonts w:eastAsia="+mn-ea" w:cs="Times New Roman"/>
          <w:bCs/>
          <w:color w:val="000000"/>
          <w:kern w:val="24"/>
          <w:szCs w:val="24"/>
        </w:rPr>
        <w:t>. Incident CVD events and deaths were adjudicated by the Morbidity and Mortality Classification Committee</w:t>
      </w:r>
      <w:r w:rsidR="00365867">
        <w:rPr>
          <w:rFonts w:eastAsia="+mn-ea" w:cs="Times New Roman"/>
          <w:bCs/>
          <w:color w:val="000000"/>
          <w:kern w:val="24"/>
          <w:szCs w:val="24"/>
        </w:rPr>
        <w:t>.</w:t>
      </w:r>
      <w:r w:rsidR="00413EDC">
        <w:rPr>
          <w:rFonts w:eastAsia="+mn-ea" w:cs="Times New Roman"/>
          <w:bCs/>
          <w:color w:val="000000"/>
          <w:kern w:val="24"/>
          <w:szCs w:val="24"/>
        </w:rPr>
        <w:fldChar w:fldCharType="begin" w:fldLock="1"/>
      </w:r>
      <w:r w:rsidR="000D06B3">
        <w:rPr>
          <w:rFonts w:eastAsia="+mn-ea" w:cs="Times New Roman"/>
          <w:bCs/>
          <w:color w:val="000000"/>
          <w:kern w:val="24"/>
          <w:szCs w:val="24"/>
        </w:rPr>
        <w:instrText>ADDIN CSL_CITATION {"citationItems":[{"id":"ITEM-1","itemData":{"DOI":"10.1016/j.jacc.2021.04.035","ISSN":"1558-3597 (Electronic)","PMID":"34112321","abstract":"ARIC (Atherosclerosis Risk In Communities) initiated community-based surveillance in  1987 for myocardial infarction and coronary heart disease (CHD) incidence and mortality and created a prospective cohort of 15,792 Black and White adults ages 45 to 64 years. The primary aims were to improve understanding of the decline in CHD mortality and identify determinants of subclinical atherosclerosis and CHD in Black and White middle-age adults. ARIC has examined areas including health disparities, genomics, heart failure, and prevention, producing more than 2,300 publications. Results have had strong clinical impact and demonstrate the importance of population-based research in the spectrum of biomedical research to improve health.","author":[{"dropping-particle":"","family":"Wright","given":"Jacqueline D","non-dropping-particle":"","parse-names":false,"suffix":""},{"dropping-particle":"","family":"Folsom","given":"Aaron R","non-dropping-particle":"","parse-names":false,"suffix":""},{"dropping-particle":"","family":"Coresh","given":"Josef","non-dropping-particle":"","parse-names":false,"suffix":""},{"dropping-particle":"","family":"Sharrett","given":"A Richey","non-dropping-particle":"","parse-names":false,"suffix":""},{"dropping-particle":"","family":"Couper","given":"David","non-dropping-particle":"","parse-names":false,"suffix":""},{"dropping-particle":"","family":"Wagenknecht","given":"Lynne E","non-dropping-particle":"","parse-names":false,"suffix":""},{"dropping-particle":"","family":"Mosley","given":"Thomas H Jr","non-dropping-particle":"","parse-names":false,"suffix":""},{"dropping-particle":"","family":"Ballantyne","given":"Christie M","non-dropping-particle":"","parse-names":false,"suffix":""},{"dropping-particle":"","family":"Boerwinkle","given":"Eric A","non-dropping-particle":"","parse-names":false,"suffix":""},{"dropping-particle":"","family":"Rosamond","given":"Wayne D","non-dropping-particle":"","parse-names":false,"suffix":""},{"dropping-particle":"","family":"Heiss","given":"Gerardo","non-dropping-particle":"","parse-names":false,"suffix":""}],"container-title":"Journal of the American College of Cardiology","id":"ITEM-1","issue":"23","issued":{"date-parts":[["2021","6"]]},"language":"eng","page":"2939-2959","publisher-place":"United States","title":"The ARIC (Atherosclerosis Risk In Communities) Study: JACC Focus Seminar 3/8.","type":"article-journal","volume":"77"},"uris":["http://www.mendeley.com/documents/?uuid=7ccef1aa-7fbd-4dd8-accd-2ff14e69c8c3"]}],"mendeley":{"formattedCitation":"&lt;sup&gt;10&lt;/sup&gt;","plainTextFormattedCitation":"10","previouslyFormattedCitation":"&lt;sup&gt;9&lt;/sup&gt;"},"properties":{"noteIndex":0},"schema":"https://github.com/citation-style-language/schema/raw/master/csl-citation.json"}</w:instrText>
      </w:r>
      <w:r w:rsidR="00413EDC">
        <w:rPr>
          <w:rFonts w:eastAsia="+mn-ea" w:cs="Times New Roman"/>
          <w:bCs/>
          <w:color w:val="000000"/>
          <w:kern w:val="24"/>
          <w:szCs w:val="24"/>
        </w:rPr>
        <w:fldChar w:fldCharType="separate"/>
      </w:r>
      <w:r w:rsidR="000D06B3" w:rsidRPr="000D06B3">
        <w:rPr>
          <w:rFonts w:eastAsia="+mn-ea" w:cs="Times New Roman"/>
          <w:bCs/>
          <w:noProof/>
          <w:color w:val="000000"/>
          <w:kern w:val="24"/>
          <w:szCs w:val="24"/>
          <w:vertAlign w:val="superscript"/>
        </w:rPr>
        <w:t>10</w:t>
      </w:r>
      <w:r w:rsidR="00413EDC">
        <w:rPr>
          <w:rFonts w:eastAsia="+mn-ea" w:cs="Times New Roman"/>
          <w:bCs/>
          <w:color w:val="000000"/>
          <w:kern w:val="24"/>
          <w:szCs w:val="24"/>
        </w:rPr>
        <w:fldChar w:fldCharType="end"/>
      </w:r>
    </w:p>
    <w:p w14:paraId="4A9317F7" w14:textId="71D174BC" w:rsidR="00365867" w:rsidRPr="004A00FD" w:rsidRDefault="00365867" w:rsidP="00D9581E">
      <w:pPr>
        <w:spacing w:after="160"/>
        <w:ind w:firstLine="720"/>
        <w:rPr>
          <w:rFonts w:eastAsia="+mn-ea" w:cs="Times New Roman"/>
          <w:bCs/>
          <w:color w:val="000000"/>
          <w:kern w:val="24"/>
          <w:szCs w:val="24"/>
        </w:rPr>
      </w:pPr>
      <w:r w:rsidRPr="00365867">
        <w:rPr>
          <w:rFonts w:eastAsia="+mn-ea" w:cs="Times New Roman"/>
          <w:bCs/>
          <w:color w:val="000000"/>
          <w:kern w:val="24"/>
          <w:szCs w:val="24"/>
        </w:rPr>
        <w:t xml:space="preserve">The </w:t>
      </w:r>
      <w:r w:rsidR="00413EDC">
        <w:rPr>
          <w:rFonts w:eastAsia="+mn-ea" w:cs="Times New Roman"/>
          <w:bCs/>
          <w:color w:val="000000"/>
          <w:kern w:val="24"/>
          <w:szCs w:val="24"/>
        </w:rPr>
        <w:t>Multi-Ethnic Study of Atherosclerosis (</w:t>
      </w:r>
      <w:r w:rsidRPr="00365867">
        <w:rPr>
          <w:rFonts w:eastAsia="+mn-ea" w:cs="Times New Roman"/>
          <w:bCs/>
          <w:color w:val="000000"/>
          <w:kern w:val="24"/>
          <w:szCs w:val="24"/>
        </w:rPr>
        <w:t>MESA</w:t>
      </w:r>
      <w:r w:rsidR="00413EDC">
        <w:rPr>
          <w:rFonts w:eastAsia="+mn-ea" w:cs="Times New Roman"/>
          <w:bCs/>
          <w:color w:val="000000"/>
          <w:kern w:val="24"/>
          <w:szCs w:val="24"/>
        </w:rPr>
        <w:t>)</w:t>
      </w:r>
      <w:r w:rsidRPr="00365867">
        <w:rPr>
          <w:rFonts w:eastAsia="+mn-ea" w:cs="Times New Roman"/>
          <w:bCs/>
          <w:color w:val="000000"/>
          <w:kern w:val="24"/>
          <w:szCs w:val="24"/>
        </w:rPr>
        <w:t xml:space="preserve"> is a prospective cohort study of 6,814 persons aged 45-84 years without known CVD at baseline from six US communities</w:t>
      </w:r>
      <w:r w:rsidR="00413EDC">
        <w:rPr>
          <w:rFonts w:eastAsia="+mn-ea" w:cs="Times New Roman"/>
          <w:bCs/>
          <w:color w:val="000000"/>
          <w:kern w:val="24"/>
          <w:szCs w:val="24"/>
        </w:rPr>
        <w:t>.</w:t>
      </w:r>
      <w:r w:rsidR="00413EDC">
        <w:rPr>
          <w:rFonts w:eastAsia="+mn-ea" w:cs="Times New Roman"/>
          <w:bCs/>
          <w:color w:val="000000"/>
          <w:kern w:val="24"/>
          <w:szCs w:val="24"/>
        </w:rPr>
        <w:fldChar w:fldCharType="begin" w:fldLock="1"/>
      </w:r>
      <w:r w:rsidR="000D06B3">
        <w:rPr>
          <w:rFonts w:eastAsia="+mn-ea" w:cs="Times New Roman"/>
          <w:bCs/>
          <w:color w:val="000000"/>
          <w:kern w:val="24"/>
          <w:szCs w:val="24"/>
        </w:rPr>
        <w:instrText>ADDIN CSL_CITATION {"citationItems":[{"id":"ITEM-1","itemData":{"DOI":"10.1093/aje/kwf113","ISBN":"0002-9262 (Print)\\r0002-9262 (Linking)","ISSN":"00029262","PMID":"12397006","abstract":"The Multi-Ethnic Study of Atherosclerosis was initiated in July 2000 to investigate the prevalence, correlates, and progression of subclinical cardiovascular disease (CVD) in a population-based sample of 6,500 men and women aged 45-84 years. The cohort will be selected from six US field centers. Approximately 38% of the cohort will be White, 28% African-American, 23% Hispanic, and 11% Asian (of Chinese descent). Baseline measurements will include measurement of coronary calcium using computed tomography; measurement of ventricular mass and function using cardiac magnetic resonance imaging; measurement of flow-mediated brachial artery endothelial vasodilation, carotid intimal-medial wall thickness, and distensibility of the carotid arteries using ultrasonography; measurement of peripheral vascular disease using ankle and brachial blood pressures; electrocardiography; and assessments of microalbuminuria, standard CVD risk factors, sociodemographic factors, life habits, and psychosocial factors. Blood samples will be assayed for putative biochemical risk factors and stored for use in nested case-control studies. DNA will be extracted and lymphocytes will be immortalized for genetic studies. Measurement of selected subclinical disease indicators and risk factors will be repeated for the study of progression over 7 years. Participants will be followed through 2008 for identification and characterization of CVD events, including acute myocardial infarction and other coronary heart disease, stroke, peripheral vascular disease, and congestive heart failure; therapeutic interventions for CVD; and mortality.","author":[{"dropping-particle":"","family":"Bild","given":"Diane E.","non-dropping-particle":"","parse-names":false,"suffix":""},{"dropping-particle":"","family":"Bluemke","given":"David A.","non-dropping-particle":"","parse-names":false,"suffix":""},{"dropping-particle":"","family":"Burke","given":"Gregory L.","non-dropping-particle":"","parse-names":false,"suffix":""},{"dropping-particle":"","family":"Detrano","given":"Robert","non-dropping-particle":"","parse-names":false,"suffix":""},{"dropping-particle":"V.","family":"Diez Roux","given":"Ana","non-dropping-particle":"","parse-names":false,"suffix":""},{"dropping-particle":"","family":"Folsom","given":"Aaron R.","non-dropping-particle":"","parse-names":false,"suffix":""},{"dropping-particle":"","family":"Greenland","given":"Philip","non-dropping-particle":"","parse-names":false,"suffix":""},{"dropping-particle":"","family":"Jacobs","given":"David R.","non-dropping-particle":"","parse-names":false,"suffix":""},{"dropping-particle":"","family":"Kronmal","given":"Richard","non-dropping-particle":"","parse-names":false,"suffix":""},{"dropping-particle":"","family":"Liu","given":"Kiang","non-dropping-particle":"","parse-names":false,"suffix":""},{"dropping-particle":"","family":"Nelson","given":"Jennifer Clark","non-dropping-particle":"","parse-names":false,"suffix":""},{"dropping-particle":"","family":"O'Leary","given":"Daniel","non-dropping-particle":"","parse-names":false,"suffix":""},{"dropping-particle":"","family":"Saad","given":"Mohammed F.","non-dropping-particle":"","parse-names":false,"suffix":""},{"dropping-particle":"","family":"Shea","given":"Steven","non-dropping-particle":"","parse-names":false,"suffix":""},{"dropping-particle":"","family":"Szklo","given":"Moyses","non-dropping-particle":"","parse-names":false,"suffix":""},{"dropping-particle":"","family":"Tracy","given":"Russell P.","non-dropping-particle":"","parse-names":false,"suffix":""}],"container-title":"American Journal of Epidemiology","id":"ITEM-1","issue":"9","issued":{"date-parts":[["2002"]]},"page":"871-881","title":"Multi-Ethnic Study of Atherosclerosis: Objectives and Design","type":"article-journal","volume":"156"},"uris":["http://www.mendeley.com/documents/?uuid=e532aef2-7c4c-437a-900a-87074f88577b"]}],"mendeley":{"formattedCitation":"&lt;sup&gt;11&lt;/sup&gt;","plainTextFormattedCitation":"11","previouslyFormattedCitation":"&lt;sup&gt;10&lt;/sup&gt;"},"properties":{"noteIndex":0},"schema":"https://github.com/citation-style-language/schema/raw/master/csl-citation.json"}</w:instrText>
      </w:r>
      <w:r w:rsidR="00413EDC">
        <w:rPr>
          <w:rFonts w:eastAsia="+mn-ea" w:cs="Times New Roman"/>
          <w:bCs/>
          <w:color w:val="000000"/>
          <w:kern w:val="24"/>
          <w:szCs w:val="24"/>
        </w:rPr>
        <w:fldChar w:fldCharType="separate"/>
      </w:r>
      <w:r w:rsidR="000D06B3" w:rsidRPr="000D06B3">
        <w:rPr>
          <w:rFonts w:eastAsia="+mn-ea" w:cs="Times New Roman"/>
          <w:bCs/>
          <w:noProof/>
          <w:color w:val="000000"/>
          <w:kern w:val="24"/>
          <w:szCs w:val="24"/>
          <w:vertAlign w:val="superscript"/>
        </w:rPr>
        <w:t>11</w:t>
      </w:r>
      <w:r w:rsidR="00413EDC">
        <w:rPr>
          <w:rFonts w:eastAsia="+mn-ea" w:cs="Times New Roman"/>
          <w:bCs/>
          <w:color w:val="000000"/>
          <w:kern w:val="24"/>
          <w:szCs w:val="24"/>
        </w:rPr>
        <w:fldChar w:fldCharType="end"/>
      </w:r>
      <w:r w:rsidRPr="00365867">
        <w:rPr>
          <w:rFonts w:eastAsia="+mn-ea" w:cs="Times New Roman"/>
          <w:bCs/>
          <w:color w:val="000000"/>
          <w:kern w:val="24"/>
          <w:szCs w:val="24"/>
        </w:rPr>
        <w:t xml:space="preserve"> Participants were recruited during 2000-2002. A total of </w:t>
      </w:r>
      <w:r w:rsidR="00413EDC">
        <w:rPr>
          <w:rFonts w:eastAsia="+mn-ea" w:cs="Times New Roman"/>
          <w:bCs/>
          <w:color w:val="000000"/>
          <w:kern w:val="24"/>
          <w:szCs w:val="24"/>
        </w:rPr>
        <w:t>1,347</w:t>
      </w:r>
      <w:r w:rsidRPr="00365867">
        <w:rPr>
          <w:rFonts w:eastAsia="+mn-ea" w:cs="Times New Roman"/>
          <w:bCs/>
          <w:color w:val="000000"/>
          <w:kern w:val="24"/>
          <w:szCs w:val="24"/>
        </w:rPr>
        <w:t xml:space="preserve"> </w:t>
      </w:r>
      <w:r w:rsidR="00413EDC" w:rsidRPr="00365867">
        <w:rPr>
          <w:rFonts w:eastAsia="+mn-ea" w:cs="Times New Roman"/>
          <w:bCs/>
          <w:color w:val="000000"/>
          <w:kern w:val="24"/>
          <w:szCs w:val="24"/>
        </w:rPr>
        <w:t xml:space="preserve">individuals </w:t>
      </w:r>
      <w:r w:rsidR="00413EDC">
        <w:rPr>
          <w:rFonts w:eastAsia="+mn-ea" w:cs="Times New Roman"/>
          <w:bCs/>
          <w:color w:val="000000"/>
          <w:kern w:val="24"/>
          <w:szCs w:val="24"/>
        </w:rPr>
        <w:t xml:space="preserve">with CKD, </w:t>
      </w:r>
      <w:r w:rsidR="00413EDC" w:rsidRPr="00413EDC">
        <w:rPr>
          <w:rFonts w:eastAsia="+mn-ea" w:cs="Times New Roman"/>
          <w:bCs/>
          <w:color w:val="000000"/>
          <w:kern w:val="24"/>
          <w:szCs w:val="24"/>
        </w:rPr>
        <w:t>based on an eGFR &lt;60 mL/min/1.73 m</w:t>
      </w:r>
      <w:r w:rsidR="00413EDC" w:rsidRPr="00413EDC">
        <w:rPr>
          <w:rFonts w:eastAsia="+mn-ea" w:cs="Times New Roman"/>
          <w:bCs/>
          <w:color w:val="000000"/>
          <w:kern w:val="24"/>
          <w:szCs w:val="24"/>
          <w:vertAlign w:val="superscript"/>
        </w:rPr>
        <w:t>2</w:t>
      </w:r>
      <w:r w:rsidR="00413EDC" w:rsidRPr="00413EDC">
        <w:rPr>
          <w:rFonts w:eastAsia="+mn-ea" w:cs="Times New Roman"/>
          <w:bCs/>
          <w:color w:val="000000"/>
          <w:kern w:val="24"/>
          <w:szCs w:val="24"/>
        </w:rPr>
        <w:t xml:space="preserve"> or urinary ACR ≥30 mg/g</w:t>
      </w:r>
      <w:r w:rsidR="00413EDC">
        <w:rPr>
          <w:rFonts w:eastAsia="+mn-ea" w:cs="Times New Roman"/>
          <w:bCs/>
          <w:color w:val="000000"/>
          <w:kern w:val="24"/>
          <w:szCs w:val="24"/>
        </w:rPr>
        <w:t xml:space="preserve">, </w:t>
      </w:r>
      <w:r w:rsidR="00413EDC" w:rsidRPr="00365867">
        <w:rPr>
          <w:rFonts w:eastAsia="+mn-ea" w:cs="Times New Roman"/>
          <w:bCs/>
          <w:color w:val="000000"/>
          <w:kern w:val="24"/>
          <w:szCs w:val="24"/>
        </w:rPr>
        <w:t xml:space="preserve">were included in the </w:t>
      </w:r>
      <w:r w:rsidR="00413EDC">
        <w:rPr>
          <w:rFonts w:eastAsia="+mn-ea" w:cs="Times New Roman"/>
          <w:bCs/>
          <w:color w:val="000000"/>
          <w:kern w:val="24"/>
          <w:szCs w:val="24"/>
        </w:rPr>
        <w:t>external validation analyses</w:t>
      </w:r>
      <w:r w:rsidR="00413EDC" w:rsidRPr="00365867">
        <w:rPr>
          <w:rFonts w:eastAsia="+mn-ea" w:cs="Times New Roman"/>
          <w:bCs/>
          <w:color w:val="000000"/>
          <w:kern w:val="24"/>
          <w:szCs w:val="24"/>
        </w:rPr>
        <w:t>.</w:t>
      </w:r>
      <w:r w:rsidR="00413EDC">
        <w:rPr>
          <w:rFonts w:eastAsia="+mn-ea" w:cs="Times New Roman"/>
          <w:bCs/>
          <w:color w:val="000000"/>
          <w:kern w:val="24"/>
          <w:szCs w:val="24"/>
        </w:rPr>
        <w:t xml:space="preserve"> </w:t>
      </w:r>
      <w:r w:rsidRPr="00365867">
        <w:rPr>
          <w:rFonts w:eastAsia="+mn-ea" w:cs="Times New Roman"/>
          <w:bCs/>
          <w:color w:val="000000"/>
          <w:kern w:val="24"/>
          <w:szCs w:val="24"/>
        </w:rPr>
        <w:t>Incident CVD events and deaths were independently classified by two physicians who were members of the MESA mortality and morbidity review committee</w:t>
      </w:r>
      <w:r w:rsidR="00413EDC">
        <w:rPr>
          <w:rFonts w:eastAsia="+mn-ea" w:cs="Times New Roman"/>
          <w:bCs/>
          <w:color w:val="000000"/>
          <w:kern w:val="24"/>
          <w:szCs w:val="24"/>
        </w:rPr>
        <w:t>.</w:t>
      </w:r>
      <w:r w:rsidR="00413EDC">
        <w:rPr>
          <w:rFonts w:eastAsia="+mn-ea" w:cs="Times New Roman"/>
          <w:bCs/>
          <w:color w:val="000000"/>
          <w:kern w:val="24"/>
          <w:szCs w:val="24"/>
        </w:rPr>
        <w:fldChar w:fldCharType="begin" w:fldLock="1"/>
      </w:r>
      <w:r w:rsidR="000D06B3">
        <w:rPr>
          <w:rFonts w:eastAsia="+mn-ea" w:cs="Times New Roman"/>
          <w:bCs/>
          <w:color w:val="000000"/>
          <w:kern w:val="24"/>
          <w:szCs w:val="24"/>
        </w:rPr>
        <w:instrText>ADDIN CSL_CITATION {"citationItems":[{"id":"ITEM-1","itemData":{"DOI":"10.1056/NEJMoa072100","ISBN":"1533-4406 (Electronic)\\r0028-4793 (Linking)","ISSN":"1533-4406","PMID":"18367736","abstract":"BACKGROUND: In white populations, computed tomographic measurements of coronary-artery calcium predict coronary heart disease independently of traditional coronary risk factors. However, it is not known whether coronary-artery calcium predicts coronary heart disease in other racial or ethnic groups. METHODS: We collected data on risk factors and performed scanning for coronary calcium in a population-based sample of 6722 men and women, of whom 38.6% were white, 27.6% were black, 21.9% were Hispanic, and 11.9% were Chinese. The study subjects had no clinical cardiovascular disease at entry and were followed for a median of 3.8 years. RESULTS: There were 162 coronary events, of which 89 were major events (myocardial infarction or death from coronary heart disease). In comparison with participants with no coronary calcium, the adjusted risk of a coronary event was increased by a factor of 7.73 among participants with coronary calcium scores between 101 and 300 and by a factor of 9.67 among participants with scores above 300 (P&lt;0.001 for both comparisons). Among the four racial and ethnic groups, a doubling of the calcium score increased the risk of a major coronary event by 15 to 35% and the risk of any coronary event by 18 to 39%. The areas under the receiver-operating-characteristic curves for the prediction of both major coronary events and any coronary event were higher when the calcium score was added to the standard risk factors. CONCLUSIONS: The coronary calcium score is a strong predictor of incident coronary heart disease and provides predictive information beyond that provided by standard risk factors in four major racial and ethnic groups in the United States. No major differences among racial and ethnic groups in the predictive value of calcium scores were detected.","author":[{"dropping-particle":"","family":"Detrano","given":"R","non-dropping-particle":"","parse-names":false,"suffix":""},{"dropping-particle":"","family":"Guerci","given":"A D","non-dropping-particle":"","parse-names":false,"suffix":""},{"dropping-particle":"","family":"Carr","given":"J J","non-dropping-particle":"","parse-names":false,"suffix":""},{"dropping-particle":"","family":"Bild","given":"D E","non-dropping-particle":"","parse-names":false,"suffix":""},{"dropping-particle":"","family":"Burke","given":"G","non-dropping-particle":"","parse-names":false,"suffix":""},{"dropping-particle":"","family":"Folsom","given":"A R","non-dropping-particle":"","parse-names":false,"suffix":""},{"dropping-particle":"","family":"Liu","given":"K","non-dropping-particle":"","parse-names":false,"suffix":""},{"dropping-particle":"","family":"Shea","given":"S","non-dropping-particle":"","parse-names":false,"suffix":""},{"dropping-particle":"","family":"Szklo","given":"M","non-dropping-particle":"","parse-names":false,"suffix":""},{"dropping-particle":"","family":"Bluemke","given":"D A","non-dropping-particle":"","parse-names":false,"suffix":""},{"dropping-particle":"","family":"O'Leary","given":"D H","non-dropping-particle":"","parse-names":false,"suffix":""},{"dropping-particle":"","family":"Tracy","given":"R","non-dropping-particle":"","parse-names":false,"suffix":""},{"dropping-particle":"","family":"Watson","given":"K","non-dropping-particle":"","parse-names":false,"suffix":""},{"dropping-particle":"","family":"Wong","given":"N D","non-dropping-particle":"","parse-names":false,"suffix":""},{"dropping-particle":"","family":"Kronmal","given":"R A","non-dropping-particle":"","parse-names":false,"suffix":""}],"container-title":"N Engl J Med","id":"ITEM-1","issue":"13","issued":{"date-parts":[["2008"]]},"page":"1338-1345","title":"Coronary calcium as a predictor of coronary events in four racial or ethnic groups","type":"article-journal","volume":"358"},"uris":["http://www.mendeley.com/documents/?uuid=bcd0aceb-6eee-4c41-83cf-9ed05849cfdc"]}],"mendeley":{"formattedCitation":"&lt;sup&gt;12&lt;/sup&gt;","plainTextFormattedCitation":"12","previouslyFormattedCitation":"&lt;sup&gt;11&lt;/sup&gt;"},"properties":{"noteIndex":0},"schema":"https://github.com/citation-style-language/schema/raw/master/csl-citation.json"}</w:instrText>
      </w:r>
      <w:r w:rsidR="00413EDC">
        <w:rPr>
          <w:rFonts w:eastAsia="+mn-ea" w:cs="Times New Roman"/>
          <w:bCs/>
          <w:color w:val="000000"/>
          <w:kern w:val="24"/>
          <w:szCs w:val="24"/>
        </w:rPr>
        <w:fldChar w:fldCharType="separate"/>
      </w:r>
      <w:r w:rsidR="000D06B3" w:rsidRPr="000D06B3">
        <w:rPr>
          <w:rFonts w:eastAsia="+mn-ea" w:cs="Times New Roman"/>
          <w:bCs/>
          <w:noProof/>
          <w:color w:val="000000"/>
          <w:kern w:val="24"/>
          <w:szCs w:val="24"/>
          <w:vertAlign w:val="superscript"/>
        </w:rPr>
        <w:t>12</w:t>
      </w:r>
      <w:r w:rsidR="00413EDC">
        <w:rPr>
          <w:rFonts w:eastAsia="+mn-ea" w:cs="Times New Roman"/>
          <w:bCs/>
          <w:color w:val="000000"/>
          <w:kern w:val="24"/>
          <w:szCs w:val="24"/>
        </w:rPr>
        <w:fldChar w:fldCharType="end"/>
      </w:r>
    </w:p>
    <w:p w14:paraId="0B55391B" w14:textId="77777777" w:rsidR="00D9581E" w:rsidRDefault="00D9581E" w:rsidP="00CE31A0">
      <w:pPr>
        <w:spacing w:after="160"/>
        <w:rPr>
          <w:rFonts w:eastAsia="+mn-ea" w:cs="Times New Roman"/>
          <w:bCs/>
          <w:i/>
          <w:iCs/>
          <w:color w:val="000000"/>
          <w:kern w:val="24"/>
          <w:szCs w:val="24"/>
        </w:rPr>
      </w:pPr>
    </w:p>
    <w:p w14:paraId="4E77A200" w14:textId="574CDA54" w:rsidR="00AE0874" w:rsidRDefault="00AE0874" w:rsidP="00CE31A0">
      <w:pPr>
        <w:spacing w:after="160"/>
        <w:rPr>
          <w:rFonts w:eastAsia="+mn-ea" w:cs="Times New Roman"/>
          <w:b/>
          <w:color w:val="000000"/>
          <w:kern w:val="24"/>
          <w:szCs w:val="24"/>
        </w:rPr>
      </w:pPr>
      <w:r w:rsidRPr="00D9581E">
        <w:rPr>
          <w:rFonts w:eastAsia="+mn-ea" w:cs="Times New Roman"/>
          <w:b/>
          <w:color w:val="000000"/>
          <w:kern w:val="24"/>
          <w:szCs w:val="24"/>
        </w:rPr>
        <w:t>Performance Metrics</w:t>
      </w:r>
    </w:p>
    <w:p w14:paraId="3A60A0EF" w14:textId="77777777" w:rsidR="004D45D7" w:rsidRPr="00D9581E" w:rsidRDefault="004D45D7" w:rsidP="00CE31A0">
      <w:pPr>
        <w:spacing w:after="160"/>
        <w:rPr>
          <w:rFonts w:eastAsia="+mn-ea" w:cs="Times New Roman"/>
          <w:b/>
          <w:color w:val="000000"/>
          <w:kern w:val="24"/>
          <w:szCs w:val="24"/>
        </w:rPr>
      </w:pPr>
    </w:p>
    <w:p w14:paraId="5E8EC67F" w14:textId="67C1627D" w:rsidR="00AE0874" w:rsidRPr="004A00FD" w:rsidRDefault="00AE0874" w:rsidP="00D9581E">
      <w:pPr>
        <w:spacing w:after="160"/>
        <w:ind w:firstLine="720"/>
        <w:rPr>
          <w:rFonts w:eastAsia="+mn-ea" w:cs="Times New Roman"/>
          <w:bCs/>
          <w:color w:val="000000"/>
          <w:kern w:val="24"/>
          <w:szCs w:val="24"/>
        </w:rPr>
      </w:pPr>
      <w:r w:rsidRPr="004A00FD">
        <w:rPr>
          <w:rFonts w:eastAsia="+mn-ea" w:cs="Times New Roman"/>
          <w:bCs/>
          <w:color w:val="000000"/>
          <w:kern w:val="24"/>
          <w:szCs w:val="24"/>
        </w:rPr>
        <w:t>We evaluated the performance of developed models using measures of discrimination, calibration, and overall goodness of fit</w:t>
      </w:r>
      <w:r w:rsidR="005B22E8">
        <w:rPr>
          <w:rFonts w:eastAsia="+mn-ea" w:cs="Times New Roman"/>
          <w:bCs/>
          <w:color w:val="000000"/>
          <w:kern w:val="24"/>
          <w:szCs w:val="24"/>
        </w:rPr>
        <w:t>.</w:t>
      </w:r>
      <w:r w:rsidRPr="004A00FD">
        <w:rPr>
          <w:rFonts w:eastAsia="+mn-ea" w:cs="Times New Roman"/>
          <w:bCs/>
          <w:color w:val="000000"/>
          <w:kern w:val="24"/>
          <w:szCs w:val="24"/>
        </w:rPr>
        <w:fldChar w:fldCharType="begin" w:fldLock="1"/>
      </w:r>
      <w:r w:rsidR="000D06B3">
        <w:rPr>
          <w:rFonts w:eastAsia="+mn-ea" w:cs="Times New Roman"/>
          <w:bCs/>
          <w:color w:val="000000"/>
          <w:kern w:val="24"/>
          <w:szCs w:val="24"/>
        </w:rPr>
        <w:instrText>ADDIN CSL_CITATION {"citationItems":[{"id":"ITEM-1","itemData":{"DOI":"10.1097/EDE.0b013e3181c30fb2","ISBN":"1531-5487; 1531-5487","ISSN":"1044-3983","PMID":"20010215","abstract":"The performance of prediction models can be assessed using a variety of methods and metrics. Traditional measures for binary and survival outcomes include the Brier score to indicate overall model performance, the concordance (or c) statistic for discriminative ability (or area under the receiver operating charac- teristic ?ROC? curve), and goodness-of-fit statistics for calibration. Several new measures have recently been proposed that can be seen as refinements of discrimination measures, including variants of the c statistic for survival, reclassification tables, net reclassifi- cation improvement (NRI), and integrated discrimination improve- ment (IDI). Moreover, decision–analytic measures have been pro- posed, including decision curves to plot the net benefit achieved by making decisions based on model predictions. We aimed to define the role of these relatively novel approaches in the evaluation of the performance of prediction models. For illustration, we present a case study of predicting the presence of residual tumor versus benign tissue in patients with testicular cancer (n ? 544 for model development, n ? 273 for external validation). Wesuggest that reporting discrimination and calibration will always be important for a prediction model. Decision-analytic measures should be reported if the predictive model is to be used for clinical decisions. Other measures of performance may be warranted in specific applica- tions, such as reclassification metrics to gain insight into the value of adding a novel predictor to an established model.","author":[{"dropping-particle":"","family":"Steyerberg","given":"Ewout W.","non-dropping-particle":"","parse-names":false,"suffix":""},{"dropping-particle":"","family":"Vickers","given":"Andrew J.","non-dropping-particle":"","parse-names":false,"suffix":""},{"dropping-particle":"","family":"Cook","given":"Nancy R.","non-dropping-particle":"","parse-names":false,"suffix":""},{"dropping-particle":"","family":"Gerds","given":"Thomas","non-dropping-particle":"","parse-names":false,"suffix":""},{"dropping-particle":"","family":"Gonen","given":"Mithat","non-dropping-particle":"","parse-names":false,"suffix":""},{"dropping-particle":"","family":"Obuchowski","given":"Nancy","non-dropping-particle":"","parse-names":false,"suffix":""},{"dropping-particle":"","family":"Pencina","given":"Michael J.","non-dropping-particle":"","parse-names":false,"suffix":""},{"dropping-particle":"","family":"Kattan","given":"Michael W.","non-dropping-particle":"","parse-names":false,"suffix":""}],"container-title":"Epidemiology","id":"ITEM-1","issue":"1","issued":{"date-parts":[["2010"]]},"page":"128-138","title":"Assessing the Performance of Prediction Models","type":"article-journal","volume":"21"},"uris":["http://www.mendeley.com/documents/?uuid=44eb1467-dc86-478f-9771-76c8f08b6565"]}],"mendeley":{"formattedCitation":"&lt;sup&gt;13&lt;/sup&gt;","plainTextFormattedCitation":"13","previouslyFormattedCitation":"&lt;sup&gt;12&lt;/sup&gt;"},"properties":{"noteIndex":0},"schema":"https://github.com/citation-style-language/schema/raw/master/csl-citation.json"}</w:instrText>
      </w:r>
      <w:r w:rsidRPr="004A00FD">
        <w:rPr>
          <w:rFonts w:eastAsia="+mn-ea" w:cs="Times New Roman"/>
          <w:bCs/>
          <w:color w:val="000000"/>
          <w:kern w:val="24"/>
          <w:szCs w:val="24"/>
        </w:rPr>
        <w:fldChar w:fldCharType="separate"/>
      </w:r>
      <w:r w:rsidR="000D06B3" w:rsidRPr="000D06B3">
        <w:rPr>
          <w:rFonts w:eastAsia="+mn-ea" w:cs="Times New Roman"/>
          <w:bCs/>
          <w:noProof/>
          <w:color w:val="000000"/>
          <w:kern w:val="24"/>
          <w:szCs w:val="24"/>
          <w:vertAlign w:val="superscript"/>
        </w:rPr>
        <w:t>13</w:t>
      </w:r>
      <w:r w:rsidRPr="004A00FD">
        <w:rPr>
          <w:rFonts w:eastAsia="+mn-ea" w:cs="Times New Roman"/>
          <w:bCs/>
          <w:color w:val="000000"/>
          <w:kern w:val="24"/>
          <w:szCs w:val="24"/>
        </w:rPr>
        <w:fldChar w:fldCharType="end"/>
      </w:r>
      <w:r w:rsidRPr="004A00FD">
        <w:rPr>
          <w:rFonts w:eastAsia="+mn-ea" w:cs="Times New Roman"/>
          <w:bCs/>
          <w:color w:val="000000"/>
          <w:kern w:val="24"/>
          <w:szCs w:val="24"/>
        </w:rPr>
        <w:t xml:space="preserve"> Discrimination refers to the ability of a model to correctly identify those who will or will not experience an ASCVD event in a specific time interval (i.e., 10 years) and was assessed using the time-dependent area under the receive operating characteristic curve (AUC)</w:t>
      </w:r>
      <w:r w:rsidR="005B22E8">
        <w:rPr>
          <w:rFonts w:eastAsia="+mn-ea" w:cs="Times New Roman"/>
          <w:bCs/>
          <w:color w:val="000000"/>
          <w:kern w:val="24"/>
          <w:szCs w:val="24"/>
        </w:rPr>
        <w:t>.</w:t>
      </w:r>
      <w:r w:rsidRPr="004A00FD">
        <w:rPr>
          <w:rFonts w:eastAsia="+mn-ea" w:cs="Times New Roman"/>
          <w:bCs/>
          <w:color w:val="000000"/>
          <w:kern w:val="24"/>
          <w:szCs w:val="24"/>
        </w:rPr>
        <w:fldChar w:fldCharType="begin" w:fldLock="1"/>
      </w:r>
      <w:r w:rsidR="000D06B3">
        <w:rPr>
          <w:rFonts w:eastAsia="+mn-ea" w:cs="Times New Roman"/>
          <w:bCs/>
          <w:color w:val="000000"/>
          <w:kern w:val="24"/>
          <w:szCs w:val="24"/>
        </w:rPr>
        <w:instrText>ADDIN CSL_CITATION {"citationItems":[{"id":"ITEM-1","itemData":{"DOI":"10.1111/biom.12232","ISSN":"1541-0420 (Electronic)","PMID":"25311240","abstract":"Thanks to the growing interest in personalized medicine, joint modeling of  longitudinal marker and time-to-event data has recently started to be used to derive dynamic individual risk predictions. Individual predictions are called dynamic because they are updated when information on the subject's health profile grows with time. We focus in this work on statistical methods for quantifying and comparing dynamic predictive accuracy of this kind of prognostic models, accounting for right censoring and possibly competing events. Dynamic area under the ROC curve (AUC) and Brier Score (BS) are used to quantify predictive accuracy. Nonparametric inverse probability of censoring weighting is used to estimate dynamic curves of AUC and BS as functions of the time at which predictions are made. Asymptotic results are established and both pointwise confidence intervals and simultaneous confidence bands are derived. Tests are also proposed to compare the dynamic prediction accuracy curves of two prognostic models. The finite sample behavior of the inference procedures is assessed via simulations. We apply the proposed methodology to compare various prediction models using repeated measures of two psychometric tests to predict dementia in the elderly, accounting for the competing risk of death. Models are estimated on the French Paquid cohort and predictive accuracies are evaluated and compared on the French Three-City cohort.","author":[{"dropping-particle":"","family":"Blanche","given":"Paul","non-dropping-particle":"","parse-names":false,"suffix":""},{"dropping-particle":"","family":"Proust-Lima","given":"Cécile","non-dropping-particle":"","parse-names":false,"suffix":""},{"dropping-particle":"","family":"Loubère","given":"Lucie","non-dropping-particle":"","parse-names":false,"suffix":""},{"dropping-particle":"","family":"Berr","given":"Claudine","non-dropping-particle":"","parse-names":false,"suffix":""},{"dropping-particle":"","family":"Dartigues","given":"Jean-François","non-dropping-particle":"","parse-names":false,"suffix":""},{"dropping-particle":"","family":"Jacqmin-Gadda","given":"Hélène","non-dropping-particle":"","parse-names":false,"suffix":""}],"container-title":"Biometrics","id":"ITEM-1","issue":"1","issued":{"date-parts":[["2015","3"]]},"language":"eng","page":"102-113","publisher-place":"United States","title":"Quantifying and comparing dynamic predictive accuracy of joint models for  longitudinal marker and time-to-event in presence of censoring and competing risks.","type":"article-journal","volume":"71"},"uris":["http://www.mendeley.com/documents/?uuid=4d8df350-c02e-4f21-b2a5-d63a1b54e14f"]}],"mendeley":{"formattedCitation":"&lt;sup&gt;14&lt;/sup&gt;","plainTextFormattedCitation":"14","previouslyFormattedCitation":"&lt;sup&gt;13&lt;/sup&gt;"},"properties":{"noteIndex":0},"schema":"https://github.com/citation-style-language/schema/raw/master/csl-citation.json"}</w:instrText>
      </w:r>
      <w:r w:rsidRPr="004A00FD">
        <w:rPr>
          <w:rFonts w:eastAsia="+mn-ea" w:cs="Times New Roman"/>
          <w:bCs/>
          <w:color w:val="000000"/>
          <w:kern w:val="24"/>
          <w:szCs w:val="24"/>
        </w:rPr>
        <w:fldChar w:fldCharType="separate"/>
      </w:r>
      <w:r w:rsidR="000D06B3" w:rsidRPr="000D06B3">
        <w:rPr>
          <w:rFonts w:eastAsia="+mn-ea" w:cs="Times New Roman"/>
          <w:bCs/>
          <w:noProof/>
          <w:color w:val="000000"/>
          <w:kern w:val="24"/>
          <w:szCs w:val="24"/>
          <w:vertAlign w:val="superscript"/>
        </w:rPr>
        <w:t>14</w:t>
      </w:r>
      <w:r w:rsidRPr="004A00FD">
        <w:rPr>
          <w:rFonts w:eastAsia="+mn-ea" w:cs="Times New Roman"/>
          <w:bCs/>
          <w:color w:val="000000"/>
          <w:kern w:val="24"/>
          <w:szCs w:val="24"/>
        </w:rPr>
        <w:fldChar w:fldCharType="end"/>
      </w:r>
      <w:r w:rsidRPr="004A00FD">
        <w:rPr>
          <w:rFonts w:eastAsia="+mn-ea" w:cs="Times New Roman"/>
          <w:bCs/>
          <w:color w:val="000000"/>
          <w:kern w:val="24"/>
          <w:szCs w:val="24"/>
        </w:rPr>
        <w:t xml:space="preserve"> Calibration refers to the agreement between observed outcomes and predictions provided by a given model and was assessed by plotting the observed vs. predicted risk across deciles of predicted risk. Observed risk was estimated using the cumulative incidence function accounting for the competing risk of death. The scaled Brier score, or index of prediction </w:t>
      </w:r>
      <w:r w:rsidRPr="004A00FD">
        <w:rPr>
          <w:rFonts w:eastAsia="+mn-ea" w:cs="Times New Roman"/>
          <w:bCs/>
          <w:color w:val="000000"/>
          <w:kern w:val="24"/>
          <w:szCs w:val="24"/>
        </w:rPr>
        <w:lastRenderedPageBreak/>
        <w:t>accuracy [IPA], incorporates information on both discrimination and calibration and is analogous to the proportion of explained variance in linear regression. An IPA of 0 indicates model accuracy is equivalent to that of a Kaplan-</w:t>
      </w:r>
      <w:r w:rsidR="009D0E7A">
        <w:rPr>
          <w:rFonts w:eastAsia="+mn-ea" w:cs="Times New Roman"/>
          <w:bCs/>
          <w:color w:val="000000"/>
          <w:kern w:val="24"/>
          <w:szCs w:val="24"/>
        </w:rPr>
        <w:t>M</w:t>
      </w:r>
      <w:r w:rsidRPr="004A00FD">
        <w:rPr>
          <w:rFonts w:eastAsia="+mn-ea" w:cs="Times New Roman"/>
          <w:bCs/>
          <w:color w:val="000000"/>
          <w:kern w:val="24"/>
          <w:szCs w:val="24"/>
        </w:rPr>
        <w:t>eier curve, whereas an IPA of 1 indicates perfect risk prediction</w:t>
      </w:r>
      <w:r w:rsidR="005B22E8">
        <w:rPr>
          <w:rFonts w:eastAsia="+mn-ea" w:cs="Times New Roman"/>
          <w:bCs/>
          <w:color w:val="000000"/>
          <w:kern w:val="24"/>
          <w:szCs w:val="24"/>
        </w:rPr>
        <w:t>.</w:t>
      </w:r>
      <w:r w:rsidRPr="004A00FD">
        <w:rPr>
          <w:rFonts w:eastAsia="+mn-ea" w:cs="Times New Roman"/>
          <w:bCs/>
          <w:color w:val="000000"/>
          <w:kern w:val="24"/>
          <w:szCs w:val="24"/>
        </w:rPr>
        <w:fldChar w:fldCharType="begin" w:fldLock="1"/>
      </w:r>
      <w:r w:rsidR="000D06B3">
        <w:rPr>
          <w:rFonts w:eastAsia="+mn-ea" w:cs="Times New Roman"/>
          <w:bCs/>
          <w:color w:val="000000"/>
          <w:kern w:val="24"/>
          <w:szCs w:val="24"/>
        </w:rPr>
        <w:instrText>ADDIN CSL_CITATION {"citationItems":[{"id":"ITEM-1","itemData":{"DOI":"10.1186/s41512-018-0029-2","ISSN":"2397-7523 (Electronic)","PMID":"31093557","abstract":"BACKGROUND: Many measures of prediction accuracy have been developed. However, the most popular ones in typical medical outcome prediction settings require additional investigation of calibration. METHODS: We show how rescaling the Brier score produces a measure that combines discrimination and calibration in one value and improves interpretability by adjusting for a benchmark model. We have called this measure the index of prediction accuracy (IPA). The IPA permits a common interpretation across binary, time to event, and competing risk outcomes. We illustrate this measure using example datasets. RESULTS: The IPA is simple to compute, and example code is provided. The values of the IPA appear very interpretable. CONCLUSIONS: IPA should be a prominent measure reported in studies of medical prediction model performance. However, IPA is only a measure of average performance and, by default, does not measure the utility of a medical decision.","author":[{"dropping-particle":"","family":"Kattan","given":"Michael W","non-dropping-particle":"","parse-names":false,"suffix":""},{"dropping-particle":"","family":"Gerds","given":"Thomas A","non-dropping-particle":"","parse-names":false,"suffix":""}],"container-title":"Diagnostic and prognostic research","id":"ITEM-1","issued":{"date-parts":[["2018"]]},"language":"eng","page":"7","title":"The index of prediction accuracy: an intuitive measure useful for evaluating risk prediction models.","type":"article-journal","volume":"2"},"uris":["http://www.mendeley.com/documents/?uuid=0ced4a93-24d3-495d-af7e-3efaf4854b3e"]}],"mendeley":{"formattedCitation":"&lt;sup&gt;15&lt;/sup&gt;","plainTextFormattedCitation":"15","previouslyFormattedCitation":"&lt;sup&gt;14&lt;/sup&gt;"},"properties":{"noteIndex":0},"schema":"https://github.com/citation-style-language/schema/raw/master/csl-citation.json"}</w:instrText>
      </w:r>
      <w:r w:rsidRPr="004A00FD">
        <w:rPr>
          <w:rFonts w:eastAsia="+mn-ea" w:cs="Times New Roman"/>
          <w:bCs/>
          <w:color w:val="000000"/>
          <w:kern w:val="24"/>
          <w:szCs w:val="24"/>
        </w:rPr>
        <w:fldChar w:fldCharType="separate"/>
      </w:r>
      <w:r w:rsidR="000D06B3" w:rsidRPr="000D06B3">
        <w:rPr>
          <w:rFonts w:eastAsia="+mn-ea" w:cs="Times New Roman"/>
          <w:bCs/>
          <w:noProof/>
          <w:color w:val="000000"/>
          <w:kern w:val="24"/>
          <w:szCs w:val="24"/>
          <w:vertAlign w:val="superscript"/>
        </w:rPr>
        <w:t>15</w:t>
      </w:r>
      <w:r w:rsidRPr="004A00FD">
        <w:rPr>
          <w:rFonts w:eastAsia="+mn-ea" w:cs="Times New Roman"/>
          <w:bCs/>
          <w:color w:val="000000"/>
          <w:kern w:val="24"/>
          <w:szCs w:val="24"/>
        </w:rPr>
        <w:fldChar w:fldCharType="end"/>
      </w:r>
      <w:r w:rsidRPr="004A00FD">
        <w:rPr>
          <w:rFonts w:eastAsia="+mn-ea" w:cs="Times New Roman"/>
          <w:bCs/>
          <w:color w:val="000000"/>
          <w:kern w:val="24"/>
          <w:szCs w:val="24"/>
        </w:rPr>
        <w:t xml:space="preserve"> We used the net reclassification improvement (NRI) statistic to evaluate the clinical utility of the developed models</w:t>
      </w:r>
      <w:r w:rsidR="005B22E8">
        <w:rPr>
          <w:rFonts w:eastAsia="+mn-ea" w:cs="Times New Roman"/>
          <w:bCs/>
          <w:color w:val="000000"/>
          <w:kern w:val="24"/>
          <w:szCs w:val="24"/>
        </w:rPr>
        <w:t>,</w:t>
      </w:r>
      <w:r w:rsidRPr="004A00FD">
        <w:rPr>
          <w:rFonts w:eastAsia="+mn-ea" w:cs="Times New Roman"/>
          <w:bCs/>
          <w:color w:val="000000"/>
          <w:kern w:val="24"/>
          <w:szCs w:val="24"/>
        </w:rPr>
        <w:fldChar w:fldCharType="begin" w:fldLock="1"/>
      </w:r>
      <w:r w:rsidR="000D06B3">
        <w:rPr>
          <w:rFonts w:eastAsia="+mn-ea" w:cs="Times New Roman"/>
          <w:bCs/>
          <w:color w:val="000000"/>
          <w:kern w:val="24"/>
          <w:szCs w:val="24"/>
        </w:rPr>
        <w:instrText>ADDIN CSL_CITATION {"citationItems":[{"id":"ITEM-1","itemData":{"author":[{"dropping-particle":"","family":"Pencina","given":"MJ","non-dropping-particle":"","parse-names":false,"suffix":""},{"dropping-particle":"","family":"D'Agostino Sr","given":"RB","non-dropping-particle":"","parse-names":false,"suffix":""},{"dropping-particle":"","family":"D'Agostino Jr","given":"RB","non-dropping-particle":"","parse-names":false,"suffix":""},{"dropping-particle":"","family":"Vasan","given":"RS","non-dropping-particle":"","parse-names":false,"suffix":""}],"container-title":"Statistics in medicine","id":"ITEM-1","issued":{"date-parts":[["2008"]]},"page":"157-172","title":"Evaluating the added predictive ability of a newmarker: From area under the ROC curve to reclassification and beyond","type":"article-journal","volume":"27"},"uris":["http://www.mendeley.com/documents/?uuid=787f755c-1c19-4f14-b567-9bdc531d922b"]}],"mendeley":{"formattedCitation":"&lt;sup&gt;16&lt;/sup&gt;","plainTextFormattedCitation":"16","previouslyFormattedCitation":"&lt;sup&gt;15&lt;/sup&gt;"},"properties":{"noteIndex":0},"schema":"https://github.com/citation-style-language/schema/raw/master/csl-citation.json"}</w:instrText>
      </w:r>
      <w:r w:rsidRPr="004A00FD">
        <w:rPr>
          <w:rFonts w:eastAsia="+mn-ea" w:cs="Times New Roman"/>
          <w:bCs/>
          <w:color w:val="000000"/>
          <w:kern w:val="24"/>
          <w:szCs w:val="24"/>
        </w:rPr>
        <w:fldChar w:fldCharType="separate"/>
      </w:r>
      <w:r w:rsidR="000D06B3" w:rsidRPr="000D06B3">
        <w:rPr>
          <w:rFonts w:eastAsia="+mn-ea" w:cs="Times New Roman"/>
          <w:bCs/>
          <w:noProof/>
          <w:color w:val="000000"/>
          <w:kern w:val="24"/>
          <w:szCs w:val="24"/>
          <w:vertAlign w:val="superscript"/>
        </w:rPr>
        <w:t>16</w:t>
      </w:r>
      <w:r w:rsidRPr="004A00FD">
        <w:rPr>
          <w:rFonts w:eastAsia="+mn-ea" w:cs="Times New Roman"/>
          <w:bCs/>
          <w:color w:val="000000"/>
          <w:kern w:val="24"/>
          <w:szCs w:val="24"/>
        </w:rPr>
        <w:fldChar w:fldCharType="end"/>
      </w:r>
      <w:r w:rsidRPr="004A00FD">
        <w:rPr>
          <w:rFonts w:eastAsia="+mn-ea" w:cs="Times New Roman"/>
          <w:bCs/>
          <w:color w:val="000000"/>
          <w:kern w:val="24"/>
          <w:szCs w:val="24"/>
        </w:rPr>
        <w:t xml:space="preserve"> using predicted risk thresholds used in current clinical practice guidelines (i.e., 7.5% and 20% per the ACC/AHA Primary Prevention Guideline)</w:t>
      </w:r>
      <w:r w:rsidR="005B22E8">
        <w:rPr>
          <w:rFonts w:eastAsia="+mn-ea" w:cs="Times New Roman"/>
          <w:bCs/>
          <w:color w:val="000000"/>
          <w:kern w:val="24"/>
          <w:szCs w:val="24"/>
        </w:rPr>
        <w:t>.</w:t>
      </w:r>
      <w:r w:rsidRPr="004A00FD">
        <w:rPr>
          <w:rFonts w:eastAsia="+mn-ea" w:cs="Times New Roman"/>
          <w:bCs/>
          <w:color w:val="000000"/>
          <w:kern w:val="24"/>
          <w:szCs w:val="24"/>
        </w:rPr>
        <w:fldChar w:fldCharType="begin" w:fldLock="1"/>
      </w:r>
      <w:r w:rsidR="000D06B3">
        <w:rPr>
          <w:rFonts w:eastAsia="+mn-ea" w:cs="Times New Roman"/>
          <w:bCs/>
          <w:color w:val="000000"/>
          <w:kern w:val="24"/>
          <w:szCs w:val="24"/>
        </w:rPr>
        <w:instrText>ADDIN CSL_CITATION {"citationItems":[{"id":"ITEM-1","itemData":{"DOI":"10.1161/CIR.0000000000000678","ISSN":"1524-4539 (Electronic)","PMID":"30879355","author":[{"dropping-particle":"","family":"Arnett","given":"Donna K","non-dropping-particle":"","parse-names":false,"suffix":""},{"dropping-particle":"","family":"Blumenthal","given":"Roger S","non-dropping-particle":"","parse-names":false,"suffix":""},{"dropping-particle":"","family":"Albert","given":"Michelle A","non-dropping-particle":"","parse-names":false,"suffix":""},{"dropping-particle":"","family":"Buroker","given":"Andrew B","non-dropping-particle":"","parse-names":false,"suffix":""},{"dropping-particle":"","family":"Goldberger","given":"Zachary D","non-dropping-particle":"","parse-names":false,"suffix":""},{"dropping-particle":"","family":"Hahn","given":"Ellen J","non-dropping-particle":"","parse-names":false,"suffix":""},{"dropping-particle":"","family":"Himmelfarb","given":"Cheryl Dennison","non-dropping-particle":"","parse-names":false,"suffix":""},{"dropping-particle":"","family":"Khera","given":"Amit","non-dropping-particle":"","parse-names":false,"suffix":""},{"dropping-particle":"","family":"Lloyd-Jones","given":"Donald","non-dropping-particle":"","parse-names":false,"suffix":""},{"dropping-particle":"","family":"McEvoy","given":"J William","non-dropping-particle":"","parse-names":false,"suffix":""},{"dropping-particle":"","family":"Michos","given":"Erin D","non-dropping-particle":"","parse-names":false,"suffix":""},{"dropping-particle":"","family":"Miedema","given":"Michael D","non-dropping-particle":"","parse-names":false,"suffix":""},{"dropping-particle":"","family":"Muñoz","given":"Daniel","non-dropping-particle":"","parse-names":false,"suffix":""},{"dropping-particle":"","family":"Smith","given":"Sidney C Jr","non-dropping-particle":"","parse-names":false,"suffix":""},{"dropping-particle":"","family":"Virani","given":"Salim S","non-dropping-particle":"","parse-names":false,"suffix":""},{"dropping-particle":"","family":"Williams","given":"Kim A Sr","non-dropping-particle":"","parse-names":false,"suffix":""},{"dropping-particle":"","family":"Yeboah","given":"Joseph","non-dropping-particle":"","parse-names":false,"suffix":""},{"dropping-particle":"","family":"Ziaeian","given":"Boback","non-dropping-particle":"","parse-names":false,"suffix":""}],"container-title":"Circulation","id":"ITEM-1","issue":"11","issued":{"date-parts":[["2019","9"]]},"language":"eng","page":"e596-e646","publisher-place":"United States","title":"2019 ACC/AHA Guideline on the Primary Prevention of Cardiovascular Disease: A Report of the American College of Cardiology/American Heart Association Task Force on Clinical Practice Guidelines.","type":"article-journal","volume":"140"},"uris":["http://www.mendeley.com/documents/?uuid=f3caf233-f1f3-44a0-afec-caea71e5b0e6"]}],"mendeley":{"formattedCitation":"&lt;sup&gt;17&lt;/sup&gt;","plainTextFormattedCitation":"17","previouslyFormattedCitation":"&lt;sup&gt;16&lt;/sup&gt;"},"properties":{"noteIndex":0},"schema":"https://github.com/citation-style-language/schema/raw/master/csl-citation.json"}</w:instrText>
      </w:r>
      <w:r w:rsidRPr="004A00FD">
        <w:rPr>
          <w:rFonts w:eastAsia="+mn-ea" w:cs="Times New Roman"/>
          <w:bCs/>
          <w:color w:val="000000"/>
          <w:kern w:val="24"/>
          <w:szCs w:val="24"/>
        </w:rPr>
        <w:fldChar w:fldCharType="separate"/>
      </w:r>
      <w:r w:rsidR="000D06B3" w:rsidRPr="000D06B3">
        <w:rPr>
          <w:rFonts w:eastAsia="+mn-ea" w:cs="Times New Roman"/>
          <w:bCs/>
          <w:noProof/>
          <w:color w:val="000000"/>
          <w:kern w:val="24"/>
          <w:szCs w:val="24"/>
          <w:vertAlign w:val="superscript"/>
        </w:rPr>
        <w:t>17</w:t>
      </w:r>
      <w:r w:rsidRPr="004A00FD">
        <w:rPr>
          <w:rFonts w:eastAsia="+mn-ea" w:cs="Times New Roman"/>
          <w:bCs/>
          <w:color w:val="000000"/>
          <w:kern w:val="24"/>
          <w:szCs w:val="24"/>
        </w:rPr>
        <w:fldChar w:fldCharType="end"/>
      </w:r>
      <w:r w:rsidRPr="004A00FD">
        <w:rPr>
          <w:rFonts w:eastAsia="+mn-ea" w:cs="Times New Roman"/>
          <w:bCs/>
          <w:color w:val="000000"/>
          <w:kern w:val="24"/>
          <w:szCs w:val="24"/>
        </w:rPr>
        <w:t xml:space="preserve"> Bootstrapping with 1000 replicates was used to generate 95% confidence intervals [CIs] for the NRI.</w:t>
      </w:r>
    </w:p>
    <w:p w14:paraId="053DBD2D" w14:textId="1022DB08" w:rsidR="005B22E8" w:rsidRDefault="005B22E8">
      <w:pPr>
        <w:spacing w:after="160" w:line="259" w:lineRule="auto"/>
        <w:contextualSpacing w:val="0"/>
        <w:rPr>
          <w:rFonts w:eastAsia="+mn-ea" w:cs="Times New Roman"/>
          <w:b/>
          <w:color w:val="000000"/>
          <w:kern w:val="24"/>
          <w:szCs w:val="24"/>
        </w:rPr>
      </w:pPr>
    </w:p>
    <w:p w14:paraId="358EF4B4" w14:textId="124EB8B5" w:rsidR="00CE31A0" w:rsidRPr="004A00FD" w:rsidRDefault="00CE31A0">
      <w:pPr>
        <w:spacing w:after="160" w:line="259" w:lineRule="auto"/>
        <w:contextualSpacing w:val="0"/>
        <w:rPr>
          <w:rFonts w:eastAsia="+mn-ea" w:cs="Times New Roman"/>
          <w:b/>
          <w:color w:val="000000"/>
          <w:kern w:val="24"/>
          <w:szCs w:val="24"/>
        </w:rPr>
      </w:pPr>
      <w:r w:rsidRPr="004A00FD">
        <w:rPr>
          <w:rFonts w:eastAsia="+mn-ea" w:cs="Times New Roman"/>
          <w:b/>
          <w:color w:val="000000"/>
          <w:kern w:val="24"/>
          <w:szCs w:val="24"/>
        </w:rPr>
        <w:t>References</w:t>
      </w:r>
      <w:r w:rsidR="00D9581E">
        <w:rPr>
          <w:rFonts w:eastAsia="+mn-ea" w:cs="Times New Roman"/>
          <w:b/>
          <w:color w:val="000000"/>
          <w:kern w:val="24"/>
          <w:szCs w:val="24"/>
        </w:rPr>
        <w:t xml:space="preserve"> for </w:t>
      </w:r>
      <w:r w:rsidR="00DA3FCB" w:rsidRPr="00DA3FCB">
        <w:rPr>
          <w:rFonts w:eastAsia="+mn-ea" w:cs="Times New Roman"/>
          <w:b/>
          <w:color w:val="000000"/>
          <w:kern w:val="24"/>
          <w:szCs w:val="24"/>
        </w:rPr>
        <w:t xml:space="preserve">Supplemental </w:t>
      </w:r>
      <w:r w:rsidR="00D9581E">
        <w:rPr>
          <w:rFonts w:eastAsia="+mn-ea" w:cs="Times New Roman"/>
          <w:b/>
          <w:color w:val="000000"/>
          <w:kern w:val="24"/>
          <w:szCs w:val="24"/>
        </w:rPr>
        <w:t>Methods</w:t>
      </w:r>
    </w:p>
    <w:p w14:paraId="466E7E4E" w14:textId="4FAE6D8D" w:rsidR="000D06B3" w:rsidRPr="000D06B3" w:rsidRDefault="004A00FD" w:rsidP="000D06B3">
      <w:pPr>
        <w:widowControl w:val="0"/>
        <w:autoSpaceDE w:val="0"/>
        <w:autoSpaceDN w:val="0"/>
        <w:adjustRightInd w:val="0"/>
        <w:spacing w:after="160"/>
        <w:ind w:left="640" w:hanging="640"/>
        <w:rPr>
          <w:rFonts w:cs="Times New Roman"/>
          <w:noProof/>
          <w:szCs w:val="24"/>
        </w:rPr>
      </w:pPr>
      <w:r w:rsidRPr="004A00FD">
        <w:rPr>
          <w:rFonts w:eastAsia="+mn-ea" w:cs="Times New Roman"/>
          <w:b/>
          <w:color w:val="000000"/>
          <w:kern w:val="24"/>
          <w:szCs w:val="24"/>
        </w:rPr>
        <w:fldChar w:fldCharType="begin" w:fldLock="1"/>
      </w:r>
      <w:r w:rsidRPr="004A00FD">
        <w:rPr>
          <w:rFonts w:eastAsia="+mn-ea" w:cs="Times New Roman"/>
          <w:b/>
          <w:color w:val="000000"/>
          <w:kern w:val="24"/>
          <w:szCs w:val="24"/>
        </w:rPr>
        <w:instrText xml:space="preserve">ADDIN Mendeley Bibliography CSL_BIBLIOGRAPHY </w:instrText>
      </w:r>
      <w:r w:rsidRPr="004A00FD">
        <w:rPr>
          <w:rFonts w:eastAsia="+mn-ea" w:cs="Times New Roman"/>
          <w:b/>
          <w:color w:val="000000"/>
          <w:kern w:val="24"/>
          <w:szCs w:val="24"/>
        </w:rPr>
        <w:fldChar w:fldCharType="separate"/>
      </w:r>
      <w:r w:rsidR="000D06B3" w:rsidRPr="000D06B3">
        <w:rPr>
          <w:rFonts w:cs="Times New Roman"/>
          <w:noProof/>
          <w:szCs w:val="24"/>
        </w:rPr>
        <w:t xml:space="preserve">1. </w:t>
      </w:r>
      <w:r w:rsidR="000D06B3" w:rsidRPr="000D06B3">
        <w:rPr>
          <w:rFonts w:cs="Times New Roman"/>
          <w:noProof/>
          <w:szCs w:val="24"/>
        </w:rPr>
        <w:tab/>
        <w:t xml:space="preserve">Goff DC, Lloyd-Jones DM, Bennett G, et al. 2013 ACC/AHA guideline on the assessment of cardiovascular risk: A report of the American College of Cardiology/American Heart Association task force on practice guidelines. </w:t>
      </w:r>
      <w:r w:rsidR="000D06B3" w:rsidRPr="000D06B3">
        <w:rPr>
          <w:rFonts w:cs="Times New Roman"/>
          <w:i/>
          <w:iCs/>
          <w:noProof/>
          <w:szCs w:val="24"/>
        </w:rPr>
        <w:t>Circulation</w:t>
      </w:r>
      <w:r w:rsidR="000D06B3" w:rsidRPr="000D06B3">
        <w:rPr>
          <w:rFonts w:cs="Times New Roman"/>
          <w:noProof/>
          <w:szCs w:val="24"/>
        </w:rPr>
        <w:t>. 2013;63(25 Pt B):2935-2959.</w:t>
      </w:r>
    </w:p>
    <w:p w14:paraId="17F03ECB"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2. </w:t>
      </w:r>
      <w:r w:rsidRPr="000D06B3">
        <w:rPr>
          <w:rFonts w:cs="Times New Roman"/>
          <w:noProof/>
          <w:szCs w:val="24"/>
        </w:rPr>
        <w:tab/>
        <w:t xml:space="preserve">Matsushita K, Jassal SK, Sang Y, et al. Incorporating kidney disease measures into cardiovascular risk prediction: Development and validation in 9 million adults from 72 datasets. </w:t>
      </w:r>
      <w:r w:rsidRPr="000D06B3">
        <w:rPr>
          <w:rFonts w:cs="Times New Roman"/>
          <w:i/>
          <w:iCs/>
          <w:noProof/>
          <w:szCs w:val="24"/>
        </w:rPr>
        <w:t>EClinicalMedicine</w:t>
      </w:r>
      <w:r w:rsidRPr="000D06B3">
        <w:rPr>
          <w:rFonts w:cs="Times New Roman"/>
          <w:noProof/>
          <w:szCs w:val="24"/>
        </w:rPr>
        <w:t>. 2020;27:100552.</w:t>
      </w:r>
    </w:p>
    <w:p w14:paraId="76A5BE05"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3. </w:t>
      </w:r>
      <w:r w:rsidRPr="000D06B3">
        <w:rPr>
          <w:rFonts w:cs="Times New Roman"/>
          <w:noProof/>
          <w:szCs w:val="24"/>
        </w:rPr>
        <w:tab/>
        <w:t xml:space="preserve">Steyerberg EW. </w:t>
      </w:r>
      <w:r w:rsidRPr="000D06B3">
        <w:rPr>
          <w:rFonts w:cs="Times New Roman"/>
          <w:i/>
          <w:iCs/>
          <w:noProof/>
          <w:szCs w:val="24"/>
        </w:rPr>
        <w:t>Clinical Prediction Models: A Practical Approach to Development, Validation, and Updating</w:t>
      </w:r>
      <w:r w:rsidRPr="000D06B3">
        <w:rPr>
          <w:rFonts w:cs="Times New Roman"/>
          <w:noProof/>
          <w:szCs w:val="24"/>
        </w:rPr>
        <w:t>. New York: Springer; 2019.</w:t>
      </w:r>
    </w:p>
    <w:p w14:paraId="4F77C292"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4. </w:t>
      </w:r>
      <w:r w:rsidRPr="000D06B3">
        <w:rPr>
          <w:rFonts w:cs="Times New Roman"/>
          <w:noProof/>
          <w:szCs w:val="24"/>
        </w:rPr>
        <w:tab/>
        <w:t xml:space="preserve">Lash JP, Go AS, Appel LJ, et al. Chronic renal insufficiency cohort (CRIC) study: Baseline characteristics and associations with kidney function. </w:t>
      </w:r>
      <w:r w:rsidRPr="000D06B3">
        <w:rPr>
          <w:rFonts w:cs="Times New Roman"/>
          <w:i/>
          <w:iCs/>
          <w:noProof/>
          <w:szCs w:val="24"/>
        </w:rPr>
        <w:t>Clin J Am Soc Nephrol</w:t>
      </w:r>
      <w:r w:rsidRPr="000D06B3">
        <w:rPr>
          <w:rFonts w:cs="Times New Roman"/>
          <w:noProof/>
          <w:szCs w:val="24"/>
        </w:rPr>
        <w:t>. 2009;4(8):1302-1311.</w:t>
      </w:r>
    </w:p>
    <w:p w14:paraId="40704583"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5. </w:t>
      </w:r>
      <w:r w:rsidRPr="000D06B3">
        <w:rPr>
          <w:rFonts w:cs="Times New Roman"/>
          <w:noProof/>
          <w:szCs w:val="24"/>
        </w:rPr>
        <w:tab/>
        <w:t xml:space="preserve">Gerhard-Herman MD, Gornik HL, Barrett C, et al. 2016 AHA/ACC Guideline on the Management of Patients With Lower Extremity Peripheral  Artery Disease: A Report of the American College of Cardiology/American Heart Association Task Force on Clinical Practice Guidelines. </w:t>
      </w:r>
      <w:r w:rsidRPr="000D06B3">
        <w:rPr>
          <w:rFonts w:cs="Times New Roman"/>
          <w:i/>
          <w:iCs/>
          <w:noProof/>
          <w:szCs w:val="24"/>
        </w:rPr>
        <w:t>J Am Coll Cardiol</w:t>
      </w:r>
      <w:r w:rsidRPr="000D06B3">
        <w:rPr>
          <w:rFonts w:cs="Times New Roman"/>
          <w:noProof/>
          <w:szCs w:val="24"/>
        </w:rPr>
        <w:t>. 2017;69(11):e71-e126.</w:t>
      </w:r>
    </w:p>
    <w:p w14:paraId="2E2790B4"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6. </w:t>
      </w:r>
      <w:r w:rsidRPr="000D06B3">
        <w:rPr>
          <w:rFonts w:cs="Times New Roman"/>
          <w:noProof/>
          <w:szCs w:val="24"/>
        </w:rPr>
        <w:tab/>
        <w:t xml:space="preserve">Fine JP, Gray RJ. A Proportional Hazards Model for the Subdistribution of a Competing Risk. </w:t>
      </w:r>
      <w:r w:rsidRPr="000D06B3">
        <w:rPr>
          <w:rFonts w:cs="Times New Roman"/>
          <w:i/>
          <w:iCs/>
          <w:noProof/>
          <w:szCs w:val="24"/>
        </w:rPr>
        <w:t>J Am Stat Assoc</w:t>
      </w:r>
      <w:r w:rsidRPr="000D06B3">
        <w:rPr>
          <w:rFonts w:cs="Times New Roman"/>
          <w:noProof/>
          <w:szCs w:val="24"/>
        </w:rPr>
        <w:t>. 1999;94(446):496-509.</w:t>
      </w:r>
    </w:p>
    <w:p w14:paraId="3EE70243"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7. </w:t>
      </w:r>
      <w:r w:rsidRPr="000D06B3">
        <w:rPr>
          <w:rFonts w:cs="Times New Roman"/>
          <w:noProof/>
          <w:szCs w:val="24"/>
        </w:rPr>
        <w:tab/>
        <w:t xml:space="preserve">Tibshirani R. The LASSO method for variable selection in the Cox model. </w:t>
      </w:r>
      <w:r w:rsidRPr="000D06B3">
        <w:rPr>
          <w:rFonts w:cs="Times New Roman"/>
          <w:i/>
          <w:iCs/>
          <w:noProof/>
          <w:szCs w:val="24"/>
        </w:rPr>
        <w:t>Stat Med</w:t>
      </w:r>
      <w:r w:rsidRPr="000D06B3">
        <w:rPr>
          <w:rFonts w:cs="Times New Roman"/>
          <w:noProof/>
          <w:szCs w:val="24"/>
        </w:rPr>
        <w:t>. 1997;16(4):385-395.</w:t>
      </w:r>
    </w:p>
    <w:p w14:paraId="3F4E9902"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8. </w:t>
      </w:r>
      <w:r w:rsidRPr="000D06B3">
        <w:rPr>
          <w:rFonts w:cs="Times New Roman"/>
          <w:noProof/>
          <w:szCs w:val="24"/>
        </w:rPr>
        <w:tab/>
        <w:t xml:space="preserve">Breiman L, Friedman J, Stone C, Olshen R. </w:t>
      </w:r>
      <w:r w:rsidRPr="000D06B3">
        <w:rPr>
          <w:rFonts w:cs="Times New Roman"/>
          <w:i/>
          <w:iCs/>
          <w:noProof/>
          <w:szCs w:val="24"/>
        </w:rPr>
        <w:t>Classification and Regression Trees</w:t>
      </w:r>
      <w:r w:rsidRPr="000D06B3">
        <w:rPr>
          <w:rFonts w:cs="Times New Roman"/>
          <w:noProof/>
          <w:szCs w:val="24"/>
        </w:rPr>
        <w:t>. CRC Press; 1984.</w:t>
      </w:r>
    </w:p>
    <w:p w14:paraId="4550C54E"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9. </w:t>
      </w:r>
      <w:r w:rsidRPr="000D06B3">
        <w:rPr>
          <w:rFonts w:cs="Times New Roman"/>
          <w:noProof/>
          <w:szCs w:val="24"/>
        </w:rPr>
        <w:tab/>
        <w:t xml:space="preserve">Steyerberg EW, Harrell FEJ. Prediction models need appropriate internal, internal-external, and external  validation. </w:t>
      </w:r>
      <w:r w:rsidRPr="000D06B3">
        <w:rPr>
          <w:rFonts w:cs="Times New Roman"/>
          <w:i/>
          <w:iCs/>
          <w:noProof/>
          <w:szCs w:val="24"/>
        </w:rPr>
        <w:t>J Clin Epidemiol</w:t>
      </w:r>
      <w:r w:rsidRPr="000D06B3">
        <w:rPr>
          <w:rFonts w:cs="Times New Roman"/>
          <w:noProof/>
          <w:szCs w:val="24"/>
        </w:rPr>
        <w:t>. 2016;69:245-247.</w:t>
      </w:r>
    </w:p>
    <w:p w14:paraId="46AE2A89"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10. </w:t>
      </w:r>
      <w:r w:rsidRPr="000D06B3">
        <w:rPr>
          <w:rFonts w:cs="Times New Roman"/>
          <w:noProof/>
          <w:szCs w:val="24"/>
        </w:rPr>
        <w:tab/>
        <w:t xml:space="preserve">Wright JD, Folsom AR, Coresh J, et al. The ARIC (Atherosclerosis Risk In Communities) Study: JACC Focus Seminar 3/8. </w:t>
      </w:r>
      <w:r w:rsidRPr="000D06B3">
        <w:rPr>
          <w:rFonts w:cs="Times New Roman"/>
          <w:i/>
          <w:iCs/>
          <w:noProof/>
          <w:szCs w:val="24"/>
        </w:rPr>
        <w:t>J Am Coll Cardiol</w:t>
      </w:r>
      <w:r w:rsidRPr="000D06B3">
        <w:rPr>
          <w:rFonts w:cs="Times New Roman"/>
          <w:noProof/>
          <w:szCs w:val="24"/>
        </w:rPr>
        <w:t>. 2021;77(23):2939-2959.</w:t>
      </w:r>
    </w:p>
    <w:p w14:paraId="22A2A483"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11. </w:t>
      </w:r>
      <w:r w:rsidRPr="000D06B3">
        <w:rPr>
          <w:rFonts w:cs="Times New Roman"/>
          <w:noProof/>
          <w:szCs w:val="24"/>
        </w:rPr>
        <w:tab/>
        <w:t xml:space="preserve">Bild DE, Bluemke DA, Burke GL, et al. Multi-Ethnic Study of Atherosclerosis: Objectives and Design. </w:t>
      </w:r>
      <w:r w:rsidRPr="000D06B3">
        <w:rPr>
          <w:rFonts w:cs="Times New Roman"/>
          <w:i/>
          <w:iCs/>
          <w:noProof/>
          <w:szCs w:val="24"/>
        </w:rPr>
        <w:t>Am J Epidemiol</w:t>
      </w:r>
      <w:r w:rsidRPr="000D06B3">
        <w:rPr>
          <w:rFonts w:cs="Times New Roman"/>
          <w:noProof/>
          <w:szCs w:val="24"/>
        </w:rPr>
        <w:t>. 2002;156(9):871-881.</w:t>
      </w:r>
    </w:p>
    <w:p w14:paraId="548DE7CA"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12. </w:t>
      </w:r>
      <w:r w:rsidRPr="000D06B3">
        <w:rPr>
          <w:rFonts w:cs="Times New Roman"/>
          <w:noProof/>
          <w:szCs w:val="24"/>
        </w:rPr>
        <w:tab/>
        <w:t xml:space="preserve">Detrano R, Guerci AD, Carr JJ, et al. Coronary calcium as a predictor of coronary events in four racial or ethnic groups. </w:t>
      </w:r>
      <w:r w:rsidRPr="000D06B3">
        <w:rPr>
          <w:rFonts w:cs="Times New Roman"/>
          <w:i/>
          <w:iCs/>
          <w:noProof/>
          <w:szCs w:val="24"/>
        </w:rPr>
        <w:t>N Engl J Med</w:t>
      </w:r>
      <w:r w:rsidRPr="000D06B3">
        <w:rPr>
          <w:rFonts w:cs="Times New Roman"/>
          <w:noProof/>
          <w:szCs w:val="24"/>
        </w:rPr>
        <w:t>. 2008;358(13):1338-1345.</w:t>
      </w:r>
    </w:p>
    <w:p w14:paraId="6302250B"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13. </w:t>
      </w:r>
      <w:r w:rsidRPr="000D06B3">
        <w:rPr>
          <w:rFonts w:cs="Times New Roman"/>
          <w:noProof/>
          <w:szCs w:val="24"/>
        </w:rPr>
        <w:tab/>
        <w:t xml:space="preserve">Steyerberg EW, Vickers AJ, Cook NR, et al. Assessing the Performance of Prediction Models. </w:t>
      </w:r>
      <w:r w:rsidRPr="000D06B3">
        <w:rPr>
          <w:rFonts w:cs="Times New Roman"/>
          <w:i/>
          <w:iCs/>
          <w:noProof/>
          <w:szCs w:val="24"/>
        </w:rPr>
        <w:t>Epidemiology</w:t>
      </w:r>
      <w:r w:rsidRPr="000D06B3">
        <w:rPr>
          <w:rFonts w:cs="Times New Roman"/>
          <w:noProof/>
          <w:szCs w:val="24"/>
        </w:rPr>
        <w:t>. 2010;21(1):128-138.</w:t>
      </w:r>
    </w:p>
    <w:p w14:paraId="64541014"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14. </w:t>
      </w:r>
      <w:r w:rsidRPr="000D06B3">
        <w:rPr>
          <w:rFonts w:cs="Times New Roman"/>
          <w:noProof/>
          <w:szCs w:val="24"/>
        </w:rPr>
        <w:tab/>
        <w:t xml:space="preserve">Blanche P, Proust-Lima C, Loubère L, Berr C, Dartigues J-F, Jacqmin-Gadda H. Quantifying and comparing dynamic predictive accuracy of joint models for  longitudinal marker and time-to-event in presence of censoring and competing risks. </w:t>
      </w:r>
      <w:r w:rsidRPr="000D06B3">
        <w:rPr>
          <w:rFonts w:cs="Times New Roman"/>
          <w:i/>
          <w:iCs/>
          <w:noProof/>
          <w:szCs w:val="24"/>
        </w:rPr>
        <w:t>Biometrics</w:t>
      </w:r>
      <w:r w:rsidRPr="000D06B3">
        <w:rPr>
          <w:rFonts w:cs="Times New Roman"/>
          <w:noProof/>
          <w:szCs w:val="24"/>
        </w:rPr>
        <w:t>. 2015;71(1):102-113.</w:t>
      </w:r>
    </w:p>
    <w:p w14:paraId="07F9BD7D"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15. </w:t>
      </w:r>
      <w:r w:rsidRPr="000D06B3">
        <w:rPr>
          <w:rFonts w:cs="Times New Roman"/>
          <w:noProof/>
          <w:szCs w:val="24"/>
        </w:rPr>
        <w:tab/>
        <w:t xml:space="preserve">Kattan MW, Gerds TA. The index of prediction accuracy: an intuitive measure useful for evaluating risk prediction models. </w:t>
      </w:r>
      <w:r w:rsidRPr="000D06B3">
        <w:rPr>
          <w:rFonts w:cs="Times New Roman"/>
          <w:i/>
          <w:iCs/>
          <w:noProof/>
          <w:szCs w:val="24"/>
        </w:rPr>
        <w:t>Diagnostic Progn Res</w:t>
      </w:r>
      <w:r w:rsidRPr="000D06B3">
        <w:rPr>
          <w:rFonts w:cs="Times New Roman"/>
          <w:noProof/>
          <w:szCs w:val="24"/>
        </w:rPr>
        <w:t>. 2018;2:7.</w:t>
      </w:r>
    </w:p>
    <w:p w14:paraId="12E71F4F" w14:textId="77777777" w:rsidR="000D06B3" w:rsidRPr="000D06B3" w:rsidRDefault="000D06B3" w:rsidP="000D06B3">
      <w:pPr>
        <w:widowControl w:val="0"/>
        <w:autoSpaceDE w:val="0"/>
        <w:autoSpaceDN w:val="0"/>
        <w:adjustRightInd w:val="0"/>
        <w:spacing w:after="160"/>
        <w:ind w:left="640" w:hanging="640"/>
        <w:rPr>
          <w:rFonts w:cs="Times New Roman"/>
          <w:noProof/>
          <w:szCs w:val="24"/>
        </w:rPr>
      </w:pPr>
      <w:r w:rsidRPr="000D06B3">
        <w:rPr>
          <w:rFonts w:cs="Times New Roman"/>
          <w:noProof/>
          <w:szCs w:val="24"/>
        </w:rPr>
        <w:t xml:space="preserve">16. </w:t>
      </w:r>
      <w:r w:rsidRPr="000D06B3">
        <w:rPr>
          <w:rFonts w:cs="Times New Roman"/>
          <w:noProof/>
          <w:szCs w:val="24"/>
        </w:rPr>
        <w:tab/>
        <w:t xml:space="preserve">Pencina M, D’Agostino Sr R, D’Agostino Jr R, Vasan R. Evaluating the added predictive ability of a newmarker: From area under the ROC curve to reclassification and beyond. </w:t>
      </w:r>
      <w:r w:rsidRPr="000D06B3">
        <w:rPr>
          <w:rFonts w:cs="Times New Roman"/>
          <w:i/>
          <w:iCs/>
          <w:noProof/>
          <w:szCs w:val="24"/>
        </w:rPr>
        <w:t>Stat Med</w:t>
      </w:r>
      <w:r w:rsidRPr="000D06B3">
        <w:rPr>
          <w:rFonts w:cs="Times New Roman"/>
          <w:noProof/>
          <w:szCs w:val="24"/>
        </w:rPr>
        <w:t>. 2008;27:157-172.</w:t>
      </w:r>
    </w:p>
    <w:p w14:paraId="47A8C455" w14:textId="77777777" w:rsidR="000D06B3" w:rsidRPr="000D06B3" w:rsidRDefault="000D06B3" w:rsidP="000D06B3">
      <w:pPr>
        <w:widowControl w:val="0"/>
        <w:autoSpaceDE w:val="0"/>
        <w:autoSpaceDN w:val="0"/>
        <w:adjustRightInd w:val="0"/>
        <w:spacing w:after="160"/>
        <w:ind w:left="640" w:hanging="640"/>
        <w:rPr>
          <w:rFonts w:cs="Times New Roman"/>
          <w:noProof/>
        </w:rPr>
      </w:pPr>
      <w:r w:rsidRPr="000D06B3">
        <w:rPr>
          <w:rFonts w:cs="Times New Roman"/>
          <w:noProof/>
          <w:szCs w:val="24"/>
        </w:rPr>
        <w:t xml:space="preserve">17. </w:t>
      </w:r>
      <w:r w:rsidRPr="000D06B3">
        <w:rPr>
          <w:rFonts w:cs="Times New Roman"/>
          <w:noProof/>
          <w:szCs w:val="24"/>
        </w:rPr>
        <w:tab/>
        <w:t xml:space="preserve">Arnett DK, Blumenthal RS, Albert MA, et al. 2019 ACC/AHA Guideline on the Primary Prevention of Cardiovascular Disease: A Report of the American College of Cardiology/American Heart Association Task Force on Clinical Practice Guidelines. </w:t>
      </w:r>
      <w:r w:rsidRPr="000D06B3">
        <w:rPr>
          <w:rFonts w:cs="Times New Roman"/>
          <w:i/>
          <w:iCs/>
          <w:noProof/>
          <w:szCs w:val="24"/>
        </w:rPr>
        <w:t>Circulation</w:t>
      </w:r>
      <w:r w:rsidRPr="000D06B3">
        <w:rPr>
          <w:rFonts w:cs="Times New Roman"/>
          <w:noProof/>
          <w:szCs w:val="24"/>
        </w:rPr>
        <w:t>. 2019;140(11):e596-e646.</w:t>
      </w:r>
    </w:p>
    <w:p w14:paraId="26D0F527" w14:textId="0CBE19C5" w:rsidR="005C1232" w:rsidRPr="005C1232" w:rsidRDefault="004A00FD" w:rsidP="005C1232">
      <w:pPr>
        <w:spacing w:after="160" w:line="259" w:lineRule="auto"/>
        <w:contextualSpacing w:val="0"/>
        <w:rPr>
          <w:rFonts w:ascii="Arial" w:eastAsia="+mn-ea" w:hAnsi="Arial" w:cs="Arial"/>
          <w:bCs/>
          <w:color w:val="000000"/>
          <w:kern w:val="24"/>
          <w:sz w:val="22"/>
        </w:rPr>
      </w:pPr>
      <w:r w:rsidRPr="004A00FD">
        <w:rPr>
          <w:rFonts w:eastAsia="+mn-ea" w:cs="Times New Roman"/>
          <w:b/>
          <w:color w:val="000000"/>
          <w:kern w:val="24"/>
          <w:szCs w:val="24"/>
        </w:rPr>
        <w:lastRenderedPageBreak/>
        <w:fldChar w:fldCharType="end"/>
      </w:r>
      <w:r w:rsidR="00DA3FCB">
        <w:rPr>
          <w:rFonts w:ascii="Arial" w:hAnsi="Arial" w:cs="Arial"/>
          <w:b/>
          <w:bCs/>
          <w:sz w:val="22"/>
        </w:rPr>
        <w:t xml:space="preserve">Supplemental </w:t>
      </w:r>
      <w:r w:rsidR="005C1232" w:rsidRPr="005C1232">
        <w:rPr>
          <w:rFonts w:ascii="Arial" w:eastAsia="+mn-ea" w:hAnsi="Arial" w:cs="Arial"/>
          <w:b/>
          <w:color w:val="000000"/>
          <w:kern w:val="24"/>
          <w:sz w:val="22"/>
        </w:rPr>
        <w:t>Figure 1.</w:t>
      </w:r>
      <w:r w:rsidR="005C1232" w:rsidRPr="005C1232">
        <w:rPr>
          <w:rFonts w:ascii="Arial" w:eastAsia="+mn-ea" w:hAnsi="Arial" w:cs="Arial"/>
          <w:color w:val="000000"/>
          <w:kern w:val="24"/>
          <w:sz w:val="22"/>
        </w:rPr>
        <w:t xml:space="preserve"> </w:t>
      </w:r>
      <w:r w:rsidR="005C1232" w:rsidRPr="005C1232">
        <w:rPr>
          <w:rFonts w:ascii="Arial" w:eastAsia="+mn-ea" w:hAnsi="Arial" w:cs="Arial"/>
          <w:bCs/>
          <w:color w:val="000000"/>
          <w:kern w:val="24"/>
          <w:sz w:val="22"/>
        </w:rPr>
        <w:t>Candidate Predictor Variables Considered for Inclusion in Prediction Models</w:t>
      </w:r>
    </w:p>
    <w:p w14:paraId="39599C87" w14:textId="57E9884D" w:rsidR="005C1232" w:rsidRPr="005C1232" w:rsidRDefault="00165260" w:rsidP="005C1232">
      <w:pPr>
        <w:spacing w:after="160" w:line="259" w:lineRule="auto"/>
        <w:contextualSpacing w:val="0"/>
        <w:jc w:val="center"/>
        <w:rPr>
          <w:rFonts w:ascii="Arial" w:eastAsia="+mn-ea" w:hAnsi="Arial" w:cs="Arial"/>
          <w:bCs/>
          <w:color w:val="000000"/>
          <w:kern w:val="24"/>
          <w:sz w:val="22"/>
        </w:rPr>
      </w:pPr>
      <w:r>
        <w:rPr>
          <w:rFonts w:ascii="Arial" w:eastAsia="+mn-ea" w:hAnsi="Arial" w:cs="Arial"/>
          <w:bCs/>
          <w:color w:val="000000"/>
          <w:kern w:val="24"/>
          <w:sz w:val="22"/>
        </w:rPr>
        <w:object w:dxaOrig="6108" w:dyaOrig="7923" w14:anchorId="419C1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41.25pt" o:ole="">
            <v:imagedata r:id="rId7" o:title=""/>
          </v:shape>
          <o:OLEObject Type="Embed" ProgID="PowerPoint.Show.12" ShapeID="_x0000_i1025" DrawAspect="Content" ObjectID="_1700645418" r:id="rId8"/>
        </w:object>
      </w:r>
    </w:p>
    <w:p w14:paraId="5A9915E4" w14:textId="1643FA84" w:rsidR="009577D9" w:rsidRPr="00B14EA9" w:rsidRDefault="005C1232" w:rsidP="005C1232">
      <w:pPr>
        <w:spacing w:after="120"/>
        <w:contextualSpacing w:val="0"/>
        <w:rPr>
          <w:rFonts w:ascii="Arial" w:eastAsia="Calibri" w:hAnsi="Arial" w:cs="Arial"/>
          <w:bCs/>
          <w:sz w:val="22"/>
        </w:rPr>
        <w:sectPr w:rsidR="009577D9" w:rsidRPr="00B14EA9" w:rsidSect="00165260">
          <w:footerReference w:type="default" r:id="rId9"/>
          <w:pgSz w:w="12240" w:h="15840"/>
          <w:pgMar w:top="720" w:right="720" w:bottom="720" w:left="720" w:header="720" w:footer="720" w:gutter="0"/>
          <w:cols w:space="720"/>
          <w:titlePg/>
          <w:docGrid w:linePitch="360"/>
        </w:sectPr>
      </w:pPr>
      <w:r w:rsidRPr="005C1232">
        <w:rPr>
          <w:rFonts w:ascii="Arial" w:eastAsia="+mn-ea" w:hAnsi="Arial" w:cs="Arial"/>
          <w:bCs/>
          <w:color w:val="000000"/>
          <w:kern w:val="24"/>
          <w:sz w:val="22"/>
        </w:rPr>
        <w:t xml:space="preserve">Predictors highlighted in blue indicate biomarkers included for </w:t>
      </w:r>
      <w:r w:rsidR="00385239">
        <w:rPr>
          <w:rFonts w:ascii="Arial" w:eastAsia="+mn-ea" w:hAnsi="Arial" w:cs="Arial"/>
          <w:bCs/>
          <w:color w:val="000000"/>
          <w:kern w:val="24"/>
          <w:sz w:val="22"/>
        </w:rPr>
        <w:t>development</w:t>
      </w:r>
      <w:r w:rsidRPr="005C1232">
        <w:rPr>
          <w:rFonts w:ascii="Arial" w:eastAsia="+mn-ea" w:hAnsi="Arial" w:cs="Arial"/>
          <w:bCs/>
          <w:color w:val="000000"/>
          <w:kern w:val="24"/>
          <w:sz w:val="22"/>
        </w:rPr>
        <w:t xml:space="preserve"> of the biomarker-enriched mode</w:t>
      </w:r>
      <w:r w:rsidR="00F2663A">
        <w:rPr>
          <w:rFonts w:ascii="Arial" w:eastAsia="+mn-ea" w:hAnsi="Arial" w:cs="Arial"/>
          <w:bCs/>
          <w:color w:val="000000"/>
          <w:kern w:val="24"/>
          <w:sz w:val="22"/>
        </w:rPr>
        <w:t>l</w:t>
      </w:r>
    </w:p>
    <w:p w14:paraId="5E843110" w14:textId="589E61C3" w:rsidR="002B6951" w:rsidRDefault="00DA3FCB">
      <w:pPr>
        <w:spacing w:after="160" w:line="259" w:lineRule="auto"/>
        <w:contextualSpacing w:val="0"/>
        <w:rPr>
          <w:rFonts w:ascii="Arial" w:hAnsi="Arial" w:cs="Arial"/>
          <w:b/>
          <w:bCs/>
          <w:sz w:val="22"/>
        </w:rPr>
      </w:pPr>
      <w:r>
        <w:rPr>
          <w:rFonts w:ascii="Arial" w:hAnsi="Arial" w:cs="Arial"/>
          <w:b/>
          <w:bCs/>
          <w:sz w:val="22"/>
        </w:rPr>
        <w:lastRenderedPageBreak/>
        <w:t xml:space="preserve">Supplemental </w:t>
      </w:r>
      <w:r w:rsidR="002B6951" w:rsidRPr="005C1232">
        <w:rPr>
          <w:rFonts w:ascii="Arial" w:eastAsia="+mn-ea" w:hAnsi="Arial" w:cs="Arial"/>
          <w:b/>
          <w:color w:val="000000"/>
          <w:kern w:val="24"/>
          <w:sz w:val="22"/>
        </w:rPr>
        <w:t xml:space="preserve">Figure </w:t>
      </w:r>
      <w:r w:rsidR="002B6951">
        <w:rPr>
          <w:rFonts w:ascii="Arial" w:eastAsia="+mn-ea" w:hAnsi="Arial" w:cs="Arial"/>
          <w:b/>
          <w:color w:val="000000"/>
          <w:kern w:val="24"/>
          <w:sz w:val="22"/>
        </w:rPr>
        <w:t>2</w:t>
      </w:r>
      <w:r w:rsidR="002B6951" w:rsidRPr="005C1232">
        <w:rPr>
          <w:rFonts w:ascii="Arial" w:eastAsia="+mn-ea" w:hAnsi="Arial" w:cs="Arial"/>
          <w:b/>
          <w:color w:val="000000"/>
          <w:kern w:val="24"/>
          <w:sz w:val="22"/>
        </w:rPr>
        <w:t>.</w:t>
      </w:r>
      <w:r w:rsidR="002B6951" w:rsidRPr="005C1232">
        <w:rPr>
          <w:rFonts w:ascii="Arial" w:eastAsia="+mn-ea" w:hAnsi="Arial" w:cs="Arial"/>
          <w:color w:val="000000"/>
          <w:kern w:val="24"/>
          <w:sz w:val="22"/>
        </w:rPr>
        <w:t xml:space="preserve"> </w:t>
      </w:r>
      <w:r w:rsidR="007F0F14">
        <w:rPr>
          <w:rFonts w:ascii="Arial" w:hAnsi="Arial" w:cs="Arial"/>
          <w:sz w:val="22"/>
        </w:rPr>
        <w:t>Calibration Slope Plots of Cox Proportional Hazards and Fine-Gray Subdistribution Hazards Modeling Algorithms</w:t>
      </w:r>
    </w:p>
    <w:p w14:paraId="146801A6" w14:textId="0CCC3BAE" w:rsidR="002B6951" w:rsidRDefault="00165260" w:rsidP="002B6951">
      <w:pPr>
        <w:spacing w:after="160" w:line="259" w:lineRule="auto"/>
        <w:contextualSpacing w:val="0"/>
        <w:jc w:val="center"/>
        <w:rPr>
          <w:rFonts w:ascii="Arial" w:hAnsi="Arial" w:cs="Arial"/>
          <w:b/>
          <w:bCs/>
          <w:sz w:val="22"/>
        </w:rPr>
      </w:pPr>
      <w:r>
        <w:rPr>
          <w:rFonts w:ascii="Arial" w:hAnsi="Arial" w:cs="Arial"/>
          <w:b/>
          <w:bCs/>
          <w:sz w:val="22"/>
        </w:rPr>
        <w:object w:dxaOrig="10539" w:dyaOrig="7923" w14:anchorId="51F55302">
          <v:shape id="_x0000_i1026" type="#_x0000_t75" style="width:597.75pt;height:453.75pt" o:ole="">
            <v:imagedata r:id="rId10" o:title=""/>
          </v:shape>
          <o:OLEObject Type="Embed" ProgID="PowerPoint.Show.12" ShapeID="_x0000_i1026" DrawAspect="Content" ObjectID="_1700645419" r:id="rId11"/>
        </w:object>
      </w:r>
    </w:p>
    <w:p w14:paraId="4112274B" w14:textId="5F07C8C9" w:rsidR="002B6951" w:rsidRPr="007F0F14" w:rsidRDefault="002B6951">
      <w:pPr>
        <w:spacing w:after="160" w:line="259" w:lineRule="auto"/>
        <w:contextualSpacing w:val="0"/>
        <w:rPr>
          <w:rFonts w:ascii="Arial" w:hAnsi="Arial" w:cs="Arial"/>
          <w:sz w:val="22"/>
        </w:rPr>
      </w:pPr>
      <w:r w:rsidRPr="007F0F14">
        <w:rPr>
          <w:rFonts w:ascii="Arial" w:hAnsi="Arial" w:cs="Arial"/>
          <w:sz w:val="22"/>
        </w:rPr>
        <w:t>*</w:t>
      </w:r>
      <w:bookmarkStart w:id="1" w:name="_Hlk61942149"/>
      <w:r w:rsidRPr="007F0F14">
        <w:rPr>
          <w:rFonts w:ascii="Arial" w:hAnsi="Arial" w:cs="Arial"/>
          <w:sz w:val="22"/>
        </w:rPr>
        <w:t xml:space="preserve">The Aalen-Johansen estimator calculates </w:t>
      </w:r>
      <w:r w:rsidR="00C64FBD">
        <w:rPr>
          <w:rFonts w:ascii="Arial" w:hAnsi="Arial" w:cs="Arial"/>
          <w:sz w:val="22"/>
        </w:rPr>
        <w:t>cumulative incidence</w:t>
      </w:r>
      <w:r w:rsidRPr="007F0F14">
        <w:rPr>
          <w:rFonts w:ascii="Arial" w:hAnsi="Arial" w:cs="Arial"/>
          <w:sz w:val="22"/>
        </w:rPr>
        <w:t xml:space="preserve"> taking into consideration the competing risk of death</w:t>
      </w:r>
      <w:r w:rsidR="007F0F14" w:rsidRPr="007F0F14">
        <w:rPr>
          <w:rFonts w:ascii="Arial" w:hAnsi="Arial" w:cs="Arial"/>
          <w:sz w:val="22"/>
        </w:rPr>
        <w:t>. Results were obtained by aggregating predicted probabilities from 10x10 fold cross-validation and then assessing their calibration versus observed events.</w:t>
      </w:r>
      <w:bookmarkEnd w:id="1"/>
      <w:r w:rsidRPr="007F0F14">
        <w:rPr>
          <w:rFonts w:ascii="Arial" w:hAnsi="Arial" w:cs="Arial"/>
          <w:sz w:val="22"/>
        </w:rPr>
        <w:br w:type="page"/>
      </w:r>
    </w:p>
    <w:p w14:paraId="35322B2D" w14:textId="180FE386" w:rsidR="0017576E" w:rsidRDefault="00DA3FCB" w:rsidP="0017576E">
      <w:pPr>
        <w:spacing w:after="160" w:line="259" w:lineRule="auto"/>
        <w:contextualSpacing w:val="0"/>
        <w:rPr>
          <w:rFonts w:ascii="Arial" w:hAnsi="Arial" w:cs="Arial"/>
          <w:b/>
          <w:bCs/>
          <w:sz w:val="22"/>
        </w:rPr>
      </w:pPr>
      <w:r>
        <w:rPr>
          <w:rFonts w:ascii="Arial" w:hAnsi="Arial" w:cs="Arial"/>
          <w:b/>
          <w:bCs/>
          <w:sz w:val="22"/>
        </w:rPr>
        <w:lastRenderedPageBreak/>
        <w:t xml:space="preserve">Supplemental </w:t>
      </w:r>
      <w:r w:rsidR="0017576E" w:rsidRPr="005C1232">
        <w:rPr>
          <w:rFonts w:ascii="Arial" w:eastAsia="+mn-ea" w:hAnsi="Arial" w:cs="Arial"/>
          <w:b/>
          <w:color w:val="000000"/>
          <w:kern w:val="24"/>
          <w:sz w:val="22"/>
        </w:rPr>
        <w:t xml:space="preserve">Figure </w:t>
      </w:r>
      <w:r w:rsidR="00672C0F">
        <w:rPr>
          <w:rFonts w:ascii="Arial" w:eastAsia="+mn-ea" w:hAnsi="Arial" w:cs="Arial"/>
          <w:b/>
          <w:color w:val="000000"/>
          <w:kern w:val="24"/>
          <w:sz w:val="22"/>
        </w:rPr>
        <w:t>3</w:t>
      </w:r>
      <w:r w:rsidR="0017576E" w:rsidRPr="005C1232">
        <w:rPr>
          <w:rFonts w:ascii="Arial" w:eastAsia="+mn-ea" w:hAnsi="Arial" w:cs="Arial"/>
          <w:b/>
          <w:color w:val="000000"/>
          <w:kern w:val="24"/>
          <w:sz w:val="22"/>
        </w:rPr>
        <w:t>.</w:t>
      </w:r>
      <w:r w:rsidR="0017576E" w:rsidRPr="005C1232">
        <w:rPr>
          <w:rFonts w:ascii="Arial" w:eastAsia="+mn-ea" w:hAnsi="Arial" w:cs="Arial"/>
          <w:color w:val="000000"/>
          <w:kern w:val="24"/>
          <w:sz w:val="22"/>
        </w:rPr>
        <w:t xml:space="preserve"> </w:t>
      </w:r>
      <w:r w:rsidR="0017576E" w:rsidRPr="0017576E">
        <w:rPr>
          <w:rFonts w:ascii="Arial" w:hAnsi="Arial" w:cs="Arial"/>
          <w:sz w:val="22"/>
        </w:rPr>
        <w:t>Calibration of the ACC/AHA Pooled Cohort Equations in the CRIC Study</w:t>
      </w:r>
    </w:p>
    <w:p w14:paraId="60AF21E8" w14:textId="4A3B2820" w:rsidR="0017576E" w:rsidRDefault="00672C2F" w:rsidP="0017576E">
      <w:pPr>
        <w:spacing w:after="160" w:line="259" w:lineRule="auto"/>
        <w:contextualSpacing w:val="0"/>
        <w:jc w:val="center"/>
        <w:rPr>
          <w:rFonts w:ascii="Arial" w:hAnsi="Arial" w:cs="Arial"/>
          <w:b/>
          <w:bCs/>
          <w:sz w:val="22"/>
        </w:rPr>
      </w:pPr>
      <w:r>
        <w:rPr>
          <w:rFonts w:ascii="Arial" w:hAnsi="Arial" w:cs="Arial"/>
          <w:b/>
          <w:bCs/>
          <w:sz w:val="22"/>
        </w:rPr>
        <w:object w:dxaOrig="10539" w:dyaOrig="5762" w14:anchorId="0823FBA8">
          <v:shape id="_x0000_i1027" type="#_x0000_t75" style="width:662.25pt;height:5in" o:ole="">
            <v:imagedata r:id="rId12" o:title=""/>
          </v:shape>
          <o:OLEObject Type="Embed" ProgID="PowerPoint.Show.12" ShapeID="_x0000_i1027" DrawAspect="Content" ObjectID="_1700645420" r:id="rId13"/>
        </w:object>
      </w:r>
    </w:p>
    <w:p w14:paraId="5F0AFCDA" w14:textId="77777777" w:rsidR="00672C2F" w:rsidRDefault="0017576E" w:rsidP="0017576E">
      <w:pPr>
        <w:spacing w:after="160" w:line="259" w:lineRule="auto"/>
        <w:contextualSpacing w:val="0"/>
        <w:rPr>
          <w:rFonts w:ascii="Arial" w:hAnsi="Arial" w:cs="Arial"/>
          <w:sz w:val="22"/>
        </w:rPr>
      </w:pPr>
      <w:r w:rsidRPr="0017576E">
        <w:rPr>
          <w:rFonts w:ascii="Arial" w:hAnsi="Arial" w:cs="Arial"/>
          <w:sz w:val="22"/>
        </w:rPr>
        <w:t>Observed probability was estimated using the cumulative incidence function accounting for the competing risk of death.</w:t>
      </w:r>
      <w:r>
        <w:rPr>
          <w:rFonts w:ascii="Arial" w:hAnsi="Arial" w:cs="Arial"/>
          <w:sz w:val="22"/>
        </w:rPr>
        <w:t xml:space="preserve"> </w:t>
      </w:r>
      <w:r w:rsidRPr="0017576E">
        <w:rPr>
          <w:rFonts w:ascii="Arial" w:hAnsi="Arial" w:cs="Arial"/>
          <w:sz w:val="22"/>
        </w:rPr>
        <w:t>Abbreviations: ACC/AHA PCEs = American College of Cardiology/American Heart Association Pooled Cohort Equations; CRIC = Chronic Renal Insufficiency Cohort Study</w:t>
      </w:r>
    </w:p>
    <w:p w14:paraId="010BFDE1" w14:textId="77777777" w:rsidR="00672C2F" w:rsidRDefault="00672C2F">
      <w:pPr>
        <w:spacing w:after="160" w:line="259" w:lineRule="auto"/>
        <w:contextualSpacing w:val="0"/>
        <w:rPr>
          <w:rFonts w:ascii="Arial" w:hAnsi="Arial" w:cs="Arial"/>
          <w:sz w:val="22"/>
        </w:rPr>
      </w:pPr>
      <w:r>
        <w:rPr>
          <w:rFonts w:ascii="Arial" w:hAnsi="Arial" w:cs="Arial"/>
          <w:sz w:val="22"/>
        </w:rPr>
        <w:br w:type="page"/>
      </w:r>
    </w:p>
    <w:p w14:paraId="1E74A335" w14:textId="3341CC0F" w:rsidR="00B57846" w:rsidRDefault="00B57846" w:rsidP="00B57846">
      <w:pPr>
        <w:spacing w:after="160" w:line="259" w:lineRule="auto"/>
        <w:contextualSpacing w:val="0"/>
        <w:rPr>
          <w:rFonts w:ascii="Arial" w:hAnsi="Arial" w:cs="Arial"/>
          <w:b/>
          <w:bCs/>
          <w:sz w:val="22"/>
        </w:rPr>
      </w:pPr>
      <w:r>
        <w:rPr>
          <w:rFonts w:ascii="Arial" w:hAnsi="Arial" w:cs="Arial"/>
          <w:b/>
          <w:bCs/>
          <w:sz w:val="22"/>
        </w:rPr>
        <w:lastRenderedPageBreak/>
        <w:t xml:space="preserve">Supplemental </w:t>
      </w:r>
      <w:r w:rsidRPr="005C1232">
        <w:rPr>
          <w:rFonts w:ascii="Arial" w:eastAsia="+mn-ea" w:hAnsi="Arial" w:cs="Arial"/>
          <w:b/>
          <w:color w:val="000000"/>
          <w:kern w:val="24"/>
          <w:sz w:val="22"/>
        </w:rPr>
        <w:t xml:space="preserve">Figure </w:t>
      </w:r>
      <w:r>
        <w:rPr>
          <w:rFonts w:ascii="Arial" w:eastAsia="+mn-ea" w:hAnsi="Arial" w:cs="Arial"/>
          <w:b/>
          <w:color w:val="000000"/>
          <w:kern w:val="24"/>
          <w:sz w:val="22"/>
        </w:rPr>
        <w:t>4</w:t>
      </w:r>
      <w:r w:rsidRPr="005C1232">
        <w:rPr>
          <w:rFonts w:ascii="Arial" w:eastAsia="+mn-ea" w:hAnsi="Arial" w:cs="Arial"/>
          <w:b/>
          <w:color w:val="000000"/>
          <w:kern w:val="24"/>
          <w:sz w:val="22"/>
        </w:rPr>
        <w:t>.</w:t>
      </w:r>
      <w:r w:rsidRPr="005C1232">
        <w:rPr>
          <w:rFonts w:ascii="Arial" w:eastAsia="+mn-ea" w:hAnsi="Arial" w:cs="Arial"/>
          <w:color w:val="000000"/>
          <w:kern w:val="24"/>
          <w:sz w:val="22"/>
        </w:rPr>
        <w:t xml:space="preserve"> </w:t>
      </w:r>
      <w:r w:rsidRPr="00B57846">
        <w:rPr>
          <w:rFonts w:ascii="Arial" w:hAnsi="Arial" w:cs="Arial"/>
          <w:sz w:val="22"/>
        </w:rPr>
        <w:t>Prediction Performance of the CKD Patch in the CRIC Study</w:t>
      </w:r>
    </w:p>
    <w:p w14:paraId="7BA5E983" w14:textId="22F99A64" w:rsidR="00B57846" w:rsidRDefault="00165260" w:rsidP="00B57846">
      <w:pPr>
        <w:spacing w:after="160" w:line="259" w:lineRule="auto"/>
        <w:contextualSpacing w:val="0"/>
        <w:jc w:val="center"/>
        <w:rPr>
          <w:rFonts w:ascii="Arial" w:hAnsi="Arial" w:cs="Arial"/>
          <w:b/>
          <w:bCs/>
          <w:sz w:val="22"/>
        </w:rPr>
      </w:pPr>
      <w:r>
        <w:rPr>
          <w:rFonts w:ascii="Arial" w:hAnsi="Arial" w:cs="Arial"/>
          <w:b/>
          <w:bCs/>
          <w:sz w:val="22"/>
        </w:rPr>
        <w:object w:dxaOrig="7186" w:dyaOrig="5402" w14:anchorId="60EA5F90">
          <v:shape id="_x0000_i1028" type="#_x0000_t75" style="width:511.5pt;height:381.75pt" o:ole="">
            <v:imagedata r:id="rId14" o:title=""/>
          </v:shape>
          <o:OLEObject Type="Embed" ProgID="PowerPoint.Show.12" ShapeID="_x0000_i1028" DrawAspect="Content" ObjectID="_1700645421" r:id="rId15"/>
        </w:object>
      </w:r>
    </w:p>
    <w:p w14:paraId="7299B089" w14:textId="1EF7A440" w:rsidR="00B57846" w:rsidRDefault="0050443E" w:rsidP="00B57846">
      <w:pPr>
        <w:spacing w:after="160" w:line="259" w:lineRule="auto"/>
        <w:contextualSpacing w:val="0"/>
        <w:rPr>
          <w:rFonts w:ascii="Arial" w:hAnsi="Arial" w:cs="Arial"/>
          <w:b/>
          <w:bCs/>
          <w:sz w:val="22"/>
        </w:rPr>
      </w:pPr>
      <w:r w:rsidRPr="0017576E">
        <w:rPr>
          <w:rFonts w:ascii="Arial" w:hAnsi="Arial" w:cs="Arial"/>
          <w:sz w:val="22"/>
        </w:rPr>
        <w:t>Observed probability was estimated using the cumulative incidence function accounting for the competing risk of death.</w:t>
      </w:r>
      <w:r>
        <w:rPr>
          <w:rFonts w:ascii="Arial" w:hAnsi="Arial" w:cs="Arial"/>
          <w:sz w:val="22"/>
        </w:rPr>
        <w:t xml:space="preserve"> </w:t>
      </w:r>
      <w:r w:rsidR="00A240CA">
        <w:rPr>
          <w:rFonts w:ascii="Arial" w:hAnsi="Arial" w:cs="Arial"/>
          <w:sz w:val="22"/>
        </w:rPr>
        <w:t>The CKD Patch was applied</w:t>
      </w:r>
      <w:r w:rsidR="005A31FF">
        <w:rPr>
          <w:rFonts w:ascii="Arial" w:hAnsi="Arial" w:cs="Arial"/>
          <w:sz w:val="22"/>
        </w:rPr>
        <w:t xml:space="preserve"> </w:t>
      </w:r>
      <w:r w:rsidR="00761CBD">
        <w:rPr>
          <w:rFonts w:ascii="Arial" w:hAnsi="Arial" w:cs="Arial"/>
          <w:sz w:val="22"/>
        </w:rPr>
        <w:t>as recommended (</w:t>
      </w:r>
      <w:r w:rsidR="00761CBD" w:rsidRPr="0050443E">
        <w:rPr>
          <w:rFonts w:ascii="Arial" w:hAnsi="Arial" w:cs="Arial"/>
          <w:sz w:val="22"/>
        </w:rPr>
        <w:t>Matsushita K,</w:t>
      </w:r>
      <w:r w:rsidR="00761CBD">
        <w:rPr>
          <w:rFonts w:ascii="Arial" w:hAnsi="Arial" w:cs="Arial"/>
          <w:sz w:val="22"/>
        </w:rPr>
        <w:t xml:space="preserve"> </w:t>
      </w:r>
      <w:r w:rsidR="00761CBD" w:rsidRPr="0050443E">
        <w:rPr>
          <w:rFonts w:ascii="Arial" w:hAnsi="Arial" w:cs="Arial"/>
          <w:sz w:val="22"/>
        </w:rPr>
        <w:t>et al. EClinicalMedicine. 2020 Oct;27:100552</w:t>
      </w:r>
      <w:r w:rsidR="00761CBD">
        <w:rPr>
          <w:rFonts w:ascii="Arial" w:hAnsi="Arial" w:cs="Arial"/>
          <w:sz w:val="22"/>
        </w:rPr>
        <w:t>)</w:t>
      </w:r>
      <w:r w:rsidR="00A240CA">
        <w:rPr>
          <w:rFonts w:ascii="Arial" w:hAnsi="Arial" w:cs="Arial"/>
          <w:sz w:val="22"/>
        </w:rPr>
        <w:t xml:space="preserve">: </w:t>
      </w:r>
      <w:r w:rsidR="005A31FF">
        <w:rPr>
          <w:rFonts w:ascii="Arial" w:hAnsi="Arial" w:cs="Arial"/>
          <w:sz w:val="22"/>
        </w:rPr>
        <w:t>t</w:t>
      </w:r>
      <w:r w:rsidR="005A31FF" w:rsidRPr="005A31FF">
        <w:rPr>
          <w:rFonts w:ascii="Arial" w:hAnsi="Arial" w:cs="Arial"/>
          <w:bCs/>
          <w:sz w:val="22"/>
        </w:rPr>
        <w:t>he ACC/AHA PCEs were recalibrated to the CRIC Study sample</w:t>
      </w:r>
      <w:r w:rsidR="005A31FF">
        <w:rPr>
          <w:rFonts w:ascii="Arial" w:hAnsi="Arial" w:cs="Arial"/>
          <w:bCs/>
          <w:sz w:val="22"/>
        </w:rPr>
        <w:t xml:space="preserve"> </w:t>
      </w:r>
      <w:r w:rsidR="005A31FF" w:rsidRPr="005A31FF">
        <w:rPr>
          <w:rFonts w:ascii="Arial" w:hAnsi="Arial" w:cs="Arial"/>
          <w:bCs/>
          <w:sz w:val="22"/>
        </w:rPr>
        <w:t>by fitting a new Cox model with the log-transformed PCEs predicted risk as the only independent variable (Steyerberg EW. Clinical Prediction Models. New York: Springer, 2019). Then, the published CKD Patch equations were applied to the recalibrated PCEs, with expected estimated glomerular filtration rate and urinary albumin-to-creatinine ratio centered at CRIC Study-specific averages.</w:t>
      </w:r>
      <w:r>
        <w:rPr>
          <w:rFonts w:ascii="Arial" w:hAnsi="Arial" w:cs="Arial"/>
          <w:sz w:val="22"/>
        </w:rPr>
        <w:t xml:space="preserve"> </w:t>
      </w:r>
      <w:r w:rsidR="00B57846" w:rsidRPr="0017576E">
        <w:rPr>
          <w:rFonts w:ascii="Arial" w:hAnsi="Arial" w:cs="Arial"/>
          <w:sz w:val="22"/>
        </w:rPr>
        <w:t xml:space="preserve">Abbreviations: ACC/AHA PCEs = American College of Cardiology/American Heart Association Pooled Cohort Equations; </w:t>
      </w:r>
      <w:r w:rsidR="00B57846">
        <w:rPr>
          <w:rFonts w:ascii="Arial" w:hAnsi="Arial" w:cs="Arial"/>
          <w:sz w:val="22"/>
        </w:rPr>
        <w:t xml:space="preserve">AUC = area under the ROC curve; CKD = chronic kidney disease; </w:t>
      </w:r>
      <w:r w:rsidR="00B57846" w:rsidRPr="0017576E">
        <w:rPr>
          <w:rFonts w:ascii="Arial" w:hAnsi="Arial" w:cs="Arial"/>
          <w:sz w:val="22"/>
        </w:rPr>
        <w:t>CRIC = Chronic Renal Insufficiency Cohort Study</w:t>
      </w:r>
      <w:r w:rsidR="00B57846">
        <w:rPr>
          <w:rFonts w:ascii="Arial" w:hAnsi="Arial" w:cs="Arial"/>
          <w:sz w:val="22"/>
        </w:rPr>
        <w:t>; IPA = index of prediction accuracy</w:t>
      </w:r>
      <w:r w:rsidR="00B57846">
        <w:rPr>
          <w:rFonts w:ascii="Arial" w:hAnsi="Arial" w:cs="Arial"/>
          <w:b/>
          <w:bCs/>
          <w:sz w:val="22"/>
        </w:rPr>
        <w:br w:type="page"/>
      </w:r>
    </w:p>
    <w:p w14:paraId="0F45C6A7" w14:textId="5CA4B881" w:rsidR="00E33D20" w:rsidRDefault="00E33D20" w:rsidP="00E33D20">
      <w:pPr>
        <w:spacing w:after="160" w:line="259" w:lineRule="auto"/>
        <w:contextualSpacing w:val="0"/>
        <w:rPr>
          <w:rFonts w:ascii="Arial" w:hAnsi="Arial" w:cs="Arial"/>
          <w:b/>
          <w:bCs/>
          <w:sz w:val="22"/>
        </w:rPr>
      </w:pPr>
      <w:r>
        <w:rPr>
          <w:rFonts w:ascii="Arial" w:hAnsi="Arial" w:cs="Arial"/>
          <w:b/>
          <w:bCs/>
          <w:sz w:val="22"/>
        </w:rPr>
        <w:lastRenderedPageBreak/>
        <w:t xml:space="preserve">Supplemental </w:t>
      </w:r>
      <w:r w:rsidRPr="005C1232">
        <w:rPr>
          <w:rFonts w:ascii="Arial" w:eastAsia="+mn-ea" w:hAnsi="Arial" w:cs="Arial"/>
          <w:b/>
          <w:color w:val="000000"/>
          <w:kern w:val="24"/>
          <w:sz w:val="22"/>
        </w:rPr>
        <w:t xml:space="preserve">Figure </w:t>
      </w:r>
      <w:r w:rsidR="00B57846">
        <w:rPr>
          <w:rFonts w:ascii="Arial" w:eastAsia="+mn-ea" w:hAnsi="Arial" w:cs="Arial"/>
          <w:b/>
          <w:color w:val="000000"/>
          <w:kern w:val="24"/>
          <w:sz w:val="22"/>
        </w:rPr>
        <w:t>5</w:t>
      </w:r>
      <w:r w:rsidRPr="005C1232">
        <w:rPr>
          <w:rFonts w:ascii="Arial" w:eastAsia="+mn-ea" w:hAnsi="Arial" w:cs="Arial"/>
          <w:b/>
          <w:color w:val="000000"/>
          <w:kern w:val="24"/>
          <w:sz w:val="22"/>
        </w:rPr>
        <w:t>.</w:t>
      </w:r>
      <w:r w:rsidRPr="005C1232">
        <w:rPr>
          <w:rFonts w:ascii="Arial" w:eastAsia="+mn-ea" w:hAnsi="Arial" w:cs="Arial"/>
          <w:color w:val="000000"/>
          <w:kern w:val="24"/>
          <w:sz w:val="22"/>
        </w:rPr>
        <w:t xml:space="preserve"> </w:t>
      </w:r>
      <w:r>
        <w:rPr>
          <w:rFonts w:ascii="Arial" w:hAnsi="Arial" w:cs="Arial"/>
          <w:sz w:val="22"/>
        </w:rPr>
        <w:t>Prediction Performance of Novel CRIC Study Models by CKD Stage</w:t>
      </w:r>
    </w:p>
    <w:p w14:paraId="3818D5C4" w14:textId="2092D634" w:rsidR="00672C2F" w:rsidRDefault="00165260" w:rsidP="00E33D20">
      <w:pPr>
        <w:spacing w:after="160" w:line="259" w:lineRule="auto"/>
        <w:contextualSpacing w:val="0"/>
        <w:jc w:val="center"/>
        <w:rPr>
          <w:rFonts w:ascii="Arial" w:hAnsi="Arial" w:cs="Arial"/>
          <w:b/>
          <w:bCs/>
          <w:sz w:val="22"/>
        </w:rPr>
      </w:pPr>
      <w:r>
        <w:rPr>
          <w:rFonts w:ascii="Arial" w:hAnsi="Arial" w:cs="Arial"/>
          <w:b/>
          <w:bCs/>
          <w:sz w:val="22"/>
        </w:rPr>
        <w:object w:dxaOrig="7140" w:dyaOrig="5368" w14:anchorId="0E67FE3D">
          <v:shape id="_x0000_i1029" type="#_x0000_t75" style="width:583.5pt;height:438.75pt" o:ole="">
            <v:imagedata r:id="rId16" o:title=""/>
          </v:shape>
          <o:OLEObject Type="Embed" ProgID="PowerPoint.Show.12" ShapeID="_x0000_i1029" DrawAspect="Content" ObjectID="_1700645422" r:id="rId17"/>
        </w:object>
      </w:r>
    </w:p>
    <w:p w14:paraId="1C36DE02" w14:textId="22DAE9D3" w:rsidR="0017576E" w:rsidRDefault="00E33D20" w:rsidP="0017576E">
      <w:pPr>
        <w:spacing w:after="160" w:line="259" w:lineRule="auto"/>
        <w:contextualSpacing w:val="0"/>
        <w:rPr>
          <w:rFonts w:ascii="Arial" w:hAnsi="Arial" w:cs="Arial"/>
          <w:b/>
          <w:bCs/>
          <w:sz w:val="22"/>
        </w:rPr>
      </w:pPr>
      <w:r w:rsidRPr="0017576E">
        <w:rPr>
          <w:rFonts w:ascii="Arial" w:hAnsi="Arial" w:cs="Arial"/>
          <w:sz w:val="22"/>
        </w:rPr>
        <w:t>Observed probability was estimated using the cumulative incidence function accounting for the competing risk of death.</w:t>
      </w:r>
      <w:r>
        <w:rPr>
          <w:rFonts w:ascii="Arial" w:hAnsi="Arial" w:cs="Arial"/>
          <w:sz w:val="22"/>
        </w:rPr>
        <w:t xml:space="preserve"> </w:t>
      </w:r>
      <w:r w:rsidRPr="0017576E">
        <w:rPr>
          <w:rFonts w:ascii="Arial" w:hAnsi="Arial" w:cs="Arial"/>
          <w:sz w:val="22"/>
        </w:rPr>
        <w:t xml:space="preserve">Abbreviations: ACC/AHA PCEs = American College of Cardiology/American Heart Association Pooled Cohort Equations; </w:t>
      </w:r>
      <w:r>
        <w:rPr>
          <w:rFonts w:ascii="Arial" w:hAnsi="Arial" w:cs="Arial"/>
          <w:sz w:val="22"/>
        </w:rPr>
        <w:t xml:space="preserve">AUC = area under the ROC curve; CKD = chronic kidney disease; </w:t>
      </w:r>
      <w:r w:rsidRPr="0017576E">
        <w:rPr>
          <w:rFonts w:ascii="Arial" w:hAnsi="Arial" w:cs="Arial"/>
          <w:sz w:val="22"/>
        </w:rPr>
        <w:t>CRIC = Chronic Renal Insufficiency Cohort Study</w:t>
      </w:r>
      <w:r>
        <w:rPr>
          <w:rFonts w:ascii="Arial" w:hAnsi="Arial" w:cs="Arial"/>
          <w:sz w:val="22"/>
        </w:rPr>
        <w:t>; IPA = index of prediction accuracy</w:t>
      </w:r>
      <w:r w:rsidR="0017576E">
        <w:rPr>
          <w:rFonts w:ascii="Arial" w:hAnsi="Arial" w:cs="Arial"/>
          <w:b/>
          <w:bCs/>
          <w:sz w:val="22"/>
        </w:rPr>
        <w:br w:type="page"/>
      </w:r>
    </w:p>
    <w:p w14:paraId="5BA28217" w14:textId="36472653" w:rsidR="008B7E80" w:rsidRDefault="008B7E80">
      <w:pPr>
        <w:spacing w:after="160" w:line="259" w:lineRule="auto"/>
        <w:contextualSpacing w:val="0"/>
        <w:rPr>
          <w:rFonts w:ascii="Arial" w:hAnsi="Arial" w:cs="Arial"/>
          <w:b/>
          <w:bCs/>
          <w:sz w:val="22"/>
        </w:rPr>
      </w:pPr>
      <w:bookmarkStart w:id="2" w:name="_Hlk70412976"/>
      <w:r>
        <w:rPr>
          <w:rFonts w:ascii="Arial" w:hAnsi="Arial" w:cs="Arial"/>
          <w:b/>
          <w:bCs/>
          <w:sz w:val="22"/>
        </w:rPr>
        <w:lastRenderedPageBreak/>
        <w:t xml:space="preserve">Supplemental </w:t>
      </w:r>
      <w:r w:rsidRPr="005C1232">
        <w:rPr>
          <w:rFonts w:ascii="Arial" w:eastAsia="+mn-ea" w:hAnsi="Arial" w:cs="Arial"/>
          <w:b/>
          <w:color w:val="000000"/>
          <w:kern w:val="24"/>
          <w:sz w:val="22"/>
        </w:rPr>
        <w:t xml:space="preserve">Figure </w:t>
      </w:r>
      <w:r w:rsidR="00B57846">
        <w:rPr>
          <w:rFonts w:ascii="Arial" w:eastAsia="+mn-ea" w:hAnsi="Arial" w:cs="Arial"/>
          <w:b/>
          <w:color w:val="000000"/>
          <w:kern w:val="24"/>
          <w:sz w:val="22"/>
        </w:rPr>
        <w:t>6</w:t>
      </w:r>
      <w:r w:rsidRPr="005C1232">
        <w:rPr>
          <w:rFonts w:ascii="Arial" w:eastAsia="+mn-ea" w:hAnsi="Arial" w:cs="Arial"/>
          <w:b/>
          <w:color w:val="000000"/>
          <w:kern w:val="24"/>
          <w:sz w:val="22"/>
        </w:rPr>
        <w:t>.</w:t>
      </w:r>
      <w:r w:rsidRPr="005C1232">
        <w:rPr>
          <w:rFonts w:ascii="Arial" w:eastAsia="+mn-ea" w:hAnsi="Arial" w:cs="Arial"/>
          <w:color w:val="000000"/>
          <w:kern w:val="24"/>
          <w:sz w:val="22"/>
        </w:rPr>
        <w:t xml:space="preserve"> </w:t>
      </w:r>
      <w:r>
        <w:rPr>
          <w:rFonts w:ascii="Arial" w:hAnsi="Arial" w:cs="Arial"/>
          <w:sz w:val="22"/>
        </w:rPr>
        <w:t>Prediction Performance of Novel CRIC Study Models in External Validation Data</w:t>
      </w:r>
    </w:p>
    <w:p w14:paraId="464CF8AA" w14:textId="0BACFD27" w:rsidR="008B7E80" w:rsidRDefault="009723AA" w:rsidP="00612749">
      <w:pPr>
        <w:spacing w:after="160" w:line="259" w:lineRule="auto"/>
        <w:contextualSpacing w:val="0"/>
        <w:jc w:val="center"/>
        <w:rPr>
          <w:rFonts w:ascii="Arial" w:hAnsi="Arial" w:cs="Arial"/>
          <w:b/>
          <w:bCs/>
          <w:sz w:val="22"/>
        </w:rPr>
      </w:pPr>
      <w:r>
        <w:rPr>
          <w:rFonts w:ascii="Arial" w:hAnsi="Arial" w:cs="Arial"/>
          <w:b/>
          <w:bCs/>
          <w:sz w:val="22"/>
        </w:rPr>
        <w:object w:dxaOrig="7186" w:dyaOrig="5402" w14:anchorId="4326876B">
          <v:shape id="_x0000_i1030" type="#_x0000_t75" style="width:532.5pt;height:403.5pt" o:ole="">
            <v:imagedata r:id="rId18" o:title=""/>
          </v:shape>
          <o:OLEObject Type="Embed" ProgID="PowerPoint.Show.12" ShapeID="_x0000_i1030" DrawAspect="Content" ObjectID="_1700645423" r:id="rId19"/>
        </w:object>
      </w:r>
    </w:p>
    <w:p w14:paraId="0514B634" w14:textId="17F7941D" w:rsidR="008B7E80" w:rsidRDefault="008B7E80">
      <w:pPr>
        <w:spacing w:after="160" w:line="259" w:lineRule="auto"/>
        <w:contextualSpacing w:val="0"/>
        <w:rPr>
          <w:rFonts w:ascii="Arial" w:hAnsi="Arial" w:cs="Arial"/>
          <w:b/>
          <w:bCs/>
          <w:sz w:val="22"/>
        </w:rPr>
      </w:pPr>
      <w:r w:rsidRPr="0017576E">
        <w:rPr>
          <w:rFonts w:ascii="Arial" w:hAnsi="Arial" w:cs="Arial"/>
          <w:sz w:val="22"/>
        </w:rPr>
        <w:t>Observed probability was estimated using the cumulative incidence function accounting for the competing risk of death.</w:t>
      </w:r>
      <w:r>
        <w:rPr>
          <w:rFonts w:ascii="Arial" w:hAnsi="Arial" w:cs="Arial"/>
          <w:sz w:val="22"/>
        </w:rPr>
        <w:t xml:space="preserve"> </w:t>
      </w:r>
      <w:r w:rsidRPr="0017576E">
        <w:rPr>
          <w:rFonts w:ascii="Arial" w:hAnsi="Arial" w:cs="Arial"/>
          <w:sz w:val="22"/>
        </w:rPr>
        <w:t xml:space="preserve">Abbreviations: ACC/AHA PCEs = American College of Cardiology/American Heart Association Pooled Cohort Equations; </w:t>
      </w:r>
      <w:r w:rsidR="00D06DA6">
        <w:rPr>
          <w:rFonts w:ascii="Arial" w:hAnsi="Arial" w:cs="Arial"/>
          <w:sz w:val="22"/>
        </w:rPr>
        <w:t xml:space="preserve">ARIC, Atherosclerosis Risk in Communities Study; </w:t>
      </w:r>
      <w:r w:rsidR="00D06DA6" w:rsidRPr="006D1379">
        <w:rPr>
          <w:rFonts w:ascii="Arial" w:hAnsi="Arial" w:cs="Arial"/>
          <w:sz w:val="22"/>
        </w:rPr>
        <w:t>ASCVD</w:t>
      </w:r>
      <w:r w:rsidR="00D06DA6">
        <w:rPr>
          <w:rFonts w:ascii="Arial" w:hAnsi="Arial" w:cs="Arial"/>
          <w:sz w:val="22"/>
        </w:rPr>
        <w:t xml:space="preserve">, </w:t>
      </w:r>
      <w:r w:rsidR="00D06DA6" w:rsidRPr="006D1379">
        <w:rPr>
          <w:rFonts w:ascii="Arial" w:hAnsi="Arial" w:cs="Arial"/>
          <w:sz w:val="22"/>
        </w:rPr>
        <w:t xml:space="preserve">atherosclerotic cardiovascular disease; </w:t>
      </w:r>
      <w:r>
        <w:rPr>
          <w:rFonts w:ascii="Arial" w:hAnsi="Arial" w:cs="Arial"/>
          <w:sz w:val="22"/>
        </w:rPr>
        <w:t xml:space="preserve">AUC = area under the ROC curve; CKD = chronic kidney disease; </w:t>
      </w:r>
      <w:r w:rsidRPr="0017576E">
        <w:rPr>
          <w:rFonts w:ascii="Arial" w:hAnsi="Arial" w:cs="Arial"/>
          <w:sz w:val="22"/>
        </w:rPr>
        <w:t>CRIC = Chronic Renal Insufficiency Cohort Study</w:t>
      </w:r>
      <w:r>
        <w:rPr>
          <w:rFonts w:ascii="Arial" w:hAnsi="Arial" w:cs="Arial"/>
          <w:sz w:val="22"/>
        </w:rPr>
        <w:t>; IPA = index of prediction accuracy</w:t>
      </w:r>
      <w:r w:rsidR="00D06DA6">
        <w:rPr>
          <w:rFonts w:ascii="Arial" w:hAnsi="Arial" w:cs="Arial"/>
          <w:sz w:val="22"/>
        </w:rPr>
        <w:t>; MESA, Multi-Ethnic Study of Atherosclerosis</w:t>
      </w:r>
      <w:r>
        <w:rPr>
          <w:rFonts w:ascii="Arial" w:hAnsi="Arial" w:cs="Arial"/>
          <w:b/>
          <w:bCs/>
          <w:sz w:val="22"/>
        </w:rPr>
        <w:br w:type="page"/>
      </w:r>
    </w:p>
    <w:p w14:paraId="3B68E2FE" w14:textId="1F185F82" w:rsidR="00F65F74" w:rsidRPr="005C1232" w:rsidRDefault="00DA3FCB" w:rsidP="00F65F74">
      <w:pPr>
        <w:spacing w:after="80"/>
        <w:contextualSpacing w:val="0"/>
        <w:rPr>
          <w:rFonts w:ascii="Arial" w:hAnsi="Arial" w:cs="Arial"/>
          <w:sz w:val="22"/>
        </w:rPr>
      </w:pPr>
      <w:r>
        <w:rPr>
          <w:rFonts w:ascii="Arial" w:hAnsi="Arial" w:cs="Arial"/>
          <w:b/>
          <w:bCs/>
          <w:sz w:val="22"/>
        </w:rPr>
        <w:lastRenderedPageBreak/>
        <w:t xml:space="preserve">Supplemental </w:t>
      </w:r>
      <w:r w:rsidR="00F65F74" w:rsidRPr="004C71CE">
        <w:rPr>
          <w:rFonts w:ascii="Arial" w:hAnsi="Arial" w:cs="Arial"/>
          <w:b/>
          <w:bCs/>
          <w:sz w:val="22"/>
        </w:rPr>
        <w:t xml:space="preserve">Table </w:t>
      </w:r>
      <w:r w:rsidR="00F65F74">
        <w:rPr>
          <w:rFonts w:ascii="Arial" w:hAnsi="Arial" w:cs="Arial"/>
          <w:b/>
          <w:bCs/>
          <w:sz w:val="22"/>
        </w:rPr>
        <w:t>1</w:t>
      </w:r>
      <w:r w:rsidR="00F65F74" w:rsidRPr="004C71CE">
        <w:rPr>
          <w:rFonts w:ascii="Arial" w:hAnsi="Arial" w:cs="Arial"/>
          <w:sz w:val="22"/>
        </w:rPr>
        <w:t xml:space="preserve">. </w:t>
      </w:r>
      <w:r w:rsidR="00F65F74">
        <w:rPr>
          <w:rFonts w:ascii="Arial" w:hAnsi="Arial" w:cs="Arial"/>
          <w:sz w:val="22"/>
        </w:rPr>
        <w:t>Discrimination and Index of Prediction Accuracy for 10-year Risk Prediction of Atherosclerotic Cardiovascular Disease</w:t>
      </w:r>
    </w:p>
    <w:tbl>
      <w:tblPr>
        <w:tblStyle w:val="TableGrid"/>
        <w:tblW w:w="5000" w:type="pct"/>
        <w:tblLook w:val="04A0" w:firstRow="1" w:lastRow="0" w:firstColumn="1" w:lastColumn="0" w:noHBand="0" w:noVBand="1"/>
      </w:tblPr>
      <w:tblGrid>
        <w:gridCol w:w="4398"/>
        <w:gridCol w:w="2458"/>
        <w:gridCol w:w="2538"/>
        <w:gridCol w:w="2458"/>
        <w:gridCol w:w="2538"/>
      </w:tblGrid>
      <w:tr w:rsidR="001830C3" w:rsidRPr="009977EE" w14:paraId="42DCF2AD" w14:textId="77777777" w:rsidTr="00DD43EC">
        <w:trPr>
          <w:trHeight w:val="217"/>
        </w:trPr>
        <w:tc>
          <w:tcPr>
            <w:tcW w:w="1528" w:type="pct"/>
            <w:vMerge w:val="restart"/>
            <w:vAlign w:val="center"/>
          </w:tcPr>
          <w:p w14:paraId="4D1632AB" w14:textId="77777777" w:rsidR="001830C3" w:rsidRPr="009977EE" w:rsidRDefault="001830C3" w:rsidP="00DD43EC">
            <w:pPr>
              <w:spacing w:before="40" w:after="40"/>
              <w:rPr>
                <w:rFonts w:ascii="Arial" w:eastAsia="Calibri" w:hAnsi="Arial" w:cs="Arial"/>
                <w:sz w:val="22"/>
              </w:rPr>
            </w:pPr>
            <w:r w:rsidRPr="009977EE">
              <w:rPr>
                <w:rFonts w:ascii="Arial" w:eastAsia="Calibri" w:hAnsi="Arial" w:cs="Arial"/>
                <w:b/>
                <w:sz w:val="22"/>
              </w:rPr>
              <w:t>Candidate Variables and</w:t>
            </w:r>
            <w:r w:rsidRPr="009977EE">
              <w:rPr>
                <w:rFonts w:ascii="Arial" w:eastAsia="Calibri" w:hAnsi="Arial" w:cs="Arial"/>
                <w:b/>
                <w:sz w:val="22"/>
              </w:rPr>
              <w:br/>
              <w:t>Selection Procedures</w:t>
            </w:r>
          </w:p>
        </w:tc>
        <w:tc>
          <w:tcPr>
            <w:tcW w:w="1736" w:type="pct"/>
            <w:gridSpan w:val="2"/>
          </w:tcPr>
          <w:p w14:paraId="67A29EB7" w14:textId="77777777" w:rsidR="001830C3" w:rsidRPr="009977EE" w:rsidRDefault="001830C3" w:rsidP="00DD43EC">
            <w:pPr>
              <w:spacing w:before="40" w:after="40"/>
              <w:contextualSpacing w:val="0"/>
              <w:jc w:val="center"/>
              <w:rPr>
                <w:rFonts w:ascii="Arial" w:eastAsia="Calibri" w:hAnsi="Arial" w:cs="Arial"/>
                <w:b/>
                <w:sz w:val="22"/>
              </w:rPr>
            </w:pPr>
            <w:r w:rsidRPr="009977EE">
              <w:rPr>
                <w:rFonts w:ascii="Arial" w:eastAsia="Calibri" w:hAnsi="Arial" w:cs="Arial"/>
                <w:b/>
                <w:sz w:val="22"/>
              </w:rPr>
              <w:t>Cox Proportional</w:t>
            </w:r>
            <w:r w:rsidRPr="009977EE">
              <w:rPr>
                <w:rFonts w:ascii="Arial" w:eastAsia="Calibri" w:hAnsi="Arial" w:cs="Arial"/>
                <w:b/>
                <w:sz w:val="22"/>
              </w:rPr>
              <w:br/>
              <w:t>Hazards Regression</w:t>
            </w:r>
          </w:p>
        </w:tc>
        <w:tc>
          <w:tcPr>
            <w:tcW w:w="1736" w:type="pct"/>
            <w:gridSpan w:val="2"/>
          </w:tcPr>
          <w:p w14:paraId="64AFAF17" w14:textId="77777777" w:rsidR="001830C3" w:rsidRPr="009977EE" w:rsidRDefault="001830C3" w:rsidP="00DD43EC">
            <w:pPr>
              <w:spacing w:before="40" w:after="40"/>
              <w:contextualSpacing w:val="0"/>
              <w:jc w:val="center"/>
              <w:rPr>
                <w:rFonts w:ascii="Arial" w:eastAsia="Calibri" w:hAnsi="Arial" w:cs="Arial"/>
                <w:b/>
                <w:sz w:val="22"/>
              </w:rPr>
            </w:pPr>
            <w:r w:rsidRPr="009977EE">
              <w:rPr>
                <w:rFonts w:ascii="Arial" w:eastAsia="Calibri" w:hAnsi="Arial" w:cs="Arial"/>
                <w:b/>
                <w:sz w:val="22"/>
              </w:rPr>
              <w:t>Fine &amp; Gray Subdistribution</w:t>
            </w:r>
            <w:r w:rsidRPr="009977EE">
              <w:rPr>
                <w:rFonts w:ascii="Arial" w:eastAsia="Calibri" w:hAnsi="Arial" w:cs="Arial"/>
                <w:b/>
                <w:sz w:val="22"/>
              </w:rPr>
              <w:br/>
              <w:t>Hazards Model</w:t>
            </w:r>
          </w:p>
        </w:tc>
      </w:tr>
      <w:tr w:rsidR="001830C3" w:rsidRPr="009977EE" w14:paraId="76CA9C6F" w14:textId="77777777" w:rsidTr="00DD43EC">
        <w:trPr>
          <w:trHeight w:val="217"/>
        </w:trPr>
        <w:tc>
          <w:tcPr>
            <w:tcW w:w="1528" w:type="pct"/>
            <w:vMerge/>
            <w:vAlign w:val="center"/>
          </w:tcPr>
          <w:p w14:paraId="3156B136" w14:textId="77777777" w:rsidR="001830C3" w:rsidRPr="009977EE" w:rsidRDefault="001830C3" w:rsidP="00DD43EC">
            <w:pPr>
              <w:spacing w:before="40" w:after="40"/>
              <w:contextualSpacing w:val="0"/>
              <w:rPr>
                <w:rFonts w:ascii="Arial" w:eastAsia="Calibri" w:hAnsi="Arial" w:cs="Arial"/>
                <w:b/>
                <w:sz w:val="22"/>
              </w:rPr>
            </w:pPr>
          </w:p>
        </w:tc>
        <w:tc>
          <w:tcPr>
            <w:tcW w:w="854" w:type="pct"/>
            <w:vAlign w:val="center"/>
          </w:tcPr>
          <w:p w14:paraId="65D940B4" w14:textId="77777777" w:rsidR="001830C3" w:rsidRPr="009977EE" w:rsidRDefault="001830C3" w:rsidP="00DD43EC">
            <w:pPr>
              <w:spacing w:before="40" w:after="40"/>
              <w:contextualSpacing w:val="0"/>
              <w:jc w:val="center"/>
              <w:rPr>
                <w:rFonts w:ascii="Arial" w:eastAsia="Calibri" w:hAnsi="Arial" w:cs="Arial"/>
                <w:b/>
                <w:sz w:val="22"/>
              </w:rPr>
            </w:pPr>
            <w:r w:rsidRPr="009977EE">
              <w:rPr>
                <w:rFonts w:ascii="Arial" w:eastAsia="Calibri" w:hAnsi="Arial" w:cs="Arial"/>
                <w:b/>
                <w:sz w:val="22"/>
              </w:rPr>
              <w:t>AUC (95% CI) *</w:t>
            </w:r>
          </w:p>
        </w:tc>
        <w:tc>
          <w:tcPr>
            <w:tcW w:w="882" w:type="pct"/>
            <w:vAlign w:val="center"/>
          </w:tcPr>
          <w:p w14:paraId="5A941C4B" w14:textId="77777777" w:rsidR="001830C3" w:rsidRPr="009977EE" w:rsidRDefault="001830C3" w:rsidP="00DD43EC">
            <w:pPr>
              <w:spacing w:before="40" w:after="40"/>
              <w:contextualSpacing w:val="0"/>
              <w:jc w:val="center"/>
              <w:rPr>
                <w:rFonts w:ascii="Arial" w:eastAsia="Calibri" w:hAnsi="Arial" w:cs="Arial"/>
                <w:b/>
                <w:sz w:val="22"/>
              </w:rPr>
            </w:pPr>
            <w:r w:rsidRPr="009977EE">
              <w:rPr>
                <w:rFonts w:ascii="Arial" w:eastAsia="Calibri" w:hAnsi="Arial" w:cs="Arial"/>
                <w:b/>
                <w:sz w:val="22"/>
              </w:rPr>
              <w:t>IPA (95% CI) *</w:t>
            </w:r>
          </w:p>
        </w:tc>
        <w:tc>
          <w:tcPr>
            <w:tcW w:w="854" w:type="pct"/>
            <w:vAlign w:val="center"/>
          </w:tcPr>
          <w:p w14:paraId="7F0E6074" w14:textId="77777777" w:rsidR="001830C3" w:rsidRPr="009977EE" w:rsidRDefault="001830C3" w:rsidP="00DD43EC">
            <w:pPr>
              <w:spacing w:before="40" w:after="40"/>
              <w:contextualSpacing w:val="0"/>
              <w:jc w:val="center"/>
              <w:rPr>
                <w:rFonts w:ascii="Arial" w:eastAsia="Calibri" w:hAnsi="Arial" w:cs="Arial"/>
                <w:b/>
                <w:sz w:val="22"/>
              </w:rPr>
            </w:pPr>
            <w:r w:rsidRPr="009977EE">
              <w:rPr>
                <w:rFonts w:ascii="Arial" w:eastAsia="Calibri" w:hAnsi="Arial" w:cs="Arial"/>
                <w:b/>
                <w:sz w:val="22"/>
              </w:rPr>
              <w:t>AUC (95% CI) *</w:t>
            </w:r>
          </w:p>
        </w:tc>
        <w:tc>
          <w:tcPr>
            <w:tcW w:w="882" w:type="pct"/>
            <w:vAlign w:val="center"/>
          </w:tcPr>
          <w:p w14:paraId="659741F7" w14:textId="77777777" w:rsidR="001830C3" w:rsidRPr="009977EE" w:rsidRDefault="001830C3" w:rsidP="00DD43EC">
            <w:pPr>
              <w:spacing w:before="40" w:after="40"/>
              <w:contextualSpacing w:val="0"/>
              <w:jc w:val="center"/>
              <w:rPr>
                <w:rFonts w:ascii="Arial" w:eastAsia="Calibri" w:hAnsi="Arial" w:cs="Arial"/>
                <w:b/>
                <w:sz w:val="22"/>
              </w:rPr>
            </w:pPr>
            <w:r w:rsidRPr="009977EE">
              <w:rPr>
                <w:rFonts w:ascii="Arial" w:eastAsia="Calibri" w:hAnsi="Arial" w:cs="Arial"/>
                <w:b/>
                <w:sz w:val="22"/>
              </w:rPr>
              <w:t>IPA (95% CI) *</w:t>
            </w:r>
          </w:p>
        </w:tc>
      </w:tr>
      <w:tr w:rsidR="001830C3" w:rsidRPr="009977EE" w14:paraId="2CEE950F" w14:textId="77777777" w:rsidTr="00DD43EC">
        <w:trPr>
          <w:trHeight w:val="217"/>
        </w:trPr>
        <w:tc>
          <w:tcPr>
            <w:tcW w:w="1528" w:type="pct"/>
            <w:vAlign w:val="center"/>
          </w:tcPr>
          <w:p w14:paraId="55E04A41" w14:textId="77777777" w:rsidR="001830C3" w:rsidRPr="009977EE" w:rsidRDefault="001830C3" w:rsidP="00DD43EC">
            <w:pPr>
              <w:spacing w:before="40" w:after="40"/>
              <w:contextualSpacing w:val="0"/>
              <w:rPr>
                <w:rFonts w:ascii="Arial" w:eastAsia="Calibri" w:hAnsi="Arial" w:cs="Arial"/>
                <w:b/>
                <w:bCs/>
                <w:sz w:val="22"/>
              </w:rPr>
            </w:pPr>
            <w:r w:rsidRPr="009977EE">
              <w:rPr>
                <w:rFonts w:ascii="Arial" w:eastAsia="Calibri" w:hAnsi="Arial" w:cs="Arial"/>
                <w:b/>
                <w:bCs/>
                <w:sz w:val="22"/>
              </w:rPr>
              <w:t>ACC/AHA PCEs (CRIC Coefficients)</w:t>
            </w:r>
          </w:p>
        </w:tc>
        <w:tc>
          <w:tcPr>
            <w:tcW w:w="854" w:type="pct"/>
          </w:tcPr>
          <w:p w14:paraId="188D8A3D"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0.736 (0.649, 0.826)</w:t>
            </w:r>
          </w:p>
        </w:tc>
        <w:tc>
          <w:tcPr>
            <w:tcW w:w="882" w:type="pct"/>
          </w:tcPr>
          <w:p w14:paraId="08FD0BD9"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0.072 (-0.016, 0.137)</w:t>
            </w:r>
          </w:p>
        </w:tc>
        <w:tc>
          <w:tcPr>
            <w:tcW w:w="854" w:type="pct"/>
          </w:tcPr>
          <w:p w14:paraId="6EBC3475" w14:textId="77777777" w:rsidR="001830C3" w:rsidRPr="009977EE" w:rsidRDefault="001830C3" w:rsidP="00DD43EC">
            <w:pPr>
              <w:spacing w:before="40" w:after="40"/>
              <w:contextualSpacing w:val="0"/>
              <w:rPr>
                <w:rFonts w:ascii="Arial" w:hAnsi="Arial" w:cs="Arial"/>
                <w:color w:val="000000"/>
                <w:sz w:val="22"/>
              </w:rPr>
            </w:pPr>
            <w:r w:rsidRPr="009977EE">
              <w:rPr>
                <w:rFonts w:ascii="Arial" w:hAnsi="Arial" w:cs="Arial"/>
                <w:sz w:val="22"/>
              </w:rPr>
              <w:t>0.732 (0.635, 0.821)</w:t>
            </w:r>
          </w:p>
        </w:tc>
        <w:tc>
          <w:tcPr>
            <w:tcW w:w="882" w:type="pct"/>
          </w:tcPr>
          <w:p w14:paraId="45356849" w14:textId="77777777" w:rsidR="001830C3" w:rsidRPr="009977EE" w:rsidRDefault="001830C3" w:rsidP="00DD43EC">
            <w:pPr>
              <w:spacing w:before="40" w:after="40"/>
              <w:contextualSpacing w:val="0"/>
              <w:jc w:val="center"/>
              <w:rPr>
                <w:rFonts w:ascii="Arial" w:hAnsi="Arial" w:cs="Arial"/>
                <w:color w:val="000000"/>
                <w:sz w:val="22"/>
              </w:rPr>
            </w:pPr>
            <w:r w:rsidRPr="009977EE">
              <w:rPr>
                <w:rFonts w:ascii="Arial" w:hAnsi="Arial" w:cs="Arial"/>
                <w:sz w:val="22"/>
              </w:rPr>
              <w:t>0.060 (-0.003, 0.107)</w:t>
            </w:r>
          </w:p>
        </w:tc>
      </w:tr>
      <w:tr w:rsidR="001830C3" w:rsidRPr="009977EE" w14:paraId="0EC12FCC" w14:textId="77777777" w:rsidTr="00DD43EC">
        <w:trPr>
          <w:trHeight w:val="217"/>
        </w:trPr>
        <w:tc>
          <w:tcPr>
            <w:tcW w:w="1528" w:type="pct"/>
            <w:vAlign w:val="center"/>
          </w:tcPr>
          <w:p w14:paraId="57D92070" w14:textId="77777777" w:rsidR="001830C3" w:rsidRPr="009977EE" w:rsidRDefault="001830C3" w:rsidP="00DD43EC">
            <w:pPr>
              <w:spacing w:before="40" w:after="40"/>
              <w:contextualSpacing w:val="0"/>
              <w:rPr>
                <w:rFonts w:ascii="Arial" w:eastAsia="Calibri" w:hAnsi="Arial" w:cs="Arial"/>
                <w:b/>
                <w:bCs/>
                <w:sz w:val="22"/>
              </w:rPr>
            </w:pPr>
            <w:r w:rsidRPr="009977EE">
              <w:rPr>
                <w:rFonts w:ascii="Arial" w:eastAsia="Calibri" w:hAnsi="Arial" w:cs="Arial"/>
                <w:b/>
                <w:bCs/>
                <w:sz w:val="22"/>
              </w:rPr>
              <w:t>Traditional Candidate Variables</w:t>
            </w:r>
          </w:p>
        </w:tc>
        <w:tc>
          <w:tcPr>
            <w:tcW w:w="854" w:type="pct"/>
            <w:vAlign w:val="center"/>
          </w:tcPr>
          <w:p w14:paraId="3FBE472C" w14:textId="77777777" w:rsidR="001830C3" w:rsidRPr="009977EE" w:rsidRDefault="001830C3" w:rsidP="00DD43EC">
            <w:pPr>
              <w:spacing w:before="40" w:after="40"/>
              <w:contextualSpacing w:val="0"/>
              <w:jc w:val="center"/>
              <w:rPr>
                <w:rFonts w:ascii="Arial" w:hAnsi="Arial" w:cs="Arial"/>
                <w:sz w:val="22"/>
              </w:rPr>
            </w:pPr>
          </w:p>
        </w:tc>
        <w:tc>
          <w:tcPr>
            <w:tcW w:w="882" w:type="pct"/>
            <w:vAlign w:val="center"/>
          </w:tcPr>
          <w:p w14:paraId="01BD3EB3" w14:textId="77777777" w:rsidR="001830C3" w:rsidRPr="009977EE" w:rsidRDefault="001830C3" w:rsidP="00DD43EC">
            <w:pPr>
              <w:spacing w:before="40" w:after="40"/>
              <w:contextualSpacing w:val="0"/>
              <w:jc w:val="center"/>
              <w:rPr>
                <w:rFonts w:ascii="Arial" w:hAnsi="Arial" w:cs="Arial"/>
                <w:sz w:val="22"/>
              </w:rPr>
            </w:pPr>
          </w:p>
        </w:tc>
        <w:tc>
          <w:tcPr>
            <w:tcW w:w="854" w:type="pct"/>
          </w:tcPr>
          <w:p w14:paraId="541B1917" w14:textId="77777777" w:rsidR="001830C3" w:rsidRPr="009977EE" w:rsidRDefault="001830C3" w:rsidP="00DD43EC">
            <w:pPr>
              <w:spacing w:before="40" w:after="40"/>
              <w:contextualSpacing w:val="0"/>
              <w:jc w:val="center"/>
              <w:rPr>
                <w:rFonts w:ascii="Arial" w:hAnsi="Arial" w:cs="Arial"/>
                <w:sz w:val="22"/>
              </w:rPr>
            </w:pPr>
          </w:p>
        </w:tc>
        <w:tc>
          <w:tcPr>
            <w:tcW w:w="882" w:type="pct"/>
          </w:tcPr>
          <w:p w14:paraId="2E9E6CD0" w14:textId="77777777" w:rsidR="001830C3" w:rsidRPr="009977EE" w:rsidRDefault="001830C3" w:rsidP="00DD43EC">
            <w:pPr>
              <w:spacing w:before="40" w:after="40"/>
              <w:contextualSpacing w:val="0"/>
              <w:jc w:val="center"/>
              <w:rPr>
                <w:rFonts w:ascii="Arial" w:hAnsi="Arial" w:cs="Arial"/>
                <w:sz w:val="22"/>
              </w:rPr>
            </w:pPr>
          </w:p>
        </w:tc>
      </w:tr>
      <w:tr w:rsidR="001830C3" w:rsidRPr="009977EE" w14:paraId="344CB702" w14:textId="77777777" w:rsidTr="00DD43EC">
        <w:trPr>
          <w:trHeight w:val="217"/>
        </w:trPr>
        <w:tc>
          <w:tcPr>
            <w:tcW w:w="1528" w:type="pct"/>
            <w:vAlign w:val="center"/>
          </w:tcPr>
          <w:p w14:paraId="24535C7C" w14:textId="77777777" w:rsidR="001830C3" w:rsidRPr="009977EE" w:rsidRDefault="001830C3" w:rsidP="00DD43EC">
            <w:pPr>
              <w:spacing w:before="40" w:after="40"/>
              <w:ind w:left="288"/>
              <w:contextualSpacing w:val="0"/>
              <w:rPr>
                <w:rFonts w:ascii="Arial" w:eastAsia="Calibri" w:hAnsi="Arial" w:cs="Arial"/>
                <w:i/>
                <w:iCs/>
                <w:sz w:val="22"/>
              </w:rPr>
            </w:pPr>
            <w:r w:rsidRPr="009977EE">
              <w:rPr>
                <w:rFonts w:ascii="Arial" w:eastAsia="Calibri" w:hAnsi="Arial" w:cs="Arial"/>
                <w:i/>
                <w:iCs/>
                <w:sz w:val="22"/>
              </w:rPr>
              <w:t>Backward Elimination, P&lt;0.05</w:t>
            </w:r>
          </w:p>
        </w:tc>
        <w:tc>
          <w:tcPr>
            <w:tcW w:w="854" w:type="pct"/>
          </w:tcPr>
          <w:p w14:paraId="2D0FBD71"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0.760 (0.678, 0.851)</w:t>
            </w:r>
          </w:p>
        </w:tc>
        <w:tc>
          <w:tcPr>
            <w:tcW w:w="882" w:type="pct"/>
          </w:tcPr>
          <w:p w14:paraId="4FE35AF6"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0.095 (0.013, 0.173)</w:t>
            </w:r>
          </w:p>
        </w:tc>
        <w:tc>
          <w:tcPr>
            <w:tcW w:w="854" w:type="pct"/>
          </w:tcPr>
          <w:p w14:paraId="60257112" w14:textId="77777777" w:rsidR="001830C3" w:rsidRPr="009977EE" w:rsidRDefault="001830C3" w:rsidP="00DD43EC">
            <w:pPr>
              <w:spacing w:before="40" w:after="40"/>
              <w:contextualSpacing w:val="0"/>
              <w:jc w:val="center"/>
              <w:rPr>
                <w:rFonts w:ascii="Arial" w:hAnsi="Arial" w:cs="Arial"/>
                <w:color w:val="000000"/>
                <w:sz w:val="22"/>
              </w:rPr>
            </w:pPr>
            <w:r w:rsidRPr="009977EE">
              <w:rPr>
                <w:rFonts w:ascii="Arial" w:hAnsi="Arial" w:cs="Arial"/>
                <w:sz w:val="22"/>
              </w:rPr>
              <w:t>0.743 (0.645, 0.837)</w:t>
            </w:r>
          </w:p>
        </w:tc>
        <w:tc>
          <w:tcPr>
            <w:tcW w:w="882" w:type="pct"/>
          </w:tcPr>
          <w:p w14:paraId="176FBA59" w14:textId="77777777" w:rsidR="001830C3" w:rsidRPr="009977EE" w:rsidRDefault="001830C3" w:rsidP="00DD43EC">
            <w:pPr>
              <w:spacing w:before="40" w:after="40"/>
              <w:contextualSpacing w:val="0"/>
              <w:jc w:val="center"/>
              <w:rPr>
                <w:rFonts w:ascii="Arial" w:hAnsi="Arial" w:cs="Arial"/>
                <w:color w:val="000000"/>
                <w:sz w:val="22"/>
              </w:rPr>
            </w:pPr>
            <w:r w:rsidRPr="009977EE">
              <w:rPr>
                <w:rFonts w:ascii="Arial" w:hAnsi="Arial" w:cs="Arial"/>
                <w:sz w:val="22"/>
              </w:rPr>
              <w:t>0.068 (0.011, 0.119)</w:t>
            </w:r>
          </w:p>
        </w:tc>
      </w:tr>
      <w:tr w:rsidR="001830C3" w:rsidRPr="009977EE" w14:paraId="72DDFE87" w14:textId="77777777" w:rsidTr="00DD43EC">
        <w:trPr>
          <w:trHeight w:val="217"/>
        </w:trPr>
        <w:tc>
          <w:tcPr>
            <w:tcW w:w="1528" w:type="pct"/>
            <w:vAlign w:val="center"/>
          </w:tcPr>
          <w:p w14:paraId="7E1596EC" w14:textId="77777777" w:rsidR="001830C3" w:rsidRPr="009977EE" w:rsidRDefault="001830C3" w:rsidP="00DD43EC">
            <w:pPr>
              <w:spacing w:before="40" w:after="40"/>
              <w:ind w:left="288"/>
              <w:contextualSpacing w:val="0"/>
              <w:rPr>
                <w:rFonts w:ascii="Arial" w:eastAsia="Calibri" w:hAnsi="Arial" w:cs="Arial"/>
                <w:i/>
                <w:iCs/>
                <w:sz w:val="22"/>
              </w:rPr>
            </w:pPr>
            <w:r w:rsidRPr="009977EE">
              <w:rPr>
                <w:rFonts w:ascii="Arial" w:eastAsia="Calibri" w:hAnsi="Arial" w:cs="Arial"/>
                <w:i/>
                <w:iCs/>
                <w:sz w:val="22"/>
              </w:rPr>
              <w:t>Backward Elimination, AIC</w:t>
            </w:r>
          </w:p>
        </w:tc>
        <w:tc>
          <w:tcPr>
            <w:tcW w:w="854" w:type="pct"/>
          </w:tcPr>
          <w:p w14:paraId="1D4BDBB7"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0.753 (0.656, 0.835)</w:t>
            </w:r>
          </w:p>
        </w:tc>
        <w:tc>
          <w:tcPr>
            <w:tcW w:w="882" w:type="pct"/>
          </w:tcPr>
          <w:p w14:paraId="0238B840"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0.089 (0.007, 0.164)</w:t>
            </w:r>
          </w:p>
        </w:tc>
        <w:tc>
          <w:tcPr>
            <w:tcW w:w="854" w:type="pct"/>
          </w:tcPr>
          <w:p w14:paraId="55012EA3" w14:textId="77777777" w:rsidR="001830C3" w:rsidRPr="009977EE" w:rsidRDefault="001830C3" w:rsidP="00DD43EC">
            <w:pPr>
              <w:spacing w:before="40" w:after="40"/>
              <w:contextualSpacing w:val="0"/>
              <w:jc w:val="center"/>
              <w:rPr>
                <w:rFonts w:ascii="Arial" w:hAnsi="Arial" w:cs="Arial"/>
                <w:color w:val="000000"/>
                <w:sz w:val="22"/>
              </w:rPr>
            </w:pPr>
            <w:r w:rsidRPr="009977EE">
              <w:rPr>
                <w:rFonts w:ascii="Arial" w:hAnsi="Arial" w:cs="Arial"/>
                <w:sz w:val="22"/>
              </w:rPr>
              <w:t>0.740 (0.630, 0.831)</w:t>
            </w:r>
          </w:p>
        </w:tc>
        <w:tc>
          <w:tcPr>
            <w:tcW w:w="882" w:type="pct"/>
          </w:tcPr>
          <w:p w14:paraId="296716AF" w14:textId="77777777" w:rsidR="001830C3" w:rsidRPr="009977EE" w:rsidRDefault="001830C3" w:rsidP="00DD43EC">
            <w:pPr>
              <w:spacing w:before="40" w:after="40"/>
              <w:contextualSpacing w:val="0"/>
              <w:jc w:val="center"/>
              <w:rPr>
                <w:rFonts w:ascii="Arial" w:hAnsi="Arial" w:cs="Arial"/>
                <w:color w:val="000000"/>
                <w:sz w:val="22"/>
              </w:rPr>
            </w:pPr>
            <w:r w:rsidRPr="009977EE">
              <w:rPr>
                <w:rFonts w:ascii="Arial" w:hAnsi="Arial" w:cs="Arial"/>
                <w:sz w:val="22"/>
              </w:rPr>
              <w:t>0.067 (0.011, 0.123)</w:t>
            </w:r>
          </w:p>
        </w:tc>
      </w:tr>
      <w:tr w:rsidR="001830C3" w:rsidRPr="009977EE" w14:paraId="171C3732" w14:textId="77777777" w:rsidTr="00DD43EC">
        <w:trPr>
          <w:trHeight w:val="217"/>
        </w:trPr>
        <w:tc>
          <w:tcPr>
            <w:tcW w:w="1528" w:type="pct"/>
            <w:vAlign w:val="center"/>
          </w:tcPr>
          <w:p w14:paraId="497A81C5" w14:textId="77777777" w:rsidR="001830C3" w:rsidRPr="009977EE" w:rsidRDefault="001830C3" w:rsidP="00DD43EC">
            <w:pPr>
              <w:spacing w:before="40" w:after="40"/>
              <w:ind w:left="288"/>
              <w:contextualSpacing w:val="0"/>
              <w:rPr>
                <w:rFonts w:ascii="Arial" w:eastAsia="Calibri" w:hAnsi="Arial" w:cs="Arial"/>
                <w:i/>
                <w:iCs/>
                <w:sz w:val="22"/>
              </w:rPr>
            </w:pPr>
            <w:r w:rsidRPr="009977EE">
              <w:rPr>
                <w:rFonts w:ascii="Arial" w:eastAsia="Calibri" w:hAnsi="Arial" w:cs="Arial"/>
                <w:i/>
                <w:iCs/>
                <w:sz w:val="22"/>
              </w:rPr>
              <w:t>LASSO, λ=1 SE</w:t>
            </w:r>
          </w:p>
        </w:tc>
        <w:tc>
          <w:tcPr>
            <w:tcW w:w="854" w:type="pct"/>
          </w:tcPr>
          <w:p w14:paraId="7BD13ECD"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0.748 (0.662, 0.848)</w:t>
            </w:r>
          </w:p>
        </w:tc>
        <w:tc>
          <w:tcPr>
            <w:tcW w:w="882" w:type="pct"/>
          </w:tcPr>
          <w:p w14:paraId="25632F51"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0.060 (0.024, 0.109)</w:t>
            </w:r>
          </w:p>
        </w:tc>
        <w:tc>
          <w:tcPr>
            <w:tcW w:w="854" w:type="pct"/>
          </w:tcPr>
          <w:p w14:paraId="691AFF2E" w14:textId="77777777" w:rsidR="001830C3" w:rsidRPr="009977EE" w:rsidRDefault="001830C3" w:rsidP="00DD43EC">
            <w:pPr>
              <w:spacing w:before="40" w:after="40"/>
              <w:contextualSpacing w:val="0"/>
              <w:jc w:val="center"/>
              <w:rPr>
                <w:rFonts w:ascii="Arial" w:hAnsi="Arial" w:cs="Arial"/>
                <w:color w:val="000000"/>
                <w:sz w:val="22"/>
              </w:rPr>
            </w:pPr>
            <w:r w:rsidRPr="009977EE">
              <w:rPr>
                <w:rFonts w:ascii="Arial" w:hAnsi="Arial" w:cs="Arial"/>
                <w:sz w:val="22"/>
              </w:rPr>
              <w:t>0.731 (0.627, 0.833)</w:t>
            </w:r>
          </w:p>
        </w:tc>
        <w:tc>
          <w:tcPr>
            <w:tcW w:w="882" w:type="pct"/>
          </w:tcPr>
          <w:p w14:paraId="4BBC6FDC" w14:textId="77777777" w:rsidR="001830C3" w:rsidRPr="009977EE" w:rsidRDefault="001830C3" w:rsidP="00DD43EC">
            <w:pPr>
              <w:spacing w:before="40" w:after="40"/>
              <w:contextualSpacing w:val="0"/>
              <w:jc w:val="center"/>
              <w:rPr>
                <w:rFonts w:ascii="Arial" w:hAnsi="Arial" w:cs="Arial"/>
                <w:color w:val="000000"/>
                <w:sz w:val="22"/>
              </w:rPr>
            </w:pPr>
            <w:r w:rsidRPr="009977EE">
              <w:rPr>
                <w:rFonts w:ascii="Arial" w:hAnsi="Arial" w:cs="Arial"/>
                <w:sz w:val="22"/>
              </w:rPr>
              <w:t>0.063 (0.009, 0.119)</w:t>
            </w:r>
          </w:p>
        </w:tc>
      </w:tr>
      <w:tr w:rsidR="001830C3" w:rsidRPr="009977EE" w14:paraId="6B3D8937" w14:textId="77777777" w:rsidTr="00DD43EC">
        <w:trPr>
          <w:trHeight w:val="217"/>
        </w:trPr>
        <w:tc>
          <w:tcPr>
            <w:tcW w:w="1528" w:type="pct"/>
            <w:vAlign w:val="center"/>
          </w:tcPr>
          <w:p w14:paraId="307E3EB3" w14:textId="77777777" w:rsidR="001830C3" w:rsidRPr="009977EE" w:rsidRDefault="001830C3" w:rsidP="00DD43EC">
            <w:pPr>
              <w:spacing w:before="40" w:after="40"/>
              <w:contextualSpacing w:val="0"/>
              <w:rPr>
                <w:rFonts w:ascii="Arial" w:eastAsia="Calibri" w:hAnsi="Arial" w:cs="Arial"/>
                <w:b/>
                <w:bCs/>
                <w:sz w:val="22"/>
              </w:rPr>
            </w:pPr>
            <w:r w:rsidRPr="009977EE">
              <w:rPr>
                <w:rFonts w:ascii="Arial" w:eastAsia="Calibri" w:hAnsi="Arial" w:cs="Arial"/>
                <w:b/>
                <w:bCs/>
                <w:sz w:val="22"/>
              </w:rPr>
              <w:t>All Candidate Variables</w:t>
            </w:r>
          </w:p>
        </w:tc>
        <w:tc>
          <w:tcPr>
            <w:tcW w:w="854" w:type="pct"/>
            <w:vAlign w:val="center"/>
          </w:tcPr>
          <w:p w14:paraId="76382214" w14:textId="77777777" w:rsidR="001830C3" w:rsidRPr="009977EE" w:rsidRDefault="001830C3" w:rsidP="00DD43EC">
            <w:pPr>
              <w:spacing w:before="40" w:after="40"/>
              <w:contextualSpacing w:val="0"/>
              <w:jc w:val="center"/>
              <w:rPr>
                <w:rFonts w:ascii="Arial" w:hAnsi="Arial" w:cs="Arial"/>
                <w:sz w:val="22"/>
              </w:rPr>
            </w:pPr>
          </w:p>
        </w:tc>
        <w:tc>
          <w:tcPr>
            <w:tcW w:w="882" w:type="pct"/>
            <w:vAlign w:val="center"/>
          </w:tcPr>
          <w:p w14:paraId="62805D4A" w14:textId="77777777" w:rsidR="001830C3" w:rsidRPr="009977EE" w:rsidRDefault="001830C3" w:rsidP="00DD43EC">
            <w:pPr>
              <w:spacing w:before="40" w:after="40"/>
              <w:contextualSpacing w:val="0"/>
              <w:jc w:val="center"/>
              <w:rPr>
                <w:rFonts w:ascii="Arial" w:hAnsi="Arial" w:cs="Arial"/>
                <w:sz w:val="22"/>
              </w:rPr>
            </w:pPr>
          </w:p>
        </w:tc>
        <w:tc>
          <w:tcPr>
            <w:tcW w:w="854" w:type="pct"/>
          </w:tcPr>
          <w:p w14:paraId="7187BBD1" w14:textId="77777777" w:rsidR="001830C3" w:rsidRPr="009977EE" w:rsidRDefault="001830C3" w:rsidP="00DD43EC">
            <w:pPr>
              <w:spacing w:before="40" w:after="40"/>
              <w:contextualSpacing w:val="0"/>
              <w:jc w:val="center"/>
              <w:rPr>
                <w:rFonts w:ascii="Arial" w:hAnsi="Arial" w:cs="Arial"/>
                <w:sz w:val="22"/>
              </w:rPr>
            </w:pPr>
          </w:p>
        </w:tc>
        <w:tc>
          <w:tcPr>
            <w:tcW w:w="882" w:type="pct"/>
          </w:tcPr>
          <w:p w14:paraId="7F3D3C41" w14:textId="77777777" w:rsidR="001830C3" w:rsidRPr="009977EE" w:rsidRDefault="001830C3" w:rsidP="00DD43EC">
            <w:pPr>
              <w:spacing w:before="40" w:after="40"/>
              <w:contextualSpacing w:val="0"/>
              <w:jc w:val="center"/>
              <w:rPr>
                <w:rFonts w:ascii="Arial" w:hAnsi="Arial" w:cs="Arial"/>
                <w:sz w:val="22"/>
              </w:rPr>
            </w:pPr>
          </w:p>
        </w:tc>
      </w:tr>
      <w:tr w:rsidR="001830C3" w:rsidRPr="009977EE" w14:paraId="1D523A7B" w14:textId="77777777" w:rsidTr="00DD43EC">
        <w:trPr>
          <w:trHeight w:val="217"/>
        </w:trPr>
        <w:tc>
          <w:tcPr>
            <w:tcW w:w="1528" w:type="pct"/>
            <w:vAlign w:val="center"/>
          </w:tcPr>
          <w:p w14:paraId="32C5E9B5" w14:textId="77777777" w:rsidR="001830C3" w:rsidRPr="009977EE" w:rsidRDefault="001830C3" w:rsidP="00DD43EC">
            <w:pPr>
              <w:spacing w:before="40" w:after="40"/>
              <w:ind w:left="288"/>
              <w:contextualSpacing w:val="0"/>
              <w:rPr>
                <w:rFonts w:ascii="Arial" w:eastAsia="Calibri" w:hAnsi="Arial" w:cs="Arial"/>
                <w:i/>
                <w:iCs/>
                <w:sz w:val="22"/>
              </w:rPr>
            </w:pPr>
            <w:r w:rsidRPr="009977EE">
              <w:rPr>
                <w:rFonts w:ascii="Arial" w:eastAsia="Calibri" w:hAnsi="Arial" w:cs="Arial"/>
                <w:i/>
                <w:iCs/>
                <w:sz w:val="22"/>
              </w:rPr>
              <w:t>Backward Elimination, P&lt;0.05</w:t>
            </w:r>
          </w:p>
        </w:tc>
        <w:tc>
          <w:tcPr>
            <w:tcW w:w="854" w:type="pct"/>
          </w:tcPr>
          <w:p w14:paraId="6DA39FCA"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0.771 (0.674, 0.853)</w:t>
            </w:r>
          </w:p>
        </w:tc>
        <w:tc>
          <w:tcPr>
            <w:tcW w:w="882" w:type="pct"/>
          </w:tcPr>
          <w:p w14:paraId="3935FCD2"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0.105 (0.033, 0.168)</w:t>
            </w:r>
          </w:p>
        </w:tc>
        <w:tc>
          <w:tcPr>
            <w:tcW w:w="854" w:type="pct"/>
          </w:tcPr>
          <w:p w14:paraId="6730E89E"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0.754 (0.664, 0.832)</w:t>
            </w:r>
          </w:p>
        </w:tc>
        <w:tc>
          <w:tcPr>
            <w:tcW w:w="882" w:type="pct"/>
          </w:tcPr>
          <w:p w14:paraId="5A58D78E"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0.072 (0.022, 0.118)</w:t>
            </w:r>
          </w:p>
        </w:tc>
      </w:tr>
      <w:tr w:rsidR="001830C3" w:rsidRPr="009977EE" w14:paraId="1DC54B28" w14:textId="77777777" w:rsidTr="00DD43EC">
        <w:trPr>
          <w:trHeight w:val="217"/>
        </w:trPr>
        <w:tc>
          <w:tcPr>
            <w:tcW w:w="1528" w:type="pct"/>
            <w:vAlign w:val="center"/>
          </w:tcPr>
          <w:p w14:paraId="769A36A1" w14:textId="77777777" w:rsidR="001830C3" w:rsidRPr="009977EE" w:rsidRDefault="001830C3" w:rsidP="00DD43EC">
            <w:pPr>
              <w:spacing w:before="40" w:after="40"/>
              <w:ind w:left="288"/>
              <w:contextualSpacing w:val="0"/>
              <w:rPr>
                <w:rFonts w:ascii="Arial" w:eastAsia="Calibri" w:hAnsi="Arial" w:cs="Arial"/>
                <w:i/>
                <w:iCs/>
                <w:sz w:val="22"/>
              </w:rPr>
            </w:pPr>
            <w:r w:rsidRPr="009977EE">
              <w:rPr>
                <w:rFonts w:ascii="Arial" w:eastAsia="Calibri" w:hAnsi="Arial" w:cs="Arial"/>
                <w:i/>
                <w:iCs/>
                <w:sz w:val="22"/>
              </w:rPr>
              <w:t>Backward Elimination, AIC</w:t>
            </w:r>
          </w:p>
        </w:tc>
        <w:tc>
          <w:tcPr>
            <w:tcW w:w="854" w:type="pct"/>
          </w:tcPr>
          <w:p w14:paraId="152EB64D"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0.768 (0.664, 0.847)</w:t>
            </w:r>
          </w:p>
        </w:tc>
        <w:tc>
          <w:tcPr>
            <w:tcW w:w="882" w:type="pct"/>
          </w:tcPr>
          <w:p w14:paraId="3C146C88"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0.099 (0.015, 0.172)</w:t>
            </w:r>
          </w:p>
        </w:tc>
        <w:tc>
          <w:tcPr>
            <w:tcW w:w="854" w:type="pct"/>
          </w:tcPr>
          <w:p w14:paraId="76947EF6"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0.754 (0.651, 0.828)</w:t>
            </w:r>
          </w:p>
        </w:tc>
        <w:tc>
          <w:tcPr>
            <w:tcW w:w="882" w:type="pct"/>
          </w:tcPr>
          <w:p w14:paraId="39D7903D"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0.074 (0.023, 0.127)</w:t>
            </w:r>
          </w:p>
        </w:tc>
      </w:tr>
      <w:tr w:rsidR="001830C3" w:rsidRPr="009977EE" w14:paraId="24632061" w14:textId="77777777" w:rsidTr="00DD43EC">
        <w:trPr>
          <w:trHeight w:val="217"/>
        </w:trPr>
        <w:tc>
          <w:tcPr>
            <w:tcW w:w="1528" w:type="pct"/>
            <w:vAlign w:val="center"/>
          </w:tcPr>
          <w:p w14:paraId="34E0EC96" w14:textId="77777777" w:rsidR="001830C3" w:rsidRPr="009977EE" w:rsidRDefault="001830C3" w:rsidP="00DD43EC">
            <w:pPr>
              <w:spacing w:before="40" w:after="40"/>
              <w:ind w:left="288"/>
              <w:contextualSpacing w:val="0"/>
              <w:rPr>
                <w:rFonts w:ascii="Arial" w:eastAsia="Calibri" w:hAnsi="Arial" w:cs="Arial"/>
                <w:i/>
                <w:iCs/>
                <w:sz w:val="22"/>
              </w:rPr>
            </w:pPr>
            <w:r w:rsidRPr="009977EE">
              <w:rPr>
                <w:rFonts w:ascii="Arial" w:eastAsia="Calibri" w:hAnsi="Arial" w:cs="Arial"/>
                <w:i/>
                <w:iCs/>
                <w:sz w:val="22"/>
              </w:rPr>
              <w:t>LASSO, λ=1 SE</w:t>
            </w:r>
          </w:p>
        </w:tc>
        <w:tc>
          <w:tcPr>
            <w:tcW w:w="854" w:type="pct"/>
          </w:tcPr>
          <w:p w14:paraId="33E11308"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0.760 (0.659, 0.845)</w:t>
            </w:r>
          </w:p>
        </w:tc>
        <w:tc>
          <w:tcPr>
            <w:tcW w:w="882" w:type="pct"/>
          </w:tcPr>
          <w:p w14:paraId="5CA3D9E5" w14:textId="77777777" w:rsidR="001830C3" w:rsidRPr="009977EE" w:rsidRDefault="001830C3" w:rsidP="00DD43EC">
            <w:pPr>
              <w:spacing w:before="40" w:after="40"/>
              <w:contextualSpacing w:val="0"/>
              <w:jc w:val="center"/>
              <w:rPr>
                <w:rFonts w:ascii="Arial" w:hAnsi="Arial" w:cs="Arial"/>
                <w:sz w:val="22"/>
              </w:rPr>
            </w:pPr>
            <w:r w:rsidRPr="009977EE">
              <w:rPr>
                <w:rFonts w:ascii="Arial" w:hAnsi="Arial" w:cs="Arial"/>
                <w:sz w:val="22"/>
              </w:rPr>
              <w:t>0.075 (0.032, 0.121)</w:t>
            </w:r>
          </w:p>
        </w:tc>
        <w:tc>
          <w:tcPr>
            <w:tcW w:w="854" w:type="pct"/>
          </w:tcPr>
          <w:p w14:paraId="14EB04AE" w14:textId="77777777" w:rsidR="001830C3" w:rsidRPr="009977EE" w:rsidRDefault="001830C3" w:rsidP="00DD43EC">
            <w:pPr>
              <w:spacing w:before="40" w:after="40"/>
              <w:contextualSpacing w:val="0"/>
              <w:jc w:val="center"/>
              <w:rPr>
                <w:rFonts w:ascii="Arial" w:hAnsi="Arial" w:cs="Arial"/>
                <w:color w:val="000000"/>
                <w:sz w:val="22"/>
              </w:rPr>
            </w:pPr>
            <w:r w:rsidRPr="009977EE">
              <w:rPr>
                <w:rFonts w:ascii="Arial" w:hAnsi="Arial" w:cs="Arial"/>
                <w:sz w:val="22"/>
              </w:rPr>
              <w:t>0.751 (0.652, 0.839)</w:t>
            </w:r>
          </w:p>
        </w:tc>
        <w:tc>
          <w:tcPr>
            <w:tcW w:w="882" w:type="pct"/>
          </w:tcPr>
          <w:p w14:paraId="171F3C90" w14:textId="77777777" w:rsidR="001830C3" w:rsidRPr="009977EE" w:rsidRDefault="001830C3" w:rsidP="00DD43EC">
            <w:pPr>
              <w:spacing w:before="40" w:after="40"/>
              <w:contextualSpacing w:val="0"/>
              <w:jc w:val="center"/>
              <w:rPr>
                <w:rFonts w:ascii="Arial" w:hAnsi="Arial" w:cs="Arial"/>
                <w:color w:val="000000"/>
                <w:sz w:val="22"/>
              </w:rPr>
            </w:pPr>
            <w:r w:rsidRPr="009977EE">
              <w:rPr>
                <w:rFonts w:ascii="Arial" w:hAnsi="Arial" w:cs="Arial"/>
                <w:sz w:val="22"/>
              </w:rPr>
              <w:t>0.070 (0.017, 0.123)</w:t>
            </w:r>
          </w:p>
        </w:tc>
      </w:tr>
    </w:tbl>
    <w:p w14:paraId="246C9AF9" w14:textId="17C86BD1" w:rsidR="00F65F74" w:rsidRPr="005C1232" w:rsidRDefault="00F65F74" w:rsidP="00F65F74">
      <w:pPr>
        <w:spacing w:before="80" w:after="160"/>
        <w:contextualSpacing w:val="0"/>
        <w:rPr>
          <w:rFonts w:ascii="Arial" w:hAnsi="Arial" w:cs="Arial"/>
          <w:sz w:val="22"/>
        </w:rPr>
      </w:pPr>
      <w:r w:rsidRPr="005C1232">
        <w:rPr>
          <w:rFonts w:ascii="Arial" w:hAnsi="Arial" w:cs="Arial"/>
          <w:sz w:val="22"/>
        </w:rPr>
        <w:t>Abbreviations: ACC/AHA PCEs = American College of Cardiology/American Heart Association Pooled Cohort Equations;</w:t>
      </w:r>
      <w:r w:rsidR="00D5454A">
        <w:rPr>
          <w:rFonts w:ascii="Arial" w:hAnsi="Arial" w:cs="Arial"/>
          <w:sz w:val="22"/>
        </w:rPr>
        <w:t xml:space="preserve"> AIC = </w:t>
      </w:r>
      <w:r w:rsidR="00D5454A" w:rsidRPr="00D5454A">
        <w:rPr>
          <w:rFonts w:ascii="Arial" w:hAnsi="Arial" w:cs="Arial"/>
          <w:sz w:val="22"/>
        </w:rPr>
        <w:t>Akaike information criterion</w:t>
      </w:r>
      <w:r w:rsidR="00D5454A">
        <w:rPr>
          <w:rFonts w:ascii="Arial" w:hAnsi="Arial" w:cs="Arial"/>
          <w:sz w:val="22"/>
        </w:rPr>
        <w:t>;</w:t>
      </w:r>
      <w:r w:rsidRPr="005C1232">
        <w:rPr>
          <w:rFonts w:ascii="Arial" w:hAnsi="Arial" w:cs="Arial"/>
          <w:sz w:val="22"/>
        </w:rPr>
        <w:t xml:space="preserve"> AUC = area under the ROC curve; </w:t>
      </w:r>
      <w:r w:rsidR="001F7F97">
        <w:rPr>
          <w:rFonts w:ascii="Arial" w:hAnsi="Arial" w:cs="Arial"/>
          <w:sz w:val="22"/>
        </w:rPr>
        <w:t xml:space="preserve">CI = confidence interval; </w:t>
      </w:r>
      <w:r w:rsidRPr="005C1232">
        <w:rPr>
          <w:rFonts w:ascii="Arial" w:hAnsi="Arial" w:cs="Arial"/>
          <w:sz w:val="22"/>
        </w:rPr>
        <w:t>IPA = index of prediction accuracy; LASSO = least absolute shrinkage and selection operator</w:t>
      </w:r>
      <w:r w:rsidR="00D5454A">
        <w:rPr>
          <w:rFonts w:ascii="Arial" w:hAnsi="Arial" w:cs="Arial"/>
          <w:sz w:val="22"/>
        </w:rPr>
        <w:t xml:space="preserve">; </w:t>
      </w:r>
      <w:r w:rsidR="005233FB">
        <w:rPr>
          <w:rFonts w:ascii="Arial" w:hAnsi="Arial" w:cs="Arial"/>
          <w:sz w:val="22"/>
        </w:rPr>
        <w:t xml:space="preserve">NRI = net reclassification improvement (compared with published ACC/AHA PCEs); </w:t>
      </w:r>
      <w:r w:rsidR="00D5454A">
        <w:rPr>
          <w:rFonts w:ascii="Arial" w:hAnsi="Arial" w:cs="Arial"/>
          <w:sz w:val="22"/>
        </w:rPr>
        <w:t>SE = standard error</w:t>
      </w:r>
    </w:p>
    <w:p w14:paraId="758203DE" w14:textId="52CDCBE2" w:rsidR="00F65F74" w:rsidRDefault="00F65F74" w:rsidP="00F65F74">
      <w:pPr>
        <w:spacing w:after="80"/>
        <w:contextualSpacing w:val="0"/>
        <w:rPr>
          <w:rFonts w:ascii="Arial" w:hAnsi="Arial" w:cs="Arial"/>
          <w:sz w:val="22"/>
        </w:rPr>
      </w:pPr>
      <w:r w:rsidRPr="005C1232">
        <w:rPr>
          <w:rFonts w:ascii="Arial" w:hAnsi="Arial" w:cs="Arial"/>
          <w:sz w:val="22"/>
        </w:rPr>
        <w:t xml:space="preserve">* </w:t>
      </w:r>
      <w:r>
        <w:rPr>
          <w:rFonts w:ascii="Arial" w:hAnsi="Arial" w:cs="Arial"/>
          <w:sz w:val="22"/>
        </w:rPr>
        <w:t xml:space="preserve">AUC and IPA point and interval estimates were obtained using 10x10 fold cross-validation. </w:t>
      </w:r>
      <w:r w:rsidRPr="005C1232">
        <w:rPr>
          <w:rFonts w:ascii="Arial" w:hAnsi="Arial" w:cs="Arial"/>
          <w:sz w:val="22"/>
        </w:rPr>
        <w:t>Higher values for the AUC and IPA indicate better performing models</w:t>
      </w:r>
      <w:r>
        <w:rPr>
          <w:rFonts w:ascii="Arial" w:hAnsi="Arial" w:cs="Arial"/>
          <w:sz w:val="22"/>
        </w:rPr>
        <w:t>.</w:t>
      </w:r>
      <w:bookmarkEnd w:id="2"/>
      <w:r w:rsidR="005233FB">
        <w:rPr>
          <w:rFonts w:ascii="Arial" w:hAnsi="Arial" w:cs="Arial"/>
          <w:sz w:val="22"/>
        </w:rPr>
        <w:t xml:space="preserve"> NRI is in comparison to the published ACC/AHA PCEs as the base model.</w:t>
      </w:r>
    </w:p>
    <w:p w14:paraId="17DB4B72" w14:textId="77777777" w:rsidR="00F65F74" w:rsidRDefault="00F65F74" w:rsidP="00F65F74">
      <w:pPr>
        <w:spacing w:after="160" w:line="259" w:lineRule="auto"/>
        <w:contextualSpacing w:val="0"/>
        <w:rPr>
          <w:rFonts w:ascii="Arial" w:hAnsi="Arial" w:cs="Arial"/>
          <w:sz w:val="22"/>
        </w:rPr>
      </w:pPr>
      <w:r>
        <w:rPr>
          <w:rFonts w:ascii="Arial" w:hAnsi="Arial" w:cs="Arial"/>
          <w:sz w:val="22"/>
        </w:rPr>
        <w:br w:type="page"/>
      </w:r>
    </w:p>
    <w:p w14:paraId="373ED5DC" w14:textId="109EFB84" w:rsidR="005C1232" w:rsidRPr="005C1232" w:rsidRDefault="00DA3FCB" w:rsidP="005C1232">
      <w:pPr>
        <w:spacing w:after="80"/>
        <w:contextualSpacing w:val="0"/>
        <w:rPr>
          <w:rFonts w:ascii="Arial" w:hAnsi="Arial" w:cs="Arial"/>
          <w:sz w:val="22"/>
        </w:rPr>
      </w:pPr>
      <w:r>
        <w:rPr>
          <w:rFonts w:ascii="Arial" w:hAnsi="Arial" w:cs="Arial"/>
          <w:b/>
          <w:bCs/>
          <w:sz w:val="22"/>
        </w:rPr>
        <w:lastRenderedPageBreak/>
        <w:t xml:space="preserve">Supplemental </w:t>
      </w:r>
      <w:r w:rsidR="003476ED" w:rsidRPr="004C71CE">
        <w:rPr>
          <w:rFonts w:ascii="Arial" w:hAnsi="Arial" w:cs="Arial"/>
          <w:b/>
          <w:bCs/>
          <w:sz w:val="22"/>
        </w:rPr>
        <w:t xml:space="preserve">Table </w:t>
      </w:r>
      <w:r w:rsidR="00F65F74">
        <w:rPr>
          <w:rFonts w:ascii="Arial" w:hAnsi="Arial" w:cs="Arial"/>
          <w:b/>
          <w:bCs/>
          <w:sz w:val="22"/>
        </w:rPr>
        <w:t>2</w:t>
      </w:r>
      <w:r w:rsidR="003476ED" w:rsidRPr="004C71CE">
        <w:rPr>
          <w:rFonts w:ascii="Arial" w:hAnsi="Arial" w:cs="Arial"/>
          <w:sz w:val="22"/>
        </w:rPr>
        <w:t xml:space="preserve">. </w:t>
      </w:r>
      <w:r w:rsidR="00F65F74">
        <w:rPr>
          <w:rFonts w:ascii="Arial" w:hAnsi="Arial" w:cs="Arial"/>
          <w:sz w:val="22"/>
        </w:rPr>
        <w:t>Internal-External Validation of 10-year Risk Prediction of Atherosclerotic Cardiovascular Disease in the CRIC Study</w:t>
      </w:r>
    </w:p>
    <w:tbl>
      <w:tblPr>
        <w:tblStyle w:val="TableGrid"/>
        <w:tblW w:w="5000" w:type="pct"/>
        <w:tblLook w:val="04A0" w:firstRow="1" w:lastRow="0" w:firstColumn="1" w:lastColumn="0" w:noHBand="0" w:noVBand="1"/>
      </w:tblPr>
      <w:tblGrid>
        <w:gridCol w:w="4398"/>
        <w:gridCol w:w="2458"/>
        <w:gridCol w:w="2538"/>
        <w:gridCol w:w="2458"/>
        <w:gridCol w:w="2538"/>
      </w:tblGrid>
      <w:tr w:rsidR="002459FA" w:rsidRPr="00AB35AB" w14:paraId="4D824DF3" w14:textId="77777777" w:rsidTr="00DD43EC">
        <w:trPr>
          <w:trHeight w:val="217"/>
        </w:trPr>
        <w:tc>
          <w:tcPr>
            <w:tcW w:w="1528" w:type="pct"/>
            <w:vMerge w:val="restart"/>
            <w:vAlign w:val="center"/>
          </w:tcPr>
          <w:p w14:paraId="59408129" w14:textId="77777777" w:rsidR="002459FA" w:rsidRPr="00AB35AB" w:rsidRDefault="002459FA" w:rsidP="00DD43EC">
            <w:pPr>
              <w:spacing w:before="40" w:after="40"/>
              <w:rPr>
                <w:rFonts w:ascii="Arial" w:eastAsia="Calibri" w:hAnsi="Arial" w:cs="Arial"/>
                <w:sz w:val="22"/>
              </w:rPr>
            </w:pPr>
            <w:r w:rsidRPr="00AB35AB">
              <w:rPr>
                <w:rFonts w:ascii="Arial" w:eastAsia="Calibri" w:hAnsi="Arial" w:cs="Arial"/>
                <w:b/>
                <w:sz w:val="22"/>
              </w:rPr>
              <w:t>Candidate Variables and</w:t>
            </w:r>
            <w:r w:rsidRPr="00AB35AB">
              <w:rPr>
                <w:rFonts w:ascii="Arial" w:eastAsia="Calibri" w:hAnsi="Arial" w:cs="Arial"/>
                <w:b/>
                <w:sz w:val="22"/>
              </w:rPr>
              <w:br/>
              <w:t>Selection Procedures</w:t>
            </w:r>
          </w:p>
        </w:tc>
        <w:tc>
          <w:tcPr>
            <w:tcW w:w="1736" w:type="pct"/>
            <w:gridSpan w:val="2"/>
            <w:vAlign w:val="center"/>
          </w:tcPr>
          <w:p w14:paraId="1AA7F416" w14:textId="77777777" w:rsidR="002459FA" w:rsidRPr="00AB35AB" w:rsidRDefault="002459FA" w:rsidP="00DD43EC">
            <w:pPr>
              <w:spacing w:before="40" w:after="40"/>
              <w:contextualSpacing w:val="0"/>
              <w:jc w:val="center"/>
              <w:rPr>
                <w:rFonts w:ascii="Arial" w:eastAsia="Calibri" w:hAnsi="Arial" w:cs="Arial"/>
                <w:b/>
                <w:sz w:val="22"/>
              </w:rPr>
            </w:pPr>
            <w:r w:rsidRPr="00AB35AB">
              <w:rPr>
                <w:rFonts w:ascii="Arial" w:eastAsia="Calibri" w:hAnsi="Arial" w:cs="Arial"/>
                <w:b/>
                <w:sz w:val="22"/>
              </w:rPr>
              <w:t>10x10-fold Internal Cross-validation</w:t>
            </w:r>
          </w:p>
        </w:tc>
        <w:tc>
          <w:tcPr>
            <w:tcW w:w="1736" w:type="pct"/>
            <w:gridSpan w:val="2"/>
          </w:tcPr>
          <w:p w14:paraId="384BC2F0" w14:textId="77777777" w:rsidR="002459FA" w:rsidRPr="00AB35AB" w:rsidRDefault="002459FA" w:rsidP="00DD43EC">
            <w:pPr>
              <w:spacing w:before="40" w:after="40"/>
              <w:contextualSpacing w:val="0"/>
              <w:jc w:val="center"/>
              <w:rPr>
                <w:rFonts w:ascii="Arial" w:eastAsia="Calibri" w:hAnsi="Arial" w:cs="Arial"/>
                <w:b/>
                <w:sz w:val="22"/>
              </w:rPr>
            </w:pPr>
            <w:r w:rsidRPr="00AB35AB">
              <w:rPr>
                <w:rFonts w:ascii="Arial" w:eastAsia="Calibri" w:hAnsi="Arial" w:cs="Arial"/>
                <w:b/>
                <w:sz w:val="22"/>
              </w:rPr>
              <w:t>Internal-external Validation</w:t>
            </w:r>
          </w:p>
        </w:tc>
      </w:tr>
      <w:tr w:rsidR="002459FA" w:rsidRPr="00AB35AB" w14:paraId="694E51F3" w14:textId="77777777" w:rsidTr="00DD43EC">
        <w:trPr>
          <w:trHeight w:val="217"/>
        </w:trPr>
        <w:tc>
          <w:tcPr>
            <w:tcW w:w="1528" w:type="pct"/>
            <w:vMerge/>
            <w:vAlign w:val="center"/>
          </w:tcPr>
          <w:p w14:paraId="1AF5382C" w14:textId="77777777" w:rsidR="002459FA" w:rsidRPr="00AB35AB" w:rsidRDefault="002459FA" w:rsidP="00DD43EC">
            <w:pPr>
              <w:spacing w:before="40" w:after="40"/>
              <w:contextualSpacing w:val="0"/>
              <w:rPr>
                <w:rFonts w:ascii="Arial" w:eastAsia="Calibri" w:hAnsi="Arial" w:cs="Arial"/>
                <w:b/>
                <w:sz w:val="22"/>
              </w:rPr>
            </w:pPr>
          </w:p>
        </w:tc>
        <w:tc>
          <w:tcPr>
            <w:tcW w:w="854" w:type="pct"/>
            <w:vAlign w:val="center"/>
          </w:tcPr>
          <w:p w14:paraId="4C78C21B" w14:textId="77777777" w:rsidR="002459FA" w:rsidRPr="00AB35AB" w:rsidRDefault="002459FA" w:rsidP="00DD43EC">
            <w:pPr>
              <w:spacing w:before="40" w:after="40"/>
              <w:contextualSpacing w:val="0"/>
              <w:jc w:val="center"/>
              <w:rPr>
                <w:rFonts w:ascii="Arial" w:eastAsia="Calibri" w:hAnsi="Arial" w:cs="Arial"/>
                <w:b/>
                <w:sz w:val="22"/>
              </w:rPr>
            </w:pPr>
            <w:r w:rsidRPr="00AB35AB">
              <w:rPr>
                <w:rFonts w:ascii="Arial" w:eastAsia="Calibri" w:hAnsi="Arial" w:cs="Arial"/>
                <w:b/>
                <w:sz w:val="22"/>
              </w:rPr>
              <w:t>AUC (95% CI) *</w:t>
            </w:r>
          </w:p>
        </w:tc>
        <w:tc>
          <w:tcPr>
            <w:tcW w:w="882" w:type="pct"/>
            <w:vAlign w:val="center"/>
          </w:tcPr>
          <w:p w14:paraId="4FBB62A5" w14:textId="77777777" w:rsidR="002459FA" w:rsidRPr="00AB35AB" w:rsidRDefault="002459FA" w:rsidP="00DD43EC">
            <w:pPr>
              <w:spacing w:before="40" w:after="40"/>
              <w:contextualSpacing w:val="0"/>
              <w:jc w:val="center"/>
              <w:rPr>
                <w:rFonts w:ascii="Arial" w:eastAsia="Calibri" w:hAnsi="Arial" w:cs="Arial"/>
                <w:b/>
                <w:sz w:val="22"/>
              </w:rPr>
            </w:pPr>
            <w:r w:rsidRPr="00AB35AB">
              <w:rPr>
                <w:rFonts w:ascii="Arial" w:eastAsia="Calibri" w:hAnsi="Arial" w:cs="Arial"/>
                <w:b/>
                <w:sz w:val="22"/>
              </w:rPr>
              <w:t>IPA (95% CI) *</w:t>
            </w:r>
          </w:p>
        </w:tc>
        <w:tc>
          <w:tcPr>
            <w:tcW w:w="854" w:type="pct"/>
            <w:vAlign w:val="center"/>
          </w:tcPr>
          <w:p w14:paraId="62C42FCD" w14:textId="77777777" w:rsidR="002459FA" w:rsidRPr="00AB35AB" w:rsidRDefault="002459FA" w:rsidP="00DD43EC">
            <w:pPr>
              <w:spacing w:before="40" w:after="40"/>
              <w:contextualSpacing w:val="0"/>
              <w:jc w:val="center"/>
              <w:rPr>
                <w:rFonts w:ascii="Arial" w:eastAsia="Calibri" w:hAnsi="Arial" w:cs="Arial"/>
                <w:b/>
                <w:sz w:val="22"/>
              </w:rPr>
            </w:pPr>
            <w:r w:rsidRPr="00AB35AB">
              <w:rPr>
                <w:rFonts w:ascii="Arial" w:eastAsia="Calibri" w:hAnsi="Arial" w:cs="Arial"/>
                <w:b/>
                <w:sz w:val="22"/>
              </w:rPr>
              <w:t>AUC (95% CI) *</w:t>
            </w:r>
          </w:p>
        </w:tc>
        <w:tc>
          <w:tcPr>
            <w:tcW w:w="882" w:type="pct"/>
            <w:vAlign w:val="center"/>
          </w:tcPr>
          <w:p w14:paraId="1B6ABFD7" w14:textId="77777777" w:rsidR="002459FA" w:rsidRPr="00AB35AB" w:rsidRDefault="002459FA" w:rsidP="00DD43EC">
            <w:pPr>
              <w:spacing w:before="40" w:after="40"/>
              <w:contextualSpacing w:val="0"/>
              <w:jc w:val="center"/>
              <w:rPr>
                <w:rFonts w:ascii="Arial" w:eastAsia="Calibri" w:hAnsi="Arial" w:cs="Arial"/>
                <w:b/>
                <w:sz w:val="22"/>
              </w:rPr>
            </w:pPr>
            <w:r w:rsidRPr="00AB35AB">
              <w:rPr>
                <w:rFonts w:ascii="Arial" w:eastAsia="Calibri" w:hAnsi="Arial" w:cs="Arial"/>
                <w:b/>
                <w:sz w:val="22"/>
              </w:rPr>
              <w:t>IPA (95% CI) *</w:t>
            </w:r>
          </w:p>
        </w:tc>
      </w:tr>
      <w:tr w:rsidR="002459FA" w:rsidRPr="00AB35AB" w14:paraId="4CF92C27" w14:textId="77777777" w:rsidTr="00DD43EC">
        <w:trPr>
          <w:trHeight w:val="217"/>
        </w:trPr>
        <w:tc>
          <w:tcPr>
            <w:tcW w:w="1528" w:type="pct"/>
            <w:vAlign w:val="center"/>
          </w:tcPr>
          <w:p w14:paraId="7CAAD5FA" w14:textId="77777777" w:rsidR="002459FA" w:rsidRPr="00AB35AB" w:rsidRDefault="002459FA" w:rsidP="00DD43EC">
            <w:pPr>
              <w:spacing w:before="40" w:after="40"/>
              <w:contextualSpacing w:val="0"/>
              <w:rPr>
                <w:rFonts w:ascii="Arial" w:eastAsia="Calibri" w:hAnsi="Arial" w:cs="Arial"/>
                <w:b/>
                <w:bCs/>
                <w:sz w:val="22"/>
              </w:rPr>
            </w:pPr>
            <w:r w:rsidRPr="00AB35AB">
              <w:rPr>
                <w:rFonts w:ascii="Arial" w:eastAsia="Calibri" w:hAnsi="Arial" w:cs="Arial"/>
                <w:b/>
                <w:bCs/>
                <w:sz w:val="22"/>
              </w:rPr>
              <w:t>ACC/AHA PCEs (CRIC Coefficients)</w:t>
            </w:r>
          </w:p>
        </w:tc>
        <w:tc>
          <w:tcPr>
            <w:tcW w:w="854" w:type="pct"/>
          </w:tcPr>
          <w:p w14:paraId="40DFDDF1" w14:textId="77777777" w:rsidR="002459FA" w:rsidRPr="00AB35AB" w:rsidRDefault="002459FA" w:rsidP="00DD43EC">
            <w:pPr>
              <w:spacing w:before="40" w:after="40"/>
              <w:contextualSpacing w:val="0"/>
              <w:jc w:val="center"/>
              <w:rPr>
                <w:rFonts w:ascii="Arial" w:hAnsi="Arial" w:cs="Arial"/>
                <w:sz w:val="22"/>
              </w:rPr>
            </w:pPr>
            <w:r w:rsidRPr="00AB35AB">
              <w:rPr>
                <w:rFonts w:ascii="Arial" w:hAnsi="Arial" w:cs="Arial"/>
                <w:sz w:val="22"/>
              </w:rPr>
              <w:t>0.736 (0.649, 0.826)</w:t>
            </w:r>
          </w:p>
        </w:tc>
        <w:tc>
          <w:tcPr>
            <w:tcW w:w="882" w:type="pct"/>
          </w:tcPr>
          <w:p w14:paraId="675245C8" w14:textId="77777777" w:rsidR="002459FA" w:rsidRPr="00AB35AB" w:rsidRDefault="002459FA" w:rsidP="00DD43EC">
            <w:pPr>
              <w:spacing w:before="40" w:after="40"/>
              <w:contextualSpacing w:val="0"/>
              <w:jc w:val="center"/>
              <w:rPr>
                <w:rFonts w:ascii="Arial" w:hAnsi="Arial" w:cs="Arial"/>
                <w:sz w:val="22"/>
              </w:rPr>
            </w:pPr>
            <w:r w:rsidRPr="00AB35AB">
              <w:rPr>
                <w:rFonts w:ascii="Arial" w:hAnsi="Arial" w:cs="Arial"/>
                <w:sz w:val="22"/>
              </w:rPr>
              <w:t>0.072 (-0.016, 0.137)</w:t>
            </w:r>
          </w:p>
        </w:tc>
        <w:tc>
          <w:tcPr>
            <w:tcW w:w="854" w:type="pct"/>
            <w:vAlign w:val="bottom"/>
          </w:tcPr>
          <w:p w14:paraId="5A4C04B0" w14:textId="77777777" w:rsidR="002459FA" w:rsidRPr="00AB35AB" w:rsidRDefault="002459FA" w:rsidP="00DD43EC">
            <w:pPr>
              <w:spacing w:before="40" w:after="40"/>
              <w:contextualSpacing w:val="0"/>
              <w:jc w:val="center"/>
              <w:rPr>
                <w:rFonts w:ascii="Arial" w:hAnsi="Arial" w:cs="Arial"/>
                <w:sz w:val="22"/>
              </w:rPr>
            </w:pPr>
            <w:r w:rsidRPr="00AB35AB">
              <w:rPr>
                <w:rFonts w:ascii="Arial" w:hAnsi="Arial" w:cs="Arial"/>
                <w:color w:val="000000"/>
                <w:sz w:val="22"/>
              </w:rPr>
              <w:t>0.738 (0.655, 0.839)</w:t>
            </w:r>
          </w:p>
        </w:tc>
        <w:tc>
          <w:tcPr>
            <w:tcW w:w="882" w:type="pct"/>
            <w:vAlign w:val="bottom"/>
          </w:tcPr>
          <w:p w14:paraId="315CB785" w14:textId="77777777" w:rsidR="002459FA" w:rsidRPr="00AB35AB" w:rsidRDefault="002459FA" w:rsidP="00DD43EC">
            <w:pPr>
              <w:spacing w:before="40" w:after="40"/>
              <w:contextualSpacing w:val="0"/>
              <w:jc w:val="center"/>
              <w:rPr>
                <w:rFonts w:ascii="Arial" w:hAnsi="Arial" w:cs="Arial"/>
                <w:sz w:val="22"/>
              </w:rPr>
            </w:pPr>
            <w:r w:rsidRPr="00AB35AB">
              <w:rPr>
                <w:rFonts w:ascii="Arial" w:hAnsi="Arial" w:cs="Arial"/>
                <w:color w:val="000000"/>
                <w:sz w:val="22"/>
              </w:rPr>
              <w:t>0.068 (0.010, 0.116)</w:t>
            </w:r>
          </w:p>
        </w:tc>
      </w:tr>
      <w:tr w:rsidR="002459FA" w:rsidRPr="00AB35AB" w14:paraId="4EE711A0" w14:textId="77777777" w:rsidTr="00DD43EC">
        <w:trPr>
          <w:trHeight w:val="217"/>
        </w:trPr>
        <w:tc>
          <w:tcPr>
            <w:tcW w:w="1528" w:type="pct"/>
            <w:vAlign w:val="center"/>
          </w:tcPr>
          <w:p w14:paraId="0E1FAEE9" w14:textId="77777777" w:rsidR="002459FA" w:rsidRPr="00AB35AB" w:rsidRDefault="002459FA" w:rsidP="00DD43EC">
            <w:pPr>
              <w:spacing w:before="40" w:after="40"/>
              <w:contextualSpacing w:val="0"/>
              <w:rPr>
                <w:rFonts w:ascii="Arial" w:eastAsia="Calibri" w:hAnsi="Arial" w:cs="Arial"/>
                <w:b/>
                <w:bCs/>
                <w:sz w:val="22"/>
              </w:rPr>
            </w:pPr>
            <w:r w:rsidRPr="00AB35AB">
              <w:rPr>
                <w:rFonts w:ascii="Arial" w:eastAsia="Calibri" w:hAnsi="Arial" w:cs="Arial"/>
                <w:b/>
                <w:bCs/>
                <w:sz w:val="22"/>
              </w:rPr>
              <w:t>Traditional Candidate Variables</w:t>
            </w:r>
          </w:p>
        </w:tc>
        <w:tc>
          <w:tcPr>
            <w:tcW w:w="854" w:type="pct"/>
          </w:tcPr>
          <w:p w14:paraId="7085D2D8" w14:textId="77777777" w:rsidR="002459FA" w:rsidRPr="00AB35AB" w:rsidRDefault="002459FA" w:rsidP="00DD43EC">
            <w:pPr>
              <w:spacing w:before="40" w:after="40"/>
              <w:contextualSpacing w:val="0"/>
              <w:jc w:val="center"/>
              <w:rPr>
                <w:rFonts w:ascii="Arial" w:hAnsi="Arial" w:cs="Arial"/>
                <w:sz w:val="22"/>
              </w:rPr>
            </w:pPr>
            <w:r w:rsidRPr="00AB35AB">
              <w:rPr>
                <w:rFonts w:ascii="Arial" w:hAnsi="Arial" w:cs="Arial"/>
                <w:sz w:val="22"/>
              </w:rPr>
              <w:t>0.760 (0.678, 0.851)</w:t>
            </w:r>
          </w:p>
        </w:tc>
        <w:tc>
          <w:tcPr>
            <w:tcW w:w="882" w:type="pct"/>
          </w:tcPr>
          <w:p w14:paraId="58F69D22" w14:textId="77777777" w:rsidR="002459FA" w:rsidRPr="00AB35AB" w:rsidRDefault="002459FA" w:rsidP="00DD43EC">
            <w:pPr>
              <w:spacing w:before="40" w:after="40"/>
              <w:contextualSpacing w:val="0"/>
              <w:jc w:val="center"/>
              <w:rPr>
                <w:rFonts w:ascii="Arial" w:hAnsi="Arial" w:cs="Arial"/>
                <w:sz w:val="22"/>
              </w:rPr>
            </w:pPr>
            <w:r w:rsidRPr="00AB35AB">
              <w:rPr>
                <w:rFonts w:ascii="Arial" w:hAnsi="Arial" w:cs="Arial"/>
                <w:sz w:val="22"/>
              </w:rPr>
              <w:t>0.095 (0.013, 0.173)</w:t>
            </w:r>
          </w:p>
        </w:tc>
        <w:tc>
          <w:tcPr>
            <w:tcW w:w="854" w:type="pct"/>
            <w:vAlign w:val="bottom"/>
          </w:tcPr>
          <w:p w14:paraId="07F6F427" w14:textId="77777777" w:rsidR="002459FA" w:rsidRPr="00AB35AB" w:rsidRDefault="002459FA" w:rsidP="00DD43EC">
            <w:pPr>
              <w:spacing w:before="40" w:after="40"/>
              <w:contextualSpacing w:val="0"/>
              <w:jc w:val="center"/>
              <w:rPr>
                <w:rFonts w:ascii="Arial" w:hAnsi="Arial" w:cs="Arial"/>
                <w:sz w:val="22"/>
              </w:rPr>
            </w:pPr>
            <w:r w:rsidRPr="00AB35AB">
              <w:rPr>
                <w:rFonts w:ascii="Arial" w:hAnsi="Arial" w:cs="Arial"/>
                <w:color w:val="000000"/>
                <w:sz w:val="22"/>
              </w:rPr>
              <w:t>0.762 (0.705, 0.861)</w:t>
            </w:r>
          </w:p>
        </w:tc>
        <w:tc>
          <w:tcPr>
            <w:tcW w:w="882" w:type="pct"/>
            <w:vAlign w:val="bottom"/>
          </w:tcPr>
          <w:p w14:paraId="280124A2" w14:textId="77777777" w:rsidR="002459FA" w:rsidRPr="00AB35AB" w:rsidRDefault="002459FA" w:rsidP="00DD43EC">
            <w:pPr>
              <w:spacing w:before="40" w:after="40"/>
              <w:contextualSpacing w:val="0"/>
              <w:jc w:val="center"/>
              <w:rPr>
                <w:rFonts w:ascii="Arial" w:hAnsi="Arial" w:cs="Arial"/>
                <w:sz w:val="22"/>
              </w:rPr>
            </w:pPr>
            <w:r w:rsidRPr="00AB35AB">
              <w:rPr>
                <w:rFonts w:ascii="Arial" w:hAnsi="Arial" w:cs="Arial"/>
                <w:color w:val="000000"/>
                <w:sz w:val="22"/>
              </w:rPr>
              <w:t>0.089 (0.035, 0.137)</w:t>
            </w:r>
          </w:p>
        </w:tc>
      </w:tr>
      <w:tr w:rsidR="002459FA" w:rsidRPr="00AB35AB" w14:paraId="253CB566" w14:textId="77777777" w:rsidTr="00DD43EC">
        <w:trPr>
          <w:trHeight w:val="217"/>
        </w:trPr>
        <w:tc>
          <w:tcPr>
            <w:tcW w:w="1528" w:type="pct"/>
            <w:vAlign w:val="center"/>
          </w:tcPr>
          <w:p w14:paraId="119BF880" w14:textId="77777777" w:rsidR="002459FA" w:rsidRPr="00AB35AB" w:rsidRDefault="002459FA" w:rsidP="00DD43EC">
            <w:pPr>
              <w:spacing w:before="40" w:after="40"/>
              <w:contextualSpacing w:val="0"/>
              <w:rPr>
                <w:rFonts w:ascii="Arial" w:eastAsia="Calibri" w:hAnsi="Arial" w:cs="Arial"/>
                <w:b/>
                <w:bCs/>
                <w:sz w:val="22"/>
              </w:rPr>
            </w:pPr>
            <w:r w:rsidRPr="00AB35AB">
              <w:rPr>
                <w:rFonts w:ascii="Arial" w:eastAsia="Calibri" w:hAnsi="Arial" w:cs="Arial"/>
                <w:b/>
                <w:bCs/>
                <w:sz w:val="22"/>
              </w:rPr>
              <w:t>All Candidate Variables</w:t>
            </w:r>
          </w:p>
        </w:tc>
        <w:tc>
          <w:tcPr>
            <w:tcW w:w="854" w:type="pct"/>
          </w:tcPr>
          <w:p w14:paraId="27990405" w14:textId="77777777" w:rsidR="002459FA" w:rsidRPr="00AB35AB" w:rsidRDefault="002459FA" w:rsidP="00DD43EC">
            <w:pPr>
              <w:spacing w:before="40" w:after="40"/>
              <w:contextualSpacing w:val="0"/>
              <w:jc w:val="center"/>
              <w:rPr>
                <w:rFonts w:ascii="Arial" w:hAnsi="Arial" w:cs="Arial"/>
                <w:sz w:val="22"/>
              </w:rPr>
            </w:pPr>
            <w:r w:rsidRPr="00AB35AB">
              <w:rPr>
                <w:rFonts w:ascii="Arial" w:hAnsi="Arial" w:cs="Arial"/>
                <w:sz w:val="22"/>
              </w:rPr>
              <w:t>0.771 (0.674, 0.853)</w:t>
            </w:r>
          </w:p>
        </w:tc>
        <w:tc>
          <w:tcPr>
            <w:tcW w:w="882" w:type="pct"/>
          </w:tcPr>
          <w:p w14:paraId="343BEC2A" w14:textId="77777777" w:rsidR="002459FA" w:rsidRPr="00AB35AB" w:rsidRDefault="002459FA" w:rsidP="00DD43EC">
            <w:pPr>
              <w:spacing w:before="40" w:after="40"/>
              <w:contextualSpacing w:val="0"/>
              <w:jc w:val="center"/>
              <w:rPr>
                <w:rFonts w:ascii="Arial" w:hAnsi="Arial" w:cs="Arial"/>
                <w:sz w:val="22"/>
              </w:rPr>
            </w:pPr>
            <w:r w:rsidRPr="00AB35AB">
              <w:rPr>
                <w:rFonts w:ascii="Arial" w:hAnsi="Arial" w:cs="Arial"/>
                <w:sz w:val="22"/>
              </w:rPr>
              <w:t>0.105 (0.033, 0.168)</w:t>
            </w:r>
          </w:p>
        </w:tc>
        <w:tc>
          <w:tcPr>
            <w:tcW w:w="854" w:type="pct"/>
            <w:vAlign w:val="bottom"/>
          </w:tcPr>
          <w:p w14:paraId="79DFD182" w14:textId="77777777" w:rsidR="002459FA" w:rsidRPr="00AB35AB" w:rsidRDefault="002459FA" w:rsidP="00DD43EC">
            <w:pPr>
              <w:spacing w:before="40" w:after="40"/>
              <w:contextualSpacing w:val="0"/>
              <w:jc w:val="center"/>
              <w:rPr>
                <w:rFonts w:ascii="Arial" w:hAnsi="Arial" w:cs="Arial"/>
                <w:sz w:val="22"/>
              </w:rPr>
            </w:pPr>
            <w:r w:rsidRPr="00AB35AB">
              <w:rPr>
                <w:rFonts w:ascii="Arial" w:hAnsi="Arial" w:cs="Arial"/>
                <w:color w:val="000000"/>
                <w:sz w:val="22"/>
              </w:rPr>
              <w:t>0.776 (0.701, 0.868)</w:t>
            </w:r>
          </w:p>
        </w:tc>
        <w:tc>
          <w:tcPr>
            <w:tcW w:w="882" w:type="pct"/>
            <w:vAlign w:val="bottom"/>
          </w:tcPr>
          <w:p w14:paraId="1A7568A8" w14:textId="77777777" w:rsidR="002459FA" w:rsidRPr="00AB35AB" w:rsidRDefault="002459FA" w:rsidP="00DD43EC">
            <w:pPr>
              <w:spacing w:before="40" w:after="40"/>
              <w:contextualSpacing w:val="0"/>
              <w:jc w:val="center"/>
              <w:rPr>
                <w:rFonts w:ascii="Arial" w:hAnsi="Arial" w:cs="Arial"/>
                <w:sz w:val="22"/>
              </w:rPr>
            </w:pPr>
            <w:r w:rsidRPr="00AB35AB">
              <w:rPr>
                <w:rFonts w:ascii="Arial" w:hAnsi="Arial" w:cs="Arial"/>
                <w:color w:val="000000"/>
                <w:sz w:val="22"/>
              </w:rPr>
              <w:t>0.102 (0.019, 0.142)</w:t>
            </w:r>
          </w:p>
        </w:tc>
      </w:tr>
    </w:tbl>
    <w:p w14:paraId="26180DEB" w14:textId="6DCCC761" w:rsidR="005C1232" w:rsidRPr="005C1232" w:rsidRDefault="005C1232" w:rsidP="005C1232">
      <w:pPr>
        <w:spacing w:before="80" w:after="160"/>
        <w:contextualSpacing w:val="0"/>
        <w:rPr>
          <w:rFonts w:ascii="Arial" w:hAnsi="Arial" w:cs="Arial"/>
          <w:sz w:val="22"/>
        </w:rPr>
      </w:pPr>
      <w:r w:rsidRPr="005C1232">
        <w:rPr>
          <w:rFonts w:ascii="Arial" w:hAnsi="Arial" w:cs="Arial"/>
          <w:sz w:val="22"/>
        </w:rPr>
        <w:t xml:space="preserve">Abbreviations: ACC/AHA PCEs = American College of Cardiology/American Heart Association Pooled Cohort Equations; AUC = area under the ROC curve; </w:t>
      </w:r>
      <w:r w:rsidR="001F7F97">
        <w:rPr>
          <w:rFonts w:ascii="Arial" w:hAnsi="Arial" w:cs="Arial"/>
          <w:sz w:val="22"/>
        </w:rPr>
        <w:t xml:space="preserve">CI = confidence interval; </w:t>
      </w:r>
      <w:r w:rsidRPr="005C1232">
        <w:rPr>
          <w:rFonts w:ascii="Arial" w:hAnsi="Arial" w:cs="Arial"/>
          <w:sz w:val="22"/>
        </w:rPr>
        <w:t>IPA = index of prediction accuracy</w:t>
      </w:r>
    </w:p>
    <w:p w14:paraId="28079D05" w14:textId="57E2B80B" w:rsidR="00EA3792" w:rsidRDefault="005C1232" w:rsidP="005C1232">
      <w:pPr>
        <w:spacing w:after="80"/>
        <w:contextualSpacing w:val="0"/>
        <w:rPr>
          <w:rFonts w:ascii="Arial" w:hAnsi="Arial" w:cs="Arial"/>
          <w:sz w:val="22"/>
        </w:rPr>
      </w:pPr>
      <w:r w:rsidRPr="005C1232">
        <w:rPr>
          <w:rFonts w:ascii="Arial" w:hAnsi="Arial" w:cs="Arial"/>
          <w:sz w:val="22"/>
        </w:rPr>
        <w:t xml:space="preserve">* </w:t>
      </w:r>
      <w:r w:rsidR="00BF08F1">
        <w:rPr>
          <w:rFonts w:ascii="Arial" w:hAnsi="Arial" w:cs="Arial"/>
          <w:sz w:val="22"/>
        </w:rPr>
        <w:t xml:space="preserve">Models were fit using Cox proportional hazards regression and variables selected using backward elimination with a criterion of </w:t>
      </w:r>
      <w:r w:rsidR="00C64FBD" w:rsidRPr="00C64FBD">
        <w:rPr>
          <w:rFonts w:ascii="Arial" w:hAnsi="Arial" w:cs="Arial"/>
          <w:i/>
          <w:iCs/>
          <w:sz w:val="22"/>
        </w:rPr>
        <w:t>P</w:t>
      </w:r>
      <w:r w:rsidR="00BF08F1">
        <w:rPr>
          <w:rFonts w:ascii="Arial" w:hAnsi="Arial" w:cs="Arial"/>
          <w:sz w:val="22"/>
        </w:rPr>
        <w:t>&lt;0.05</w:t>
      </w:r>
      <w:r w:rsidR="007F0F14">
        <w:rPr>
          <w:rFonts w:ascii="Arial" w:hAnsi="Arial" w:cs="Arial"/>
          <w:sz w:val="22"/>
        </w:rPr>
        <w:t xml:space="preserve">. </w:t>
      </w:r>
      <w:r w:rsidRPr="005C1232">
        <w:rPr>
          <w:rFonts w:ascii="Arial" w:hAnsi="Arial" w:cs="Arial"/>
          <w:sz w:val="22"/>
        </w:rPr>
        <w:t>Higher values for the AUC and IPA indicate better performing models</w:t>
      </w:r>
      <w:r w:rsidR="007F0F14">
        <w:rPr>
          <w:rFonts w:ascii="Arial" w:hAnsi="Arial" w:cs="Arial"/>
          <w:sz w:val="22"/>
        </w:rPr>
        <w:t>.</w:t>
      </w:r>
    </w:p>
    <w:p w14:paraId="59068085" w14:textId="77777777" w:rsidR="00EA3792" w:rsidRDefault="00EA3792">
      <w:pPr>
        <w:spacing w:after="160" w:line="259" w:lineRule="auto"/>
        <w:contextualSpacing w:val="0"/>
        <w:rPr>
          <w:rFonts w:ascii="Arial" w:hAnsi="Arial" w:cs="Arial"/>
          <w:sz w:val="22"/>
        </w:rPr>
      </w:pPr>
      <w:r>
        <w:rPr>
          <w:rFonts w:ascii="Arial" w:hAnsi="Arial" w:cs="Arial"/>
          <w:sz w:val="22"/>
        </w:rPr>
        <w:br w:type="page"/>
      </w:r>
    </w:p>
    <w:p w14:paraId="2A5C35C0" w14:textId="7BEF2DAB" w:rsidR="00EA3792" w:rsidRPr="00982623" w:rsidRDefault="00DA3FCB" w:rsidP="002B6951">
      <w:pPr>
        <w:spacing w:after="120"/>
        <w:contextualSpacing w:val="0"/>
        <w:rPr>
          <w:rFonts w:ascii="Arial" w:eastAsia="+mn-ea" w:hAnsi="Arial" w:cs="Arial"/>
          <w:color w:val="000000"/>
          <w:kern w:val="24"/>
          <w:sz w:val="22"/>
        </w:rPr>
      </w:pPr>
      <w:r>
        <w:rPr>
          <w:rFonts w:ascii="Arial" w:hAnsi="Arial" w:cs="Arial"/>
          <w:b/>
          <w:bCs/>
          <w:sz w:val="22"/>
        </w:rPr>
        <w:lastRenderedPageBreak/>
        <w:t xml:space="preserve">Supplemental </w:t>
      </w:r>
      <w:r w:rsidR="00EA3792" w:rsidRPr="00982623">
        <w:rPr>
          <w:rFonts w:ascii="Arial" w:eastAsia="+mn-ea" w:hAnsi="Arial" w:cs="Arial"/>
          <w:b/>
          <w:color w:val="000000"/>
          <w:kern w:val="24"/>
          <w:sz w:val="22"/>
        </w:rPr>
        <w:t xml:space="preserve">Table </w:t>
      </w:r>
      <w:r w:rsidR="00F65F74" w:rsidRPr="00982623">
        <w:rPr>
          <w:rFonts w:ascii="Arial" w:eastAsia="+mn-ea" w:hAnsi="Arial" w:cs="Arial"/>
          <w:b/>
          <w:color w:val="000000"/>
          <w:kern w:val="24"/>
          <w:sz w:val="22"/>
        </w:rPr>
        <w:t>3</w:t>
      </w:r>
      <w:r w:rsidR="00EA3792" w:rsidRPr="00982623">
        <w:rPr>
          <w:rFonts w:ascii="Arial" w:eastAsia="+mn-ea" w:hAnsi="Arial" w:cs="Arial"/>
          <w:b/>
          <w:color w:val="000000"/>
          <w:kern w:val="24"/>
          <w:sz w:val="22"/>
        </w:rPr>
        <w:t>.</w:t>
      </w:r>
      <w:r w:rsidR="00EA3792" w:rsidRPr="00982623">
        <w:rPr>
          <w:rFonts w:ascii="Arial" w:eastAsia="+mn-ea" w:hAnsi="Arial" w:cs="Arial"/>
          <w:color w:val="000000"/>
          <w:kern w:val="24"/>
          <w:sz w:val="22"/>
        </w:rPr>
        <w:t xml:space="preserve"> </w:t>
      </w:r>
      <w:bookmarkStart w:id="3" w:name="_Hlk59014078"/>
      <w:r w:rsidR="002B6951" w:rsidRPr="00982623">
        <w:rPr>
          <w:rFonts w:ascii="Arial" w:eastAsia="+mn-ea" w:hAnsi="Arial" w:cs="Arial"/>
          <w:color w:val="000000"/>
          <w:kern w:val="24"/>
          <w:sz w:val="22"/>
        </w:rPr>
        <w:t xml:space="preserve">Example </w:t>
      </w:r>
      <w:r w:rsidR="00EA3792" w:rsidRPr="00982623">
        <w:rPr>
          <w:rFonts w:ascii="Arial" w:eastAsia="+mn-ea" w:hAnsi="Arial" w:cs="Arial"/>
          <w:color w:val="000000"/>
          <w:kern w:val="24"/>
          <w:sz w:val="22"/>
        </w:rPr>
        <w:t>Calculation</w:t>
      </w:r>
      <w:r w:rsidR="002B6951" w:rsidRPr="00982623">
        <w:rPr>
          <w:rFonts w:ascii="Arial" w:eastAsia="+mn-ea" w:hAnsi="Arial" w:cs="Arial"/>
          <w:color w:val="000000"/>
          <w:kern w:val="24"/>
          <w:sz w:val="22"/>
        </w:rPr>
        <w:t>s</w:t>
      </w:r>
      <w:r w:rsidR="00EA3792" w:rsidRPr="00982623">
        <w:rPr>
          <w:rFonts w:ascii="Arial" w:eastAsia="+mn-ea" w:hAnsi="Arial" w:cs="Arial"/>
          <w:color w:val="000000"/>
          <w:kern w:val="24"/>
          <w:sz w:val="22"/>
        </w:rPr>
        <w:t xml:space="preserve"> of Predicted 10-year Risk of ASCVD </w:t>
      </w:r>
      <w:r w:rsidR="002B6951" w:rsidRPr="00982623">
        <w:rPr>
          <w:rFonts w:ascii="Arial" w:eastAsia="+mn-ea" w:hAnsi="Arial" w:cs="Arial"/>
          <w:color w:val="000000"/>
          <w:kern w:val="24"/>
          <w:sz w:val="22"/>
        </w:rPr>
        <w:t>(ACC/AHA PCEs Variables)</w:t>
      </w:r>
      <w:bookmarkEnd w:id="3"/>
    </w:p>
    <w:tbl>
      <w:tblPr>
        <w:tblStyle w:val="TableGrid"/>
        <w:tblW w:w="0" w:type="auto"/>
        <w:tblLook w:val="04A0" w:firstRow="1" w:lastRow="0" w:firstColumn="1" w:lastColumn="0" w:noHBand="0" w:noVBand="1"/>
      </w:tblPr>
      <w:tblGrid>
        <w:gridCol w:w="3724"/>
        <w:gridCol w:w="1501"/>
        <w:gridCol w:w="1476"/>
        <w:gridCol w:w="1476"/>
        <w:gridCol w:w="1476"/>
        <w:gridCol w:w="1476"/>
        <w:gridCol w:w="1476"/>
        <w:gridCol w:w="1476"/>
      </w:tblGrid>
      <w:tr w:rsidR="002459FA" w:rsidRPr="00982623" w14:paraId="700B1046" w14:textId="77777777" w:rsidTr="00DD43EC">
        <w:trPr>
          <w:trHeight w:val="250"/>
        </w:trPr>
        <w:tc>
          <w:tcPr>
            <w:tcW w:w="3724" w:type="dxa"/>
            <w:vMerge w:val="restart"/>
            <w:shd w:val="clear" w:color="auto" w:fill="auto"/>
            <w:vAlign w:val="center"/>
          </w:tcPr>
          <w:p w14:paraId="6D586B73"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b/>
                <w:sz w:val="22"/>
              </w:rPr>
              <w:t>Variables</w:t>
            </w:r>
          </w:p>
        </w:tc>
        <w:tc>
          <w:tcPr>
            <w:tcW w:w="1501" w:type="dxa"/>
            <w:vMerge w:val="restart"/>
            <w:vAlign w:val="center"/>
          </w:tcPr>
          <w:p w14:paraId="741EFD15" w14:textId="77777777" w:rsidR="002459FA" w:rsidRPr="00982623" w:rsidRDefault="002459FA" w:rsidP="00DD43EC">
            <w:pPr>
              <w:spacing w:before="40" w:after="40"/>
              <w:contextualSpacing w:val="0"/>
              <w:jc w:val="center"/>
              <w:rPr>
                <w:rFonts w:ascii="Arial" w:hAnsi="Arial" w:cs="Arial"/>
                <w:b/>
                <w:bCs/>
                <w:sz w:val="22"/>
              </w:rPr>
            </w:pPr>
            <w:r w:rsidRPr="00982623">
              <w:rPr>
                <w:rFonts w:ascii="Arial" w:hAnsi="Arial" w:cs="Arial"/>
                <w:b/>
                <w:sz w:val="22"/>
              </w:rPr>
              <w:t>Model</w:t>
            </w:r>
            <w:r w:rsidRPr="00982623">
              <w:rPr>
                <w:rFonts w:ascii="Arial" w:hAnsi="Arial" w:cs="Arial"/>
                <w:b/>
                <w:sz w:val="22"/>
              </w:rPr>
              <w:br/>
            </w:r>
            <w:r w:rsidRPr="00982623">
              <w:rPr>
                <w:rFonts w:ascii="Arial" w:hAnsi="Arial" w:cs="Arial"/>
                <w:b/>
                <w:bCs/>
                <w:sz w:val="22"/>
              </w:rPr>
              <w:t>Coefficients</w:t>
            </w:r>
          </w:p>
        </w:tc>
        <w:tc>
          <w:tcPr>
            <w:tcW w:w="2952" w:type="dxa"/>
            <w:gridSpan w:val="2"/>
            <w:vAlign w:val="center"/>
          </w:tcPr>
          <w:p w14:paraId="63DFF474" w14:textId="77777777" w:rsidR="002459FA" w:rsidRPr="00982623" w:rsidRDefault="002459FA" w:rsidP="00DD43EC">
            <w:pPr>
              <w:spacing w:before="40" w:after="40"/>
              <w:contextualSpacing w:val="0"/>
              <w:jc w:val="center"/>
              <w:rPr>
                <w:rFonts w:ascii="Arial" w:hAnsi="Arial" w:cs="Arial"/>
                <w:b/>
                <w:bCs/>
                <w:sz w:val="22"/>
              </w:rPr>
            </w:pPr>
            <w:r w:rsidRPr="00982623">
              <w:rPr>
                <w:rFonts w:ascii="Arial" w:hAnsi="Arial" w:cs="Arial"/>
                <w:b/>
                <w:bCs/>
                <w:sz w:val="22"/>
              </w:rPr>
              <w:t>Example Patient 1</w:t>
            </w:r>
          </w:p>
        </w:tc>
        <w:tc>
          <w:tcPr>
            <w:tcW w:w="2952" w:type="dxa"/>
            <w:gridSpan w:val="2"/>
            <w:vAlign w:val="center"/>
          </w:tcPr>
          <w:p w14:paraId="21B200A7" w14:textId="77777777" w:rsidR="002459FA" w:rsidRPr="00982623" w:rsidRDefault="002459FA" w:rsidP="00DD43EC">
            <w:pPr>
              <w:spacing w:before="40" w:after="40"/>
              <w:contextualSpacing w:val="0"/>
              <w:jc w:val="center"/>
              <w:rPr>
                <w:rFonts w:ascii="Arial" w:hAnsi="Arial" w:cs="Arial"/>
                <w:b/>
                <w:bCs/>
                <w:sz w:val="22"/>
              </w:rPr>
            </w:pPr>
            <w:r w:rsidRPr="00982623">
              <w:rPr>
                <w:rFonts w:ascii="Arial" w:hAnsi="Arial" w:cs="Arial"/>
                <w:b/>
                <w:bCs/>
                <w:sz w:val="22"/>
              </w:rPr>
              <w:t>Example Patient 2</w:t>
            </w:r>
          </w:p>
        </w:tc>
        <w:tc>
          <w:tcPr>
            <w:tcW w:w="2952" w:type="dxa"/>
            <w:gridSpan w:val="2"/>
            <w:vAlign w:val="center"/>
          </w:tcPr>
          <w:p w14:paraId="44CFB978" w14:textId="77777777" w:rsidR="002459FA" w:rsidRPr="00982623" w:rsidRDefault="002459FA" w:rsidP="00DD43EC">
            <w:pPr>
              <w:spacing w:before="40" w:after="40"/>
              <w:contextualSpacing w:val="0"/>
              <w:jc w:val="center"/>
              <w:rPr>
                <w:rFonts w:ascii="Arial" w:hAnsi="Arial" w:cs="Arial"/>
                <w:b/>
                <w:bCs/>
                <w:sz w:val="22"/>
              </w:rPr>
            </w:pPr>
            <w:r w:rsidRPr="00982623">
              <w:rPr>
                <w:rFonts w:ascii="Arial" w:hAnsi="Arial" w:cs="Arial"/>
                <w:b/>
                <w:bCs/>
                <w:sz w:val="22"/>
              </w:rPr>
              <w:t>Example Patient 3</w:t>
            </w:r>
          </w:p>
        </w:tc>
      </w:tr>
      <w:tr w:rsidR="002459FA" w:rsidRPr="00982623" w14:paraId="41DF19BA" w14:textId="77777777" w:rsidTr="00DD43EC">
        <w:trPr>
          <w:trHeight w:val="250"/>
        </w:trPr>
        <w:tc>
          <w:tcPr>
            <w:tcW w:w="3724" w:type="dxa"/>
            <w:vMerge/>
            <w:shd w:val="clear" w:color="auto" w:fill="auto"/>
            <w:vAlign w:val="center"/>
          </w:tcPr>
          <w:p w14:paraId="737C4BE8" w14:textId="77777777" w:rsidR="002459FA" w:rsidRPr="00982623" w:rsidRDefault="002459FA" w:rsidP="00DD43EC">
            <w:pPr>
              <w:spacing w:before="40" w:after="40"/>
              <w:contextualSpacing w:val="0"/>
              <w:rPr>
                <w:rFonts w:ascii="Arial" w:hAnsi="Arial" w:cs="Arial"/>
                <w:sz w:val="22"/>
              </w:rPr>
            </w:pPr>
          </w:p>
        </w:tc>
        <w:tc>
          <w:tcPr>
            <w:tcW w:w="1501" w:type="dxa"/>
            <w:vMerge/>
            <w:vAlign w:val="center"/>
          </w:tcPr>
          <w:p w14:paraId="0278F481" w14:textId="77777777" w:rsidR="002459FA" w:rsidRPr="00982623" w:rsidRDefault="002459FA" w:rsidP="00DD43EC">
            <w:pPr>
              <w:spacing w:before="40" w:after="40"/>
              <w:contextualSpacing w:val="0"/>
              <w:jc w:val="center"/>
              <w:rPr>
                <w:rFonts w:ascii="Arial" w:hAnsi="Arial" w:cs="Arial"/>
                <w:b/>
                <w:bCs/>
                <w:sz w:val="22"/>
              </w:rPr>
            </w:pPr>
          </w:p>
        </w:tc>
        <w:tc>
          <w:tcPr>
            <w:tcW w:w="1476" w:type="dxa"/>
            <w:vAlign w:val="center"/>
          </w:tcPr>
          <w:p w14:paraId="754897A8" w14:textId="77777777" w:rsidR="002459FA" w:rsidRPr="00982623" w:rsidRDefault="002459FA" w:rsidP="00DD43EC">
            <w:pPr>
              <w:spacing w:before="40" w:after="40"/>
              <w:contextualSpacing w:val="0"/>
              <w:jc w:val="center"/>
              <w:rPr>
                <w:rFonts w:ascii="Arial" w:hAnsi="Arial" w:cs="Arial"/>
                <w:b/>
                <w:bCs/>
                <w:sz w:val="22"/>
              </w:rPr>
            </w:pPr>
            <w:r w:rsidRPr="00982623">
              <w:rPr>
                <w:rFonts w:ascii="Arial" w:hAnsi="Arial" w:cs="Arial"/>
                <w:b/>
                <w:bCs/>
                <w:sz w:val="22"/>
              </w:rPr>
              <w:t>Patient Values</w:t>
            </w:r>
          </w:p>
        </w:tc>
        <w:tc>
          <w:tcPr>
            <w:tcW w:w="1476" w:type="dxa"/>
            <w:vAlign w:val="center"/>
          </w:tcPr>
          <w:p w14:paraId="7CEEFAF8" w14:textId="77777777" w:rsidR="002459FA" w:rsidRPr="00982623" w:rsidRDefault="002459FA" w:rsidP="00DD43EC">
            <w:pPr>
              <w:spacing w:before="40" w:after="40"/>
              <w:contextualSpacing w:val="0"/>
              <w:jc w:val="center"/>
              <w:rPr>
                <w:rFonts w:ascii="Arial" w:hAnsi="Arial" w:cs="Arial"/>
                <w:b/>
                <w:bCs/>
                <w:sz w:val="22"/>
              </w:rPr>
            </w:pPr>
            <w:r w:rsidRPr="00982623">
              <w:rPr>
                <w:rFonts w:ascii="Arial" w:hAnsi="Arial" w:cs="Arial"/>
                <w:b/>
                <w:sz w:val="22"/>
              </w:rPr>
              <w:t xml:space="preserve">Coefficients </w:t>
            </w:r>
            <w:bookmarkStart w:id="4" w:name="_Hlk15124831"/>
            <w:r w:rsidRPr="00982623">
              <w:rPr>
                <w:rFonts w:ascii="Arial" w:hAnsi="Arial" w:cs="Arial"/>
                <w:b/>
                <w:sz w:val="22"/>
              </w:rPr>
              <w:t>×</w:t>
            </w:r>
            <w:bookmarkEnd w:id="4"/>
            <w:r w:rsidRPr="00982623">
              <w:rPr>
                <w:rFonts w:ascii="Arial" w:hAnsi="Arial" w:cs="Arial"/>
                <w:b/>
                <w:sz w:val="22"/>
              </w:rPr>
              <w:t xml:space="preserve"> Values*</w:t>
            </w:r>
          </w:p>
        </w:tc>
        <w:tc>
          <w:tcPr>
            <w:tcW w:w="1476" w:type="dxa"/>
            <w:vAlign w:val="center"/>
          </w:tcPr>
          <w:p w14:paraId="771F056F" w14:textId="77777777" w:rsidR="002459FA" w:rsidRPr="00982623" w:rsidRDefault="002459FA" w:rsidP="00DD43EC">
            <w:pPr>
              <w:spacing w:before="40" w:after="40"/>
              <w:contextualSpacing w:val="0"/>
              <w:jc w:val="center"/>
              <w:rPr>
                <w:rFonts w:ascii="Arial" w:hAnsi="Arial" w:cs="Arial"/>
                <w:b/>
                <w:sz w:val="22"/>
              </w:rPr>
            </w:pPr>
            <w:r w:rsidRPr="00982623">
              <w:rPr>
                <w:rFonts w:ascii="Arial" w:hAnsi="Arial" w:cs="Arial"/>
                <w:b/>
                <w:bCs/>
                <w:sz w:val="22"/>
              </w:rPr>
              <w:t>Patient</w:t>
            </w:r>
            <w:r w:rsidRPr="00982623">
              <w:rPr>
                <w:rFonts w:ascii="Arial" w:hAnsi="Arial" w:cs="Arial"/>
                <w:b/>
                <w:bCs/>
                <w:sz w:val="22"/>
              </w:rPr>
              <w:br/>
            </w:r>
            <w:r w:rsidRPr="00982623">
              <w:rPr>
                <w:rFonts w:ascii="Arial" w:hAnsi="Arial" w:cs="Arial"/>
                <w:b/>
                <w:sz w:val="22"/>
              </w:rPr>
              <w:t>Values</w:t>
            </w:r>
          </w:p>
        </w:tc>
        <w:tc>
          <w:tcPr>
            <w:tcW w:w="1476" w:type="dxa"/>
            <w:vAlign w:val="center"/>
          </w:tcPr>
          <w:p w14:paraId="7C207193" w14:textId="77777777" w:rsidR="002459FA" w:rsidRPr="00982623" w:rsidRDefault="002459FA" w:rsidP="00DD43EC">
            <w:pPr>
              <w:spacing w:before="40" w:after="40"/>
              <w:contextualSpacing w:val="0"/>
              <w:jc w:val="center"/>
              <w:rPr>
                <w:rFonts w:ascii="Arial" w:hAnsi="Arial" w:cs="Arial"/>
                <w:b/>
                <w:sz w:val="22"/>
              </w:rPr>
            </w:pPr>
            <w:r w:rsidRPr="00982623">
              <w:rPr>
                <w:rFonts w:ascii="Arial" w:hAnsi="Arial" w:cs="Arial"/>
                <w:b/>
                <w:sz w:val="22"/>
              </w:rPr>
              <w:t>Coefficients × Values*</w:t>
            </w:r>
          </w:p>
        </w:tc>
        <w:tc>
          <w:tcPr>
            <w:tcW w:w="1476" w:type="dxa"/>
            <w:vAlign w:val="center"/>
          </w:tcPr>
          <w:p w14:paraId="03B21728" w14:textId="77777777" w:rsidR="002459FA" w:rsidRPr="00982623" w:rsidRDefault="002459FA" w:rsidP="00DD43EC">
            <w:pPr>
              <w:spacing w:before="40" w:after="40"/>
              <w:contextualSpacing w:val="0"/>
              <w:jc w:val="center"/>
              <w:rPr>
                <w:rFonts w:ascii="Arial" w:hAnsi="Arial" w:cs="Arial"/>
                <w:b/>
                <w:sz w:val="22"/>
              </w:rPr>
            </w:pPr>
            <w:r w:rsidRPr="00982623">
              <w:rPr>
                <w:rFonts w:ascii="Arial" w:hAnsi="Arial" w:cs="Arial"/>
                <w:b/>
                <w:bCs/>
                <w:sz w:val="22"/>
              </w:rPr>
              <w:t>Patient</w:t>
            </w:r>
            <w:r w:rsidRPr="00982623">
              <w:rPr>
                <w:rFonts w:ascii="Arial" w:hAnsi="Arial" w:cs="Arial"/>
                <w:b/>
                <w:bCs/>
                <w:sz w:val="22"/>
              </w:rPr>
              <w:br/>
            </w:r>
            <w:r w:rsidRPr="00982623">
              <w:rPr>
                <w:rFonts w:ascii="Arial" w:hAnsi="Arial" w:cs="Arial"/>
                <w:b/>
                <w:sz w:val="22"/>
              </w:rPr>
              <w:t>Values</w:t>
            </w:r>
          </w:p>
        </w:tc>
        <w:tc>
          <w:tcPr>
            <w:tcW w:w="1476" w:type="dxa"/>
            <w:vAlign w:val="center"/>
          </w:tcPr>
          <w:p w14:paraId="622F0BA8" w14:textId="77777777" w:rsidR="002459FA" w:rsidRPr="00982623" w:rsidRDefault="002459FA" w:rsidP="00DD43EC">
            <w:pPr>
              <w:spacing w:before="40" w:after="40"/>
              <w:contextualSpacing w:val="0"/>
              <w:jc w:val="center"/>
              <w:rPr>
                <w:rFonts w:ascii="Arial" w:hAnsi="Arial" w:cs="Arial"/>
                <w:b/>
                <w:sz w:val="22"/>
              </w:rPr>
            </w:pPr>
            <w:r w:rsidRPr="00982623">
              <w:rPr>
                <w:rFonts w:ascii="Arial" w:hAnsi="Arial" w:cs="Arial"/>
                <w:b/>
                <w:sz w:val="22"/>
              </w:rPr>
              <w:t>Coefficients × Values*</w:t>
            </w:r>
          </w:p>
        </w:tc>
      </w:tr>
      <w:tr w:rsidR="002459FA" w:rsidRPr="00982623" w14:paraId="30DF247E" w14:textId="77777777" w:rsidTr="00DD43EC">
        <w:trPr>
          <w:trHeight w:val="250"/>
        </w:trPr>
        <w:tc>
          <w:tcPr>
            <w:tcW w:w="3724" w:type="dxa"/>
            <w:shd w:val="clear" w:color="auto" w:fill="auto"/>
            <w:vAlign w:val="center"/>
          </w:tcPr>
          <w:p w14:paraId="26EACB6A"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sz w:val="22"/>
              </w:rPr>
              <w:t>Age (years)</w:t>
            </w:r>
          </w:p>
        </w:tc>
        <w:tc>
          <w:tcPr>
            <w:tcW w:w="1501" w:type="dxa"/>
            <w:vAlign w:val="center"/>
          </w:tcPr>
          <w:p w14:paraId="188A68FE"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0.0275</w:t>
            </w:r>
          </w:p>
        </w:tc>
        <w:tc>
          <w:tcPr>
            <w:tcW w:w="1476" w:type="dxa"/>
            <w:vAlign w:val="center"/>
          </w:tcPr>
          <w:p w14:paraId="10EA96B1"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65</w:t>
            </w:r>
          </w:p>
        </w:tc>
        <w:tc>
          <w:tcPr>
            <w:tcW w:w="1476" w:type="dxa"/>
            <w:vAlign w:val="center"/>
          </w:tcPr>
          <w:p w14:paraId="12A3C38B"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1.7875</w:t>
            </w:r>
          </w:p>
        </w:tc>
        <w:tc>
          <w:tcPr>
            <w:tcW w:w="1476" w:type="dxa"/>
            <w:vAlign w:val="center"/>
          </w:tcPr>
          <w:p w14:paraId="2F916AA9"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47</w:t>
            </w:r>
          </w:p>
        </w:tc>
        <w:tc>
          <w:tcPr>
            <w:tcW w:w="1476" w:type="dxa"/>
            <w:vAlign w:val="center"/>
          </w:tcPr>
          <w:p w14:paraId="78B5B3F3"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1.2925</w:t>
            </w:r>
          </w:p>
        </w:tc>
        <w:tc>
          <w:tcPr>
            <w:tcW w:w="1476" w:type="dxa"/>
            <w:vAlign w:val="center"/>
          </w:tcPr>
          <w:p w14:paraId="6DC57A52"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54</w:t>
            </w:r>
          </w:p>
        </w:tc>
        <w:tc>
          <w:tcPr>
            <w:tcW w:w="1476" w:type="dxa"/>
            <w:vAlign w:val="center"/>
          </w:tcPr>
          <w:p w14:paraId="4BF27E2B"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1.4850</w:t>
            </w:r>
          </w:p>
        </w:tc>
      </w:tr>
      <w:tr w:rsidR="002459FA" w:rsidRPr="00982623" w14:paraId="2B266C13" w14:textId="77777777" w:rsidTr="00DD43EC">
        <w:trPr>
          <w:trHeight w:val="250"/>
        </w:trPr>
        <w:tc>
          <w:tcPr>
            <w:tcW w:w="3724" w:type="dxa"/>
            <w:shd w:val="clear" w:color="auto" w:fill="auto"/>
            <w:vAlign w:val="center"/>
          </w:tcPr>
          <w:p w14:paraId="7B87CCB0"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sz w:val="22"/>
              </w:rPr>
              <w:t>Sex (1 if male)</w:t>
            </w:r>
          </w:p>
        </w:tc>
        <w:tc>
          <w:tcPr>
            <w:tcW w:w="1501" w:type="dxa"/>
            <w:vAlign w:val="center"/>
          </w:tcPr>
          <w:p w14:paraId="23C470C1"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0.0900</w:t>
            </w:r>
          </w:p>
        </w:tc>
        <w:tc>
          <w:tcPr>
            <w:tcW w:w="1476" w:type="dxa"/>
            <w:vAlign w:val="center"/>
          </w:tcPr>
          <w:p w14:paraId="4226567C"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w:t>
            </w:r>
          </w:p>
        </w:tc>
        <w:tc>
          <w:tcPr>
            <w:tcW w:w="1476" w:type="dxa"/>
            <w:vAlign w:val="center"/>
          </w:tcPr>
          <w:p w14:paraId="53D099A1"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0.0900</w:t>
            </w:r>
          </w:p>
        </w:tc>
        <w:tc>
          <w:tcPr>
            <w:tcW w:w="1476" w:type="dxa"/>
            <w:vAlign w:val="center"/>
          </w:tcPr>
          <w:p w14:paraId="04A29361"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w:t>
            </w:r>
          </w:p>
        </w:tc>
        <w:tc>
          <w:tcPr>
            <w:tcW w:w="1476" w:type="dxa"/>
            <w:vAlign w:val="center"/>
          </w:tcPr>
          <w:p w14:paraId="6BFC9434"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0.0900</w:t>
            </w:r>
          </w:p>
        </w:tc>
        <w:tc>
          <w:tcPr>
            <w:tcW w:w="1476" w:type="dxa"/>
            <w:vAlign w:val="center"/>
          </w:tcPr>
          <w:p w14:paraId="53CE6FEC"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w:t>
            </w:r>
          </w:p>
        </w:tc>
        <w:tc>
          <w:tcPr>
            <w:tcW w:w="1476" w:type="dxa"/>
            <w:vAlign w:val="center"/>
          </w:tcPr>
          <w:p w14:paraId="31A89344"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0.0900</w:t>
            </w:r>
          </w:p>
        </w:tc>
      </w:tr>
      <w:tr w:rsidR="002459FA" w:rsidRPr="00982623" w14:paraId="59264F0B" w14:textId="77777777" w:rsidTr="00DD43EC">
        <w:trPr>
          <w:trHeight w:val="250"/>
        </w:trPr>
        <w:tc>
          <w:tcPr>
            <w:tcW w:w="3724" w:type="dxa"/>
            <w:shd w:val="clear" w:color="auto" w:fill="auto"/>
            <w:vAlign w:val="center"/>
          </w:tcPr>
          <w:p w14:paraId="7C0CDC9B"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sz w:val="22"/>
              </w:rPr>
              <w:t>Race (1 if black)</w:t>
            </w:r>
          </w:p>
        </w:tc>
        <w:tc>
          <w:tcPr>
            <w:tcW w:w="1501" w:type="dxa"/>
            <w:vAlign w:val="center"/>
          </w:tcPr>
          <w:p w14:paraId="14781FFF"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0.1885</w:t>
            </w:r>
          </w:p>
        </w:tc>
        <w:tc>
          <w:tcPr>
            <w:tcW w:w="1476" w:type="dxa"/>
            <w:vAlign w:val="center"/>
          </w:tcPr>
          <w:p w14:paraId="5F702C83"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w:t>
            </w:r>
          </w:p>
        </w:tc>
        <w:tc>
          <w:tcPr>
            <w:tcW w:w="1476" w:type="dxa"/>
            <w:vAlign w:val="center"/>
          </w:tcPr>
          <w:p w14:paraId="6D68843D"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0.1885</w:t>
            </w:r>
          </w:p>
        </w:tc>
        <w:tc>
          <w:tcPr>
            <w:tcW w:w="1476" w:type="dxa"/>
            <w:vAlign w:val="center"/>
          </w:tcPr>
          <w:p w14:paraId="5DA61284"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4721439F"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622BF34A"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4B21577E"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w:t>
            </w:r>
          </w:p>
        </w:tc>
      </w:tr>
      <w:tr w:rsidR="002459FA" w:rsidRPr="00982623" w14:paraId="044CDA10" w14:textId="77777777" w:rsidTr="00DD43EC">
        <w:trPr>
          <w:trHeight w:val="250"/>
        </w:trPr>
        <w:tc>
          <w:tcPr>
            <w:tcW w:w="3724" w:type="dxa"/>
            <w:shd w:val="clear" w:color="auto" w:fill="auto"/>
            <w:vAlign w:val="center"/>
          </w:tcPr>
          <w:p w14:paraId="2DB343C5"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sz w:val="22"/>
              </w:rPr>
              <w:t>Total cholesterol (mg/dL)</w:t>
            </w:r>
          </w:p>
        </w:tc>
        <w:tc>
          <w:tcPr>
            <w:tcW w:w="1501" w:type="dxa"/>
            <w:vAlign w:val="center"/>
          </w:tcPr>
          <w:p w14:paraId="513BB030"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0.0020</w:t>
            </w:r>
          </w:p>
        </w:tc>
        <w:tc>
          <w:tcPr>
            <w:tcW w:w="1476" w:type="dxa"/>
            <w:vAlign w:val="center"/>
          </w:tcPr>
          <w:p w14:paraId="79E2F02F"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202</w:t>
            </w:r>
          </w:p>
        </w:tc>
        <w:tc>
          <w:tcPr>
            <w:tcW w:w="1476" w:type="dxa"/>
            <w:vAlign w:val="center"/>
          </w:tcPr>
          <w:p w14:paraId="1225379C"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0.4040</w:t>
            </w:r>
          </w:p>
        </w:tc>
        <w:tc>
          <w:tcPr>
            <w:tcW w:w="1476" w:type="dxa"/>
            <w:vAlign w:val="center"/>
          </w:tcPr>
          <w:p w14:paraId="38D30AF4"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208</w:t>
            </w:r>
          </w:p>
        </w:tc>
        <w:tc>
          <w:tcPr>
            <w:tcW w:w="1476" w:type="dxa"/>
            <w:vAlign w:val="center"/>
          </w:tcPr>
          <w:p w14:paraId="1357FDB9"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0.4160</w:t>
            </w:r>
          </w:p>
        </w:tc>
        <w:tc>
          <w:tcPr>
            <w:tcW w:w="1476" w:type="dxa"/>
            <w:vAlign w:val="center"/>
          </w:tcPr>
          <w:p w14:paraId="31AD55D5"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149</w:t>
            </w:r>
          </w:p>
        </w:tc>
        <w:tc>
          <w:tcPr>
            <w:tcW w:w="1476" w:type="dxa"/>
            <w:vAlign w:val="center"/>
          </w:tcPr>
          <w:p w14:paraId="61C2ABFC"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0.2980</w:t>
            </w:r>
          </w:p>
        </w:tc>
      </w:tr>
      <w:tr w:rsidR="002459FA" w:rsidRPr="00982623" w14:paraId="3CF26547" w14:textId="77777777" w:rsidTr="00DD43EC">
        <w:trPr>
          <w:trHeight w:val="250"/>
        </w:trPr>
        <w:tc>
          <w:tcPr>
            <w:tcW w:w="3724" w:type="dxa"/>
            <w:shd w:val="clear" w:color="auto" w:fill="auto"/>
            <w:vAlign w:val="center"/>
          </w:tcPr>
          <w:p w14:paraId="1356406D"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sz w:val="22"/>
              </w:rPr>
              <w:t>HDL cholesterol (mg/dL)</w:t>
            </w:r>
          </w:p>
        </w:tc>
        <w:tc>
          <w:tcPr>
            <w:tcW w:w="1501" w:type="dxa"/>
            <w:vAlign w:val="center"/>
          </w:tcPr>
          <w:p w14:paraId="6EF25A4E"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-0.0134</w:t>
            </w:r>
          </w:p>
        </w:tc>
        <w:tc>
          <w:tcPr>
            <w:tcW w:w="1476" w:type="dxa"/>
            <w:vAlign w:val="center"/>
          </w:tcPr>
          <w:p w14:paraId="627F51D4"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47</w:t>
            </w:r>
          </w:p>
        </w:tc>
        <w:tc>
          <w:tcPr>
            <w:tcW w:w="1476" w:type="dxa"/>
            <w:vAlign w:val="center"/>
          </w:tcPr>
          <w:p w14:paraId="497316A5"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-0.6298</w:t>
            </w:r>
          </w:p>
        </w:tc>
        <w:tc>
          <w:tcPr>
            <w:tcW w:w="1476" w:type="dxa"/>
            <w:vAlign w:val="center"/>
          </w:tcPr>
          <w:p w14:paraId="5F388F9B"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60</w:t>
            </w:r>
          </w:p>
        </w:tc>
        <w:tc>
          <w:tcPr>
            <w:tcW w:w="1476" w:type="dxa"/>
            <w:vAlign w:val="center"/>
          </w:tcPr>
          <w:p w14:paraId="17EA1B15"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-0.8040</w:t>
            </w:r>
          </w:p>
        </w:tc>
        <w:tc>
          <w:tcPr>
            <w:tcW w:w="1476" w:type="dxa"/>
            <w:vAlign w:val="center"/>
          </w:tcPr>
          <w:p w14:paraId="0B1DAC14"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34</w:t>
            </w:r>
          </w:p>
        </w:tc>
        <w:tc>
          <w:tcPr>
            <w:tcW w:w="1476" w:type="dxa"/>
            <w:vAlign w:val="center"/>
          </w:tcPr>
          <w:p w14:paraId="0C5F3EA1"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-0.4556</w:t>
            </w:r>
          </w:p>
        </w:tc>
      </w:tr>
      <w:tr w:rsidR="002459FA" w:rsidRPr="00982623" w14:paraId="52618638" w14:textId="77777777" w:rsidTr="00DD43EC">
        <w:trPr>
          <w:trHeight w:val="352"/>
        </w:trPr>
        <w:tc>
          <w:tcPr>
            <w:tcW w:w="3724" w:type="dxa"/>
            <w:shd w:val="clear" w:color="auto" w:fill="auto"/>
            <w:vAlign w:val="center"/>
          </w:tcPr>
          <w:p w14:paraId="3A2436E0"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sz w:val="22"/>
              </w:rPr>
              <w:t>Systolic BP (mm Hg)</w:t>
            </w:r>
          </w:p>
        </w:tc>
        <w:tc>
          <w:tcPr>
            <w:tcW w:w="1501" w:type="dxa"/>
            <w:vAlign w:val="center"/>
          </w:tcPr>
          <w:p w14:paraId="1A5A004D"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0.0126</w:t>
            </w:r>
          </w:p>
        </w:tc>
        <w:tc>
          <w:tcPr>
            <w:tcW w:w="1476" w:type="dxa"/>
            <w:vAlign w:val="center"/>
          </w:tcPr>
          <w:p w14:paraId="09CA440C"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173.33</w:t>
            </w:r>
          </w:p>
        </w:tc>
        <w:tc>
          <w:tcPr>
            <w:tcW w:w="1476" w:type="dxa"/>
            <w:vAlign w:val="center"/>
          </w:tcPr>
          <w:p w14:paraId="2FA12B12"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2.1840</w:t>
            </w:r>
          </w:p>
        </w:tc>
        <w:tc>
          <w:tcPr>
            <w:tcW w:w="1476" w:type="dxa"/>
            <w:vAlign w:val="center"/>
          </w:tcPr>
          <w:p w14:paraId="54FE198B"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121.33</w:t>
            </w:r>
          </w:p>
        </w:tc>
        <w:tc>
          <w:tcPr>
            <w:tcW w:w="1476" w:type="dxa"/>
            <w:vAlign w:val="center"/>
          </w:tcPr>
          <w:p w14:paraId="3326D8B1"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1.5288</w:t>
            </w:r>
          </w:p>
        </w:tc>
        <w:tc>
          <w:tcPr>
            <w:tcW w:w="1476" w:type="dxa"/>
            <w:vAlign w:val="center"/>
          </w:tcPr>
          <w:p w14:paraId="7453C70E"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148.67</w:t>
            </w:r>
          </w:p>
        </w:tc>
        <w:tc>
          <w:tcPr>
            <w:tcW w:w="1476" w:type="dxa"/>
            <w:vAlign w:val="center"/>
          </w:tcPr>
          <w:p w14:paraId="4D084C3C"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1.8732</w:t>
            </w:r>
          </w:p>
        </w:tc>
      </w:tr>
      <w:tr w:rsidR="002459FA" w:rsidRPr="00982623" w14:paraId="512DE572" w14:textId="77777777" w:rsidTr="00DD43EC">
        <w:trPr>
          <w:trHeight w:val="250"/>
        </w:trPr>
        <w:tc>
          <w:tcPr>
            <w:tcW w:w="3724" w:type="dxa"/>
            <w:shd w:val="clear" w:color="auto" w:fill="auto"/>
            <w:vAlign w:val="center"/>
          </w:tcPr>
          <w:p w14:paraId="0266E5D1"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sz w:val="22"/>
              </w:rPr>
              <w:t>BP-lowering medications (1 if yes)</w:t>
            </w:r>
          </w:p>
        </w:tc>
        <w:tc>
          <w:tcPr>
            <w:tcW w:w="1501" w:type="dxa"/>
            <w:vAlign w:val="center"/>
          </w:tcPr>
          <w:p w14:paraId="408B43BD"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0.4342</w:t>
            </w:r>
          </w:p>
        </w:tc>
        <w:tc>
          <w:tcPr>
            <w:tcW w:w="1476" w:type="dxa"/>
            <w:vAlign w:val="center"/>
          </w:tcPr>
          <w:p w14:paraId="39B28813"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w:t>
            </w:r>
          </w:p>
        </w:tc>
        <w:tc>
          <w:tcPr>
            <w:tcW w:w="1476" w:type="dxa"/>
            <w:vAlign w:val="center"/>
          </w:tcPr>
          <w:p w14:paraId="111B064A"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0.4342</w:t>
            </w:r>
          </w:p>
        </w:tc>
        <w:tc>
          <w:tcPr>
            <w:tcW w:w="1476" w:type="dxa"/>
            <w:vAlign w:val="center"/>
          </w:tcPr>
          <w:p w14:paraId="54CD0000"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w:t>
            </w:r>
          </w:p>
        </w:tc>
        <w:tc>
          <w:tcPr>
            <w:tcW w:w="1476" w:type="dxa"/>
            <w:vAlign w:val="center"/>
          </w:tcPr>
          <w:p w14:paraId="5785E5E7"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0.4342</w:t>
            </w:r>
          </w:p>
        </w:tc>
        <w:tc>
          <w:tcPr>
            <w:tcW w:w="1476" w:type="dxa"/>
            <w:vAlign w:val="center"/>
          </w:tcPr>
          <w:p w14:paraId="46D1A9F5"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w:t>
            </w:r>
          </w:p>
        </w:tc>
        <w:tc>
          <w:tcPr>
            <w:tcW w:w="1476" w:type="dxa"/>
            <w:vAlign w:val="center"/>
          </w:tcPr>
          <w:p w14:paraId="7471EA14"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0.4342</w:t>
            </w:r>
          </w:p>
        </w:tc>
      </w:tr>
      <w:tr w:rsidR="002459FA" w:rsidRPr="00982623" w14:paraId="39DC786A" w14:textId="77777777" w:rsidTr="00DD43EC">
        <w:trPr>
          <w:trHeight w:val="250"/>
        </w:trPr>
        <w:tc>
          <w:tcPr>
            <w:tcW w:w="3724" w:type="dxa"/>
            <w:shd w:val="clear" w:color="auto" w:fill="auto"/>
            <w:vAlign w:val="center"/>
          </w:tcPr>
          <w:p w14:paraId="68C81AB5"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sz w:val="22"/>
              </w:rPr>
              <w:t>History of diabetes (1 if yes)</w:t>
            </w:r>
          </w:p>
        </w:tc>
        <w:tc>
          <w:tcPr>
            <w:tcW w:w="1501" w:type="dxa"/>
            <w:vAlign w:val="center"/>
          </w:tcPr>
          <w:p w14:paraId="5FB578DB"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0.6300</w:t>
            </w:r>
          </w:p>
        </w:tc>
        <w:tc>
          <w:tcPr>
            <w:tcW w:w="1476" w:type="dxa"/>
            <w:vAlign w:val="center"/>
          </w:tcPr>
          <w:p w14:paraId="4FEA4100"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w:t>
            </w:r>
          </w:p>
        </w:tc>
        <w:tc>
          <w:tcPr>
            <w:tcW w:w="1476" w:type="dxa"/>
            <w:vAlign w:val="center"/>
          </w:tcPr>
          <w:p w14:paraId="68CC75DD"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0.6300</w:t>
            </w:r>
          </w:p>
        </w:tc>
        <w:tc>
          <w:tcPr>
            <w:tcW w:w="1476" w:type="dxa"/>
            <w:vAlign w:val="center"/>
          </w:tcPr>
          <w:p w14:paraId="06D28976"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55F0361A"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7B587329"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w:t>
            </w:r>
          </w:p>
        </w:tc>
        <w:tc>
          <w:tcPr>
            <w:tcW w:w="1476" w:type="dxa"/>
            <w:vAlign w:val="center"/>
          </w:tcPr>
          <w:p w14:paraId="0B46E56F"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0.6300</w:t>
            </w:r>
          </w:p>
        </w:tc>
      </w:tr>
      <w:tr w:rsidR="002459FA" w:rsidRPr="00982623" w14:paraId="0A2C5ADE" w14:textId="77777777" w:rsidTr="00DD43EC">
        <w:trPr>
          <w:trHeight w:val="250"/>
        </w:trPr>
        <w:tc>
          <w:tcPr>
            <w:tcW w:w="3724" w:type="dxa"/>
            <w:shd w:val="clear" w:color="auto" w:fill="auto"/>
            <w:vAlign w:val="center"/>
          </w:tcPr>
          <w:p w14:paraId="5A0450F9"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sz w:val="22"/>
              </w:rPr>
              <w:t>Current smoking (1 if yes)</w:t>
            </w:r>
          </w:p>
        </w:tc>
        <w:tc>
          <w:tcPr>
            <w:tcW w:w="1501" w:type="dxa"/>
            <w:vAlign w:val="center"/>
          </w:tcPr>
          <w:p w14:paraId="72A351D2"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0.7382</w:t>
            </w:r>
          </w:p>
        </w:tc>
        <w:tc>
          <w:tcPr>
            <w:tcW w:w="1476" w:type="dxa"/>
            <w:vAlign w:val="center"/>
          </w:tcPr>
          <w:p w14:paraId="7E86DEAB"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17195037"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41271ED4"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14D6847C"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04A537E2"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1</w:t>
            </w:r>
          </w:p>
        </w:tc>
        <w:tc>
          <w:tcPr>
            <w:tcW w:w="1476" w:type="dxa"/>
            <w:vAlign w:val="center"/>
          </w:tcPr>
          <w:p w14:paraId="515D7A5E"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0.7382</w:t>
            </w:r>
          </w:p>
        </w:tc>
      </w:tr>
      <w:tr w:rsidR="002459FA" w:rsidRPr="00982623" w14:paraId="2F607938" w14:textId="77777777" w:rsidTr="00DD43EC">
        <w:trPr>
          <w:trHeight w:val="250"/>
        </w:trPr>
        <w:tc>
          <w:tcPr>
            <w:tcW w:w="14081" w:type="dxa"/>
            <w:gridSpan w:val="8"/>
            <w:shd w:val="clear" w:color="auto" w:fill="auto"/>
            <w:vAlign w:val="center"/>
          </w:tcPr>
          <w:p w14:paraId="62A6ADA5"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b/>
                <w:bCs/>
                <w:sz w:val="22"/>
              </w:rPr>
              <w:t>Risk Calculation</w:t>
            </w:r>
          </w:p>
        </w:tc>
      </w:tr>
      <w:tr w:rsidR="002459FA" w:rsidRPr="00982623" w14:paraId="1BE8C941" w14:textId="77777777" w:rsidTr="00DD43EC">
        <w:trPr>
          <w:trHeight w:val="250"/>
        </w:trPr>
        <w:tc>
          <w:tcPr>
            <w:tcW w:w="3724" w:type="dxa"/>
            <w:shd w:val="clear" w:color="auto" w:fill="auto"/>
            <w:vAlign w:val="center"/>
          </w:tcPr>
          <w:p w14:paraId="231730DD"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sz w:val="22"/>
              </w:rPr>
              <w:t>Sum</w:t>
            </w:r>
          </w:p>
        </w:tc>
        <w:tc>
          <w:tcPr>
            <w:tcW w:w="1501" w:type="dxa"/>
            <w:vAlign w:val="center"/>
          </w:tcPr>
          <w:p w14:paraId="4BBA47C1"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445F9D2A"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231D3D3C"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5.0884</w:t>
            </w:r>
          </w:p>
        </w:tc>
        <w:tc>
          <w:tcPr>
            <w:tcW w:w="1476" w:type="dxa"/>
            <w:vAlign w:val="center"/>
          </w:tcPr>
          <w:p w14:paraId="33C2ECA2"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57FCC16A"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2.9575</w:t>
            </w:r>
          </w:p>
        </w:tc>
        <w:tc>
          <w:tcPr>
            <w:tcW w:w="1476" w:type="dxa"/>
            <w:vAlign w:val="center"/>
          </w:tcPr>
          <w:p w14:paraId="1694F30D"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6B3CF0A5"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5.0930</w:t>
            </w:r>
          </w:p>
        </w:tc>
      </w:tr>
      <w:tr w:rsidR="002459FA" w:rsidRPr="00982623" w14:paraId="0449FC0A" w14:textId="77777777" w:rsidTr="00DD43EC">
        <w:trPr>
          <w:trHeight w:val="250"/>
        </w:trPr>
        <w:tc>
          <w:tcPr>
            <w:tcW w:w="3724" w:type="dxa"/>
            <w:shd w:val="clear" w:color="auto" w:fill="auto"/>
            <w:vAlign w:val="center"/>
          </w:tcPr>
          <w:p w14:paraId="4C7D77E3"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sz w:val="22"/>
              </w:rPr>
              <w:t>Probability (ASCVD event)</w:t>
            </w:r>
          </w:p>
        </w:tc>
        <w:tc>
          <w:tcPr>
            <w:tcW w:w="1501" w:type="dxa"/>
            <w:vAlign w:val="center"/>
          </w:tcPr>
          <w:p w14:paraId="046D1EED"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69482D4E"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10FF06EB"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0.3322</w:t>
            </w:r>
          </w:p>
        </w:tc>
        <w:tc>
          <w:tcPr>
            <w:tcW w:w="1476" w:type="dxa"/>
            <w:vAlign w:val="center"/>
          </w:tcPr>
          <w:p w14:paraId="22B92955"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3473720E"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0.0468</w:t>
            </w:r>
          </w:p>
        </w:tc>
        <w:tc>
          <w:tcPr>
            <w:tcW w:w="1476" w:type="dxa"/>
            <w:vAlign w:val="center"/>
          </w:tcPr>
          <w:p w14:paraId="4BEB4433"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1BA42C73"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0.3335</w:t>
            </w:r>
          </w:p>
        </w:tc>
      </w:tr>
      <w:tr w:rsidR="002459FA" w:rsidRPr="00982623" w14:paraId="085EA4EF" w14:textId="77777777" w:rsidTr="00DD43EC">
        <w:trPr>
          <w:trHeight w:val="250"/>
        </w:trPr>
        <w:tc>
          <w:tcPr>
            <w:tcW w:w="3724" w:type="dxa"/>
            <w:shd w:val="clear" w:color="auto" w:fill="auto"/>
            <w:vAlign w:val="center"/>
          </w:tcPr>
          <w:p w14:paraId="2556D151" w14:textId="77777777" w:rsidR="002459FA" w:rsidRPr="00982623" w:rsidRDefault="002459FA" w:rsidP="00DD43EC">
            <w:pPr>
              <w:spacing w:before="40" w:after="40"/>
              <w:contextualSpacing w:val="0"/>
              <w:rPr>
                <w:rFonts w:ascii="Arial" w:hAnsi="Arial" w:cs="Arial"/>
                <w:sz w:val="22"/>
              </w:rPr>
            </w:pPr>
            <w:r w:rsidRPr="00982623">
              <w:rPr>
                <w:rFonts w:ascii="Arial" w:hAnsi="Arial" w:cs="Arial"/>
                <w:sz w:val="22"/>
              </w:rPr>
              <w:t>10-year risk, %</w:t>
            </w:r>
          </w:p>
        </w:tc>
        <w:tc>
          <w:tcPr>
            <w:tcW w:w="1501" w:type="dxa"/>
            <w:vAlign w:val="center"/>
          </w:tcPr>
          <w:p w14:paraId="0EA8E76C"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00C2C94B"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4BB0F86B"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33.22%</w:t>
            </w:r>
          </w:p>
        </w:tc>
        <w:tc>
          <w:tcPr>
            <w:tcW w:w="1476" w:type="dxa"/>
            <w:vAlign w:val="center"/>
          </w:tcPr>
          <w:p w14:paraId="5F370739"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5D1CFFA7"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4.68%</w:t>
            </w:r>
          </w:p>
        </w:tc>
        <w:tc>
          <w:tcPr>
            <w:tcW w:w="1476" w:type="dxa"/>
            <w:vAlign w:val="center"/>
          </w:tcPr>
          <w:p w14:paraId="3C88A3BA"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60FDEC49" w14:textId="77777777" w:rsidR="002459FA" w:rsidRPr="00982623" w:rsidRDefault="002459FA" w:rsidP="00DD43EC">
            <w:pPr>
              <w:spacing w:before="40" w:after="40"/>
              <w:contextualSpacing w:val="0"/>
              <w:jc w:val="center"/>
              <w:rPr>
                <w:rFonts w:ascii="Arial" w:hAnsi="Arial" w:cs="Arial"/>
                <w:sz w:val="22"/>
              </w:rPr>
            </w:pPr>
            <w:r>
              <w:rPr>
                <w:rFonts w:ascii="Arial" w:hAnsi="Arial" w:cs="Arial"/>
                <w:color w:val="000000"/>
                <w:sz w:val="22"/>
              </w:rPr>
              <w:t>33.35%</w:t>
            </w:r>
          </w:p>
        </w:tc>
      </w:tr>
    </w:tbl>
    <w:p w14:paraId="18A27B57" w14:textId="2F539384" w:rsidR="00EA3792" w:rsidRPr="00982623" w:rsidRDefault="00B6472A" w:rsidP="00EA3792">
      <w:pPr>
        <w:spacing w:before="80"/>
        <w:contextualSpacing w:val="0"/>
        <w:rPr>
          <w:rFonts w:ascii="Arial" w:hAnsi="Arial" w:cs="Arial"/>
          <w:sz w:val="22"/>
        </w:rPr>
      </w:pPr>
      <w:r w:rsidRPr="00982623">
        <w:rPr>
          <w:rFonts w:ascii="Arial" w:hAnsi="Arial" w:cs="Arial"/>
          <w:sz w:val="22"/>
        </w:rPr>
        <w:t xml:space="preserve">ASCVD = atherosclerotic cardiovascular disease; </w:t>
      </w:r>
      <w:r w:rsidR="009342C2" w:rsidRPr="00982623">
        <w:rPr>
          <w:rFonts w:ascii="Arial" w:hAnsi="Arial" w:cs="Arial"/>
          <w:sz w:val="22"/>
        </w:rPr>
        <w:t xml:space="preserve">BP = blood pressure; </w:t>
      </w:r>
      <w:r w:rsidRPr="00982623">
        <w:rPr>
          <w:rFonts w:ascii="Arial" w:hAnsi="Arial" w:cs="Arial"/>
          <w:sz w:val="22"/>
        </w:rPr>
        <w:t>HDL = high density lipoprotein; LDL = low density lipoprotein</w:t>
      </w:r>
    </w:p>
    <w:p w14:paraId="2C62705B" w14:textId="38AD0CBB" w:rsidR="00EA3792" w:rsidRPr="00982623" w:rsidRDefault="00EA3792" w:rsidP="00EA3792">
      <w:pPr>
        <w:spacing w:before="80"/>
        <w:contextualSpacing w:val="0"/>
        <w:rPr>
          <w:rFonts w:ascii="Arial" w:hAnsi="Arial" w:cs="Arial"/>
          <w:sz w:val="22"/>
        </w:rPr>
      </w:pPr>
      <w:r w:rsidRPr="00982623">
        <w:rPr>
          <w:rFonts w:ascii="Arial" w:hAnsi="Arial" w:cs="Arial"/>
          <w:sz w:val="22"/>
        </w:rPr>
        <w:t>* The 10-year risk can be calculated as 1–0.9</w:t>
      </w:r>
      <w:r w:rsidR="00B6472A" w:rsidRPr="00982623">
        <w:rPr>
          <w:rFonts w:ascii="Arial" w:hAnsi="Arial" w:cs="Arial"/>
          <w:sz w:val="22"/>
        </w:rPr>
        <w:t>045</w:t>
      </w:r>
      <w:r w:rsidRPr="00982623">
        <w:rPr>
          <w:rFonts w:ascii="Arial" w:hAnsi="Arial" w:cs="Arial"/>
          <w:sz w:val="22"/>
          <w:vertAlign w:val="superscript"/>
        </w:rPr>
        <w:t>exp(ΣbX–</w:t>
      </w:r>
      <w:r w:rsidR="00B6472A" w:rsidRPr="00982623">
        <w:rPr>
          <w:rFonts w:ascii="Arial" w:hAnsi="Arial" w:cs="Arial"/>
          <w:sz w:val="22"/>
          <w:vertAlign w:val="superscript"/>
        </w:rPr>
        <w:t>3.</w:t>
      </w:r>
      <w:r w:rsidR="002459FA" w:rsidRPr="00982623">
        <w:rPr>
          <w:rFonts w:ascii="Arial" w:hAnsi="Arial" w:cs="Arial"/>
          <w:sz w:val="22"/>
          <w:vertAlign w:val="superscript"/>
        </w:rPr>
        <w:t>69</w:t>
      </w:r>
      <w:r w:rsidR="002459FA">
        <w:rPr>
          <w:rFonts w:ascii="Arial" w:hAnsi="Arial" w:cs="Arial"/>
          <w:sz w:val="22"/>
          <w:vertAlign w:val="superscript"/>
        </w:rPr>
        <w:t>63</w:t>
      </w:r>
      <w:r w:rsidRPr="00982623">
        <w:rPr>
          <w:rFonts w:ascii="Arial" w:hAnsi="Arial" w:cs="Arial"/>
          <w:sz w:val="22"/>
          <w:vertAlign w:val="superscript"/>
        </w:rPr>
        <w:t>)</w:t>
      </w:r>
      <w:r w:rsidRPr="00982623">
        <w:rPr>
          <w:rFonts w:ascii="Arial" w:hAnsi="Arial" w:cs="Arial"/>
          <w:sz w:val="22"/>
        </w:rPr>
        <w:t xml:space="preserve"> where b is the regression coefficient (beta) and X is the level for each risk factor.</w:t>
      </w:r>
    </w:p>
    <w:p w14:paraId="44EADB32" w14:textId="20ADF763" w:rsidR="002B6951" w:rsidRDefault="002B6951">
      <w:pPr>
        <w:spacing w:after="160" w:line="259" w:lineRule="auto"/>
        <w:contextualSpacing w:val="0"/>
        <w:rPr>
          <w:rFonts w:ascii="Arial" w:hAnsi="Arial" w:cs="Arial"/>
          <w:sz w:val="22"/>
        </w:rPr>
      </w:pPr>
      <w:r>
        <w:rPr>
          <w:rFonts w:ascii="Arial" w:hAnsi="Arial" w:cs="Arial"/>
          <w:sz w:val="22"/>
        </w:rPr>
        <w:br w:type="page"/>
      </w:r>
    </w:p>
    <w:p w14:paraId="2140A600" w14:textId="076FB97D" w:rsidR="00B6472A" w:rsidRPr="00F90BB9" w:rsidRDefault="00DA3FCB" w:rsidP="00B6472A">
      <w:pPr>
        <w:spacing w:after="120"/>
        <w:contextualSpacing w:val="0"/>
        <w:rPr>
          <w:rFonts w:ascii="Arial" w:eastAsia="+mn-ea" w:hAnsi="Arial" w:cs="Arial"/>
          <w:color w:val="000000"/>
          <w:kern w:val="24"/>
          <w:sz w:val="22"/>
        </w:rPr>
      </w:pPr>
      <w:r>
        <w:rPr>
          <w:rFonts w:ascii="Arial" w:hAnsi="Arial" w:cs="Arial"/>
          <w:b/>
          <w:bCs/>
          <w:sz w:val="22"/>
        </w:rPr>
        <w:lastRenderedPageBreak/>
        <w:t xml:space="preserve">Supplemental </w:t>
      </w:r>
      <w:r w:rsidR="002B6951" w:rsidRPr="00F90BB9">
        <w:rPr>
          <w:rFonts w:ascii="Arial" w:eastAsia="+mn-ea" w:hAnsi="Arial" w:cs="Arial"/>
          <w:b/>
          <w:color w:val="000000"/>
          <w:kern w:val="24"/>
          <w:sz w:val="22"/>
        </w:rPr>
        <w:t xml:space="preserve">Table </w:t>
      </w:r>
      <w:r w:rsidR="00F65F74" w:rsidRPr="00F90BB9">
        <w:rPr>
          <w:rFonts w:ascii="Arial" w:eastAsia="+mn-ea" w:hAnsi="Arial" w:cs="Arial"/>
          <w:b/>
          <w:color w:val="000000"/>
          <w:kern w:val="24"/>
          <w:sz w:val="22"/>
        </w:rPr>
        <w:t>4</w:t>
      </w:r>
      <w:r w:rsidR="002B6951" w:rsidRPr="00F90BB9">
        <w:rPr>
          <w:rFonts w:ascii="Arial" w:eastAsia="+mn-ea" w:hAnsi="Arial" w:cs="Arial"/>
          <w:b/>
          <w:color w:val="000000"/>
          <w:kern w:val="24"/>
          <w:sz w:val="22"/>
        </w:rPr>
        <w:t>.</w:t>
      </w:r>
      <w:r w:rsidR="002B6951" w:rsidRPr="00F90BB9">
        <w:rPr>
          <w:rFonts w:ascii="Arial" w:eastAsia="+mn-ea" w:hAnsi="Arial" w:cs="Arial"/>
          <w:color w:val="000000"/>
          <w:kern w:val="24"/>
          <w:sz w:val="22"/>
        </w:rPr>
        <w:t xml:space="preserve"> Example Calculations of Predicted 10-year Risk of ASCVD (CRIC Clinical Model)</w:t>
      </w:r>
    </w:p>
    <w:tbl>
      <w:tblPr>
        <w:tblStyle w:val="TableGrid"/>
        <w:tblW w:w="0" w:type="auto"/>
        <w:tblLook w:val="04A0" w:firstRow="1" w:lastRow="0" w:firstColumn="1" w:lastColumn="0" w:noHBand="0" w:noVBand="1"/>
      </w:tblPr>
      <w:tblGrid>
        <w:gridCol w:w="3724"/>
        <w:gridCol w:w="1501"/>
        <w:gridCol w:w="1476"/>
        <w:gridCol w:w="1476"/>
        <w:gridCol w:w="1476"/>
        <w:gridCol w:w="1476"/>
        <w:gridCol w:w="1476"/>
        <w:gridCol w:w="1476"/>
      </w:tblGrid>
      <w:tr w:rsidR="002459FA" w:rsidRPr="00F90BB9" w14:paraId="15F31E6E" w14:textId="77777777" w:rsidTr="00DD43EC">
        <w:trPr>
          <w:trHeight w:val="250"/>
        </w:trPr>
        <w:tc>
          <w:tcPr>
            <w:tcW w:w="3724" w:type="dxa"/>
            <w:vMerge w:val="restart"/>
            <w:shd w:val="clear" w:color="auto" w:fill="auto"/>
            <w:vAlign w:val="center"/>
          </w:tcPr>
          <w:p w14:paraId="68E0B770"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b/>
                <w:sz w:val="22"/>
              </w:rPr>
              <w:t>Variables</w:t>
            </w:r>
          </w:p>
        </w:tc>
        <w:tc>
          <w:tcPr>
            <w:tcW w:w="1501" w:type="dxa"/>
            <w:vMerge w:val="restart"/>
            <w:vAlign w:val="center"/>
          </w:tcPr>
          <w:p w14:paraId="0FEA422B" w14:textId="77777777" w:rsidR="002459FA" w:rsidRPr="00F90BB9" w:rsidRDefault="002459FA" w:rsidP="00DD43EC">
            <w:pPr>
              <w:spacing w:before="40" w:after="40"/>
              <w:contextualSpacing w:val="0"/>
              <w:jc w:val="center"/>
              <w:rPr>
                <w:rFonts w:ascii="Arial" w:hAnsi="Arial" w:cs="Arial"/>
                <w:b/>
                <w:bCs/>
                <w:sz w:val="22"/>
              </w:rPr>
            </w:pPr>
            <w:r w:rsidRPr="00F90BB9">
              <w:rPr>
                <w:rFonts w:ascii="Arial" w:hAnsi="Arial" w:cs="Arial"/>
                <w:b/>
                <w:sz w:val="22"/>
              </w:rPr>
              <w:t>Model</w:t>
            </w:r>
            <w:r w:rsidRPr="00F90BB9">
              <w:rPr>
                <w:rFonts w:ascii="Arial" w:hAnsi="Arial" w:cs="Arial"/>
                <w:b/>
                <w:sz w:val="22"/>
              </w:rPr>
              <w:br/>
            </w:r>
            <w:r w:rsidRPr="00F90BB9">
              <w:rPr>
                <w:rFonts w:ascii="Arial" w:hAnsi="Arial" w:cs="Arial"/>
                <w:b/>
                <w:bCs/>
                <w:sz w:val="22"/>
              </w:rPr>
              <w:t>Coefficients</w:t>
            </w:r>
          </w:p>
        </w:tc>
        <w:tc>
          <w:tcPr>
            <w:tcW w:w="2952" w:type="dxa"/>
            <w:gridSpan w:val="2"/>
            <w:vAlign w:val="center"/>
          </w:tcPr>
          <w:p w14:paraId="28F9367A" w14:textId="77777777" w:rsidR="002459FA" w:rsidRPr="00F90BB9" w:rsidRDefault="002459FA" w:rsidP="00DD43EC">
            <w:pPr>
              <w:spacing w:before="40" w:after="40"/>
              <w:contextualSpacing w:val="0"/>
              <w:jc w:val="center"/>
              <w:rPr>
                <w:rFonts w:ascii="Arial" w:hAnsi="Arial" w:cs="Arial"/>
                <w:b/>
                <w:bCs/>
                <w:sz w:val="22"/>
              </w:rPr>
            </w:pPr>
            <w:r w:rsidRPr="00F90BB9">
              <w:rPr>
                <w:rFonts w:ascii="Arial" w:hAnsi="Arial" w:cs="Arial"/>
                <w:b/>
                <w:bCs/>
                <w:sz w:val="22"/>
              </w:rPr>
              <w:t>Example Patient 1</w:t>
            </w:r>
          </w:p>
        </w:tc>
        <w:tc>
          <w:tcPr>
            <w:tcW w:w="2952" w:type="dxa"/>
            <w:gridSpan w:val="2"/>
            <w:vAlign w:val="center"/>
          </w:tcPr>
          <w:p w14:paraId="7BABAB67" w14:textId="77777777" w:rsidR="002459FA" w:rsidRPr="00F90BB9" w:rsidRDefault="002459FA" w:rsidP="00DD43EC">
            <w:pPr>
              <w:spacing w:before="40" w:after="40"/>
              <w:contextualSpacing w:val="0"/>
              <w:jc w:val="center"/>
              <w:rPr>
                <w:rFonts w:ascii="Arial" w:hAnsi="Arial" w:cs="Arial"/>
                <w:b/>
                <w:bCs/>
                <w:sz w:val="22"/>
              </w:rPr>
            </w:pPr>
            <w:r w:rsidRPr="00F90BB9">
              <w:rPr>
                <w:rFonts w:ascii="Arial" w:hAnsi="Arial" w:cs="Arial"/>
                <w:b/>
                <w:bCs/>
                <w:sz w:val="22"/>
              </w:rPr>
              <w:t>Example Patient 2</w:t>
            </w:r>
          </w:p>
        </w:tc>
        <w:tc>
          <w:tcPr>
            <w:tcW w:w="2952" w:type="dxa"/>
            <w:gridSpan w:val="2"/>
            <w:vAlign w:val="center"/>
          </w:tcPr>
          <w:p w14:paraId="03DB7A65" w14:textId="77777777" w:rsidR="002459FA" w:rsidRPr="00F90BB9" w:rsidRDefault="002459FA" w:rsidP="00DD43EC">
            <w:pPr>
              <w:spacing w:before="40" w:after="40"/>
              <w:contextualSpacing w:val="0"/>
              <w:jc w:val="center"/>
              <w:rPr>
                <w:rFonts w:ascii="Arial" w:hAnsi="Arial" w:cs="Arial"/>
                <w:b/>
                <w:bCs/>
                <w:sz w:val="22"/>
              </w:rPr>
            </w:pPr>
            <w:r w:rsidRPr="00F90BB9">
              <w:rPr>
                <w:rFonts w:ascii="Arial" w:hAnsi="Arial" w:cs="Arial"/>
                <w:b/>
                <w:bCs/>
                <w:sz w:val="22"/>
              </w:rPr>
              <w:t>Example Patient 3</w:t>
            </w:r>
          </w:p>
        </w:tc>
      </w:tr>
      <w:tr w:rsidR="002459FA" w:rsidRPr="00F90BB9" w14:paraId="7D2DBADC" w14:textId="77777777" w:rsidTr="00DD43EC">
        <w:trPr>
          <w:trHeight w:val="250"/>
        </w:trPr>
        <w:tc>
          <w:tcPr>
            <w:tcW w:w="3724" w:type="dxa"/>
            <w:vMerge/>
            <w:shd w:val="clear" w:color="auto" w:fill="auto"/>
            <w:vAlign w:val="center"/>
          </w:tcPr>
          <w:p w14:paraId="2AE31C1B" w14:textId="77777777" w:rsidR="002459FA" w:rsidRPr="00F90BB9" w:rsidRDefault="002459FA" w:rsidP="00DD43EC">
            <w:pPr>
              <w:spacing w:before="40" w:after="40"/>
              <w:contextualSpacing w:val="0"/>
              <w:rPr>
                <w:rFonts w:ascii="Arial" w:hAnsi="Arial" w:cs="Arial"/>
                <w:sz w:val="22"/>
              </w:rPr>
            </w:pPr>
          </w:p>
        </w:tc>
        <w:tc>
          <w:tcPr>
            <w:tcW w:w="1501" w:type="dxa"/>
            <w:vMerge/>
            <w:vAlign w:val="center"/>
          </w:tcPr>
          <w:p w14:paraId="65BA0FD9" w14:textId="77777777" w:rsidR="002459FA" w:rsidRPr="00F90BB9" w:rsidRDefault="002459FA" w:rsidP="00DD43EC">
            <w:pPr>
              <w:spacing w:before="40" w:after="40"/>
              <w:contextualSpacing w:val="0"/>
              <w:jc w:val="center"/>
              <w:rPr>
                <w:rFonts w:ascii="Arial" w:hAnsi="Arial" w:cs="Arial"/>
                <w:b/>
                <w:bCs/>
                <w:sz w:val="22"/>
              </w:rPr>
            </w:pPr>
          </w:p>
        </w:tc>
        <w:tc>
          <w:tcPr>
            <w:tcW w:w="1476" w:type="dxa"/>
            <w:vAlign w:val="center"/>
          </w:tcPr>
          <w:p w14:paraId="2DFEE215" w14:textId="77777777" w:rsidR="002459FA" w:rsidRPr="00F90BB9" w:rsidRDefault="002459FA" w:rsidP="00DD43EC">
            <w:pPr>
              <w:spacing w:before="40" w:after="40"/>
              <w:contextualSpacing w:val="0"/>
              <w:jc w:val="center"/>
              <w:rPr>
                <w:rFonts w:ascii="Arial" w:hAnsi="Arial" w:cs="Arial"/>
                <w:b/>
                <w:bCs/>
                <w:sz w:val="22"/>
              </w:rPr>
            </w:pPr>
            <w:r w:rsidRPr="00F90BB9">
              <w:rPr>
                <w:rFonts w:ascii="Arial" w:hAnsi="Arial" w:cs="Arial"/>
                <w:b/>
                <w:bCs/>
                <w:sz w:val="22"/>
              </w:rPr>
              <w:t>Patient Values</w:t>
            </w:r>
          </w:p>
        </w:tc>
        <w:tc>
          <w:tcPr>
            <w:tcW w:w="1476" w:type="dxa"/>
            <w:vAlign w:val="center"/>
          </w:tcPr>
          <w:p w14:paraId="263408D6" w14:textId="77777777" w:rsidR="002459FA" w:rsidRPr="00F90BB9" w:rsidRDefault="002459FA" w:rsidP="00DD43EC">
            <w:pPr>
              <w:spacing w:before="40" w:after="40"/>
              <w:contextualSpacing w:val="0"/>
              <w:jc w:val="center"/>
              <w:rPr>
                <w:rFonts w:ascii="Arial" w:hAnsi="Arial" w:cs="Arial"/>
                <w:b/>
                <w:bCs/>
                <w:sz w:val="22"/>
              </w:rPr>
            </w:pPr>
            <w:r w:rsidRPr="00F90BB9">
              <w:rPr>
                <w:rFonts w:ascii="Arial" w:hAnsi="Arial" w:cs="Arial"/>
                <w:b/>
                <w:sz w:val="22"/>
              </w:rPr>
              <w:t>Coefficients × Values*</w:t>
            </w:r>
          </w:p>
        </w:tc>
        <w:tc>
          <w:tcPr>
            <w:tcW w:w="1476" w:type="dxa"/>
            <w:vAlign w:val="center"/>
          </w:tcPr>
          <w:p w14:paraId="3543BEFA" w14:textId="77777777" w:rsidR="002459FA" w:rsidRPr="00F90BB9" w:rsidRDefault="002459FA" w:rsidP="00DD43EC">
            <w:pPr>
              <w:spacing w:before="40" w:after="40"/>
              <w:contextualSpacing w:val="0"/>
              <w:jc w:val="center"/>
              <w:rPr>
                <w:rFonts w:ascii="Arial" w:hAnsi="Arial" w:cs="Arial"/>
                <w:b/>
                <w:sz w:val="22"/>
              </w:rPr>
            </w:pPr>
            <w:r w:rsidRPr="00F90BB9">
              <w:rPr>
                <w:rFonts w:ascii="Arial" w:hAnsi="Arial" w:cs="Arial"/>
                <w:b/>
                <w:bCs/>
                <w:sz w:val="22"/>
              </w:rPr>
              <w:t>Patient</w:t>
            </w:r>
            <w:r w:rsidRPr="00F90BB9">
              <w:rPr>
                <w:rFonts w:ascii="Arial" w:hAnsi="Arial" w:cs="Arial"/>
                <w:b/>
                <w:bCs/>
                <w:sz w:val="22"/>
              </w:rPr>
              <w:br/>
            </w:r>
            <w:r w:rsidRPr="00F90BB9">
              <w:rPr>
                <w:rFonts w:ascii="Arial" w:hAnsi="Arial" w:cs="Arial"/>
                <w:b/>
                <w:sz w:val="22"/>
              </w:rPr>
              <w:t>Values</w:t>
            </w:r>
          </w:p>
        </w:tc>
        <w:tc>
          <w:tcPr>
            <w:tcW w:w="1476" w:type="dxa"/>
            <w:vAlign w:val="center"/>
          </w:tcPr>
          <w:p w14:paraId="0302505F" w14:textId="77777777" w:rsidR="002459FA" w:rsidRPr="00F90BB9" w:rsidRDefault="002459FA" w:rsidP="00DD43EC">
            <w:pPr>
              <w:spacing w:before="40" w:after="40"/>
              <w:contextualSpacing w:val="0"/>
              <w:jc w:val="center"/>
              <w:rPr>
                <w:rFonts w:ascii="Arial" w:hAnsi="Arial" w:cs="Arial"/>
                <w:b/>
                <w:sz w:val="22"/>
              </w:rPr>
            </w:pPr>
            <w:r w:rsidRPr="00F90BB9">
              <w:rPr>
                <w:rFonts w:ascii="Arial" w:hAnsi="Arial" w:cs="Arial"/>
                <w:b/>
                <w:sz w:val="22"/>
              </w:rPr>
              <w:t>Coefficients × Values*</w:t>
            </w:r>
          </w:p>
        </w:tc>
        <w:tc>
          <w:tcPr>
            <w:tcW w:w="1476" w:type="dxa"/>
            <w:vAlign w:val="center"/>
          </w:tcPr>
          <w:p w14:paraId="0AD1EDEF" w14:textId="77777777" w:rsidR="002459FA" w:rsidRPr="00F90BB9" w:rsidRDefault="002459FA" w:rsidP="00DD43EC">
            <w:pPr>
              <w:spacing w:before="40" w:after="40"/>
              <w:contextualSpacing w:val="0"/>
              <w:jc w:val="center"/>
              <w:rPr>
                <w:rFonts w:ascii="Arial" w:hAnsi="Arial" w:cs="Arial"/>
                <w:b/>
                <w:sz w:val="22"/>
              </w:rPr>
            </w:pPr>
            <w:r w:rsidRPr="00F90BB9">
              <w:rPr>
                <w:rFonts w:ascii="Arial" w:hAnsi="Arial" w:cs="Arial"/>
                <w:b/>
                <w:bCs/>
                <w:sz w:val="22"/>
              </w:rPr>
              <w:t>Patient</w:t>
            </w:r>
            <w:r w:rsidRPr="00F90BB9">
              <w:rPr>
                <w:rFonts w:ascii="Arial" w:hAnsi="Arial" w:cs="Arial"/>
                <w:b/>
                <w:bCs/>
                <w:sz w:val="22"/>
              </w:rPr>
              <w:br/>
            </w:r>
            <w:r w:rsidRPr="00F90BB9">
              <w:rPr>
                <w:rFonts w:ascii="Arial" w:hAnsi="Arial" w:cs="Arial"/>
                <w:b/>
                <w:sz w:val="22"/>
              </w:rPr>
              <w:t>Values</w:t>
            </w:r>
          </w:p>
        </w:tc>
        <w:tc>
          <w:tcPr>
            <w:tcW w:w="1476" w:type="dxa"/>
            <w:vAlign w:val="center"/>
          </w:tcPr>
          <w:p w14:paraId="32A19DC1" w14:textId="77777777" w:rsidR="002459FA" w:rsidRPr="00F90BB9" w:rsidRDefault="002459FA" w:rsidP="00DD43EC">
            <w:pPr>
              <w:spacing w:before="40" w:after="40"/>
              <w:contextualSpacing w:val="0"/>
              <w:jc w:val="center"/>
              <w:rPr>
                <w:rFonts w:ascii="Arial" w:hAnsi="Arial" w:cs="Arial"/>
                <w:b/>
                <w:sz w:val="22"/>
              </w:rPr>
            </w:pPr>
            <w:r w:rsidRPr="00F90BB9">
              <w:rPr>
                <w:rFonts w:ascii="Arial" w:hAnsi="Arial" w:cs="Arial"/>
                <w:b/>
                <w:sz w:val="22"/>
              </w:rPr>
              <w:t>Coefficients × Values*</w:t>
            </w:r>
          </w:p>
        </w:tc>
      </w:tr>
      <w:tr w:rsidR="002459FA" w:rsidRPr="00F90BB9" w14:paraId="44E6D908" w14:textId="77777777" w:rsidTr="00DD43EC">
        <w:trPr>
          <w:trHeight w:val="250"/>
        </w:trPr>
        <w:tc>
          <w:tcPr>
            <w:tcW w:w="3724" w:type="dxa"/>
            <w:shd w:val="clear" w:color="auto" w:fill="auto"/>
            <w:vAlign w:val="center"/>
          </w:tcPr>
          <w:p w14:paraId="5E667EFF"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sz w:val="22"/>
              </w:rPr>
              <w:t>Age (years)</w:t>
            </w:r>
          </w:p>
        </w:tc>
        <w:tc>
          <w:tcPr>
            <w:tcW w:w="1501" w:type="dxa"/>
            <w:vAlign w:val="center"/>
          </w:tcPr>
          <w:p w14:paraId="1D22E29E" w14:textId="77777777" w:rsidR="002459FA" w:rsidRPr="00F90BB9" w:rsidRDefault="002459FA" w:rsidP="00DD43EC">
            <w:pPr>
              <w:contextualSpacing w:val="0"/>
              <w:jc w:val="center"/>
              <w:rPr>
                <w:rFonts w:ascii="Arial" w:hAnsi="Arial" w:cs="Arial"/>
                <w:color w:val="000000"/>
                <w:sz w:val="22"/>
              </w:rPr>
            </w:pPr>
            <w:r>
              <w:rPr>
                <w:rFonts w:ascii="Arial" w:hAnsi="Arial" w:cs="Arial"/>
                <w:color w:val="000000"/>
                <w:sz w:val="22"/>
              </w:rPr>
              <w:t>0.0420</w:t>
            </w:r>
          </w:p>
        </w:tc>
        <w:tc>
          <w:tcPr>
            <w:tcW w:w="1476" w:type="dxa"/>
            <w:vAlign w:val="center"/>
          </w:tcPr>
          <w:p w14:paraId="5E5C830A"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65</w:t>
            </w:r>
          </w:p>
        </w:tc>
        <w:tc>
          <w:tcPr>
            <w:tcW w:w="1476" w:type="dxa"/>
            <w:vAlign w:val="center"/>
          </w:tcPr>
          <w:p w14:paraId="1E1C06F4"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2.7300</w:t>
            </w:r>
          </w:p>
        </w:tc>
        <w:tc>
          <w:tcPr>
            <w:tcW w:w="1476" w:type="dxa"/>
            <w:vAlign w:val="center"/>
          </w:tcPr>
          <w:p w14:paraId="34437CD5"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47</w:t>
            </w:r>
          </w:p>
        </w:tc>
        <w:tc>
          <w:tcPr>
            <w:tcW w:w="1476" w:type="dxa"/>
            <w:vAlign w:val="center"/>
          </w:tcPr>
          <w:p w14:paraId="1C18C814"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1.9740</w:t>
            </w:r>
          </w:p>
        </w:tc>
        <w:tc>
          <w:tcPr>
            <w:tcW w:w="1476" w:type="dxa"/>
            <w:vAlign w:val="center"/>
          </w:tcPr>
          <w:p w14:paraId="7DC072CA"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54</w:t>
            </w:r>
          </w:p>
        </w:tc>
        <w:tc>
          <w:tcPr>
            <w:tcW w:w="1476" w:type="dxa"/>
            <w:vAlign w:val="center"/>
          </w:tcPr>
          <w:p w14:paraId="5B00B32E"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2.2680</w:t>
            </w:r>
          </w:p>
        </w:tc>
      </w:tr>
      <w:tr w:rsidR="002459FA" w:rsidRPr="00F90BB9" w14:paraId="4F232E21" w14:textId="77777777" w:rsidTr="00DD43EC">
        <w:trPr>
          <w:trHeight w:val="250"/>
        </w:trPr>
        <w:tc>
          <w:tcPr>
            <w:tcW w:w="3724" w:type="dxa"/>
            <w:shd w:val="clear" w:color="auto" w:fill="auto"/>
            <w:vAlign w:val="center"/>
          </w:tcPr>
          <w:p w14:paraId="6720E245"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sz w:val="22"/>
              </w:rPr>
              <w:t>HDL cholesterol (mg/dL)</w:t>
            </w:r>
          </w:p>
        </w:tc>
        <w:tc>
          <w:tcPr>
            <w:tcW w:w="1501" w:type="dxa"/>
            <w:vAlign w:val="center"/>
          </w:tcPr>
          <w:p w14:paraId="73954D27"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-0.0127</w:t>
            </w:r>
          </w:p>
        </w:tc>
        <w:tc>
          <w:tcPr>
            <w:tcW w:w="1476" w:type="dxa"/>
            <w:vAlign w:val="center"/>
          </w:tcPr>
          <w:p w14:paraId="41BDB413"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47</w:t>
            </w:r>
          </w:p>
        </w:tc>
        <w:tc>
          <w:tcPr>
            <w:tcW w:w="1476" w:type="dxa"/>
            <w:vAlign w:val="center"/>
          </w:tcPr>
          <w:p w14:paraId="25B20DC0"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-0.5969</w:t>
            </w:r>
          </w:p>
        </w:tc>
        <w:tc>
          <w:tcPr>
            <w:tcW w:w="1476" w:type="dxa"/>
            <w:vAlign w:val="center"/>
          </w:tcPr>
          <w:p w14:paraId="3AC65837"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60</w:t>
            </w:r>
          </w:p>
        </w:tc>
        <w:tc>
          <w:tcPr>
            <w:tcW w:w="1476" w:type="dxa"/>
            <w:vAlign w:val="center"/>
          </w:tcPr>
          <w:p w14:paraId="66330B2C"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-0.7620</w:t>
            </w:r>
          </w:p>
        </w:tc>
        <w:tc>
          <w:tcPr>
            <w:tcW w:w="1476" w:type="dxa"/>
            <w:vAlign w:val="center"/>
          </w:tcPr>
          <w:p w14:paraId="4F4084FA"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34</w:t>
            </w:r>
          </w:p>
        </w:tc>
        <w:tc>
          <w:tcPr>
            <w:tcW w:w="1476" w:type="dxa"/>
            <w:vAlign w:val="center"/>
          </w:tcPr>
          <w:p w14:paraId="793A5D8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-0.4318</w:t>
            </w:r>
          </w:p>
        </w:tc>
      </w:tr>
      <w:tr w:rsidR="002459FA" w:rsidRPr="00F90BB9" w14:paraId="7F5F18C9" w14:textId="77777777" w:rsidTr="00DD43EC">
        <w:trPr>
          <w:trHeight w:val="352"/>
        </w:trPr>
        <w:tc>
          <w:tcPr>
            <w:tcW w:w="3724" w:type="dxa"/>
            <w:shd w:val="clear" w:color="auto" w:fill="auto"/>
            <w:vAlign w:val="center"/>
          </w:tcPr>
          <w:p w14:paraId="13AD8E6B"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sz w:val="22"/>
              </w:rPr>
              <w:t>Systolic BP (mm Hg)</w:t>
            </w:r>
          </w:p>
        </w:tc>
        <w:tc>
          <w:tcPr>
            <w:tcW w:w="1501" w:type="dxa"/>
            <w:vAlign w:val="center"/>
          </w:tcPr>
          <w:p w14:paraId="043D5DF7"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0.0077</w:t>
            </w:r>
          </w:p>
        </w:tc>
        <w:tc>
          <w:tcPr>
            <w:tcW w:w="1476" w:type="dxa"/>
            <w:vAlign w:val="center"/>
          </w:tcPr>
          <w:p w14:paraId="414A7DF5"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173.33</w:t>
            </w:r>
          </w:p>
        </w:tc>
        <w:tc>
          <w:tcPr>
            <w:tcW w:w="1476" w:type="dxa"/>
            <w:vAlign w:val="center"/>
          </w:tcPr>
          <w:p w14:paraId="61CF06CE"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1.3346</w:t>
            </w:r>
          </w:p>
        </w:tc>
        <w:tc>
          <w:tcPr>
            <w:tcW w:w="1476" w:type="dxa"/>
            <w:vAlign w:val="center"/>
          </w:tcPr>
          <w:p w14:paraId="5E44EEC4"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121.33</w:t>
            </w:r>
          </w:p>
        </w:tc>
        <w:tc>
          <w:tcPr>
            <w:tcW w:w="1476" w:type="dxa"/>
            <w:vAlign w:val="center"/>
          </w:tcPr>
          <w:p w14:paraId="1588BE8E"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0.9342</w:t>
            </w:r>
          </w:p>
        </w:tc>
        <w:tc>
          <w:tcPr>
            <w:tcW w:w="1476" w:type="dxa"/>
            <w:vAlign w:val="center"/>
          </w:tcPr>
          <w:p w14:paraId="3A030FE6"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148.67</w:t>
            </w:r>
          </w:p>
        </w:tc>
        <w:tc>
          <w:tcPr>
            <w:tcW w:w="1476" w:type="dxa"/>
            <w:vAlign w:val="center"/>
          </w:tcPr>
          <w:p w14:paraId="2285BAE1"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1.1448</w:t>
            </w:r>
          </w:p>
        </w:tc>
      </w:tr>
      <w:tr w:rsidR="002459FA" w:rsidRPr="00F90BB9" w14:paraId="3505EC64" w14:textId="77777777" w:rsidTr="00DD43EC">
        <w:trPr>
          <w:trHeight w:val="250"/>
        </w:trPr>
        <w:tc>
          <w:tcPr>
            <w:tcW w:w="3724" w:type="dxa"/>
            <w:shd w:val="clear" w:color="auto" w:fill="auto"/>
            <w:vAlign w:val="center"/>
          </w:tcPr>
          <w:p w14:paraId="7E46C90F"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sz w:val="22"/>
              </w:rPr>
              <w:t>Current smoking (1 if yes)</w:t>
            </w:r>
          </w:p>
        </w:tc>
        <w:tc>
          <w:tcPr>
            <w:tcW w:w="1501" w:type="dxa"/>
            <w:vAlign w:val="center"/>
          </w:tcPr>
          <w:p w14:paraId="7C9C2FF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0.7086</w:t>
            </w:r>
          </w:p>
        </w:tc>
        <w:tc>
          <w:tcPr>
            <w:tcW w:w="1476" w:type="dxa"/>
            <w:vAlign w:val="center"/>
          </w:tcPr>
          <w:p w14:paraId="0EE9301D"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22E7751F"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2484DCA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1812144B"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08A12D02"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w:t>
            </w:r>
          </w:p>
        </w:tc>
        <w:tc>
          <w:tcPr>
            <w:tcW w:w="1476" w:type="dxa"/>
            <w:vAlign w:val="center"/>
          </w:tcPr>
          <w:p w14:paraId="2A485C33"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0.7086</w:t>
            </w:r>
          </w:p>
        </w:tc>
      </w:tr>
      <w:tr w:rsidR="002459FA" w:rsidRPr="00F90BB9" w14:paraId="3123D426" w14:textId="77777777" w:rsidTr="00DD43EC">
        <w:trPr>
          <w:trHeight w:val="250"/>
        </w:trPr>
        <w:tc>
          <w:tcPr>
            <w:tcW w:w="3724" w:type="dxa"/>
            <w:shd w:val="clear" w:color="auto" w:fill="auto"/>
            <w:vAlign w:val="center"/>
          </w:tcPr>
          <w:p w14:paraId="3F4A8654" w14:textId="77777777" w:rsidR="002459FA" w:rsidRPr="00F90BB9" w:rsidRDefault="002459FA" w:rsidP="00DD43EC">
            <w:pPr>
              <w:spacing w:before="40" w:after="40"/>
              <w:contextualSpacing w:val="0"/>
              <w:rPr>
                <w:rFonts w:ascii="Arial" w:eastAsia="Calibri" w:hAnsi="Arial" w:cs="Arial"/>
                <w:sz w:val="22"/>
              </w:rPr>
            </w:pPr>
            <w:r w:rsidRPr="00F90BB9">
              <w:rPr>
                <w:rFonts w:ascii="Arial" w:hAnsi="Arial" w:cs="Arial"/>
                <w:sz w:val="22"/>
              </w:rPr>
              <w:t>Log (urine ACR) (mg/g)</w:t>
            </w:r>
          </w:p>
        </w:tc>
        <w:tc>
          <w:tcPr>
            <w:tcW w:w="1501" w:type="dxa"/>
            <w:vAlign w:val="center"/>
          </w:tcPr>
          <w:p w14:paraId="291021BA"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0.1553</w:t>
            </w:r>
          </w:p>
        </w:tc>
        <w:tc>
          <w:tcPr>
            <w:tcW w:w="1476" w:type="dxa"/>
            <w:vAlign w:val="center"/>
          </w:tcPr>
          <w:p w14:paraId="6AEAB4E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(33.83)</w:t>
            </w:r>
          </w:p>
        </w:tc>
        <w:tc>
          <w:tcPr>
            <w:tcW w:w="1476" w:type="dxa"/>
            <w:vAlign w:val="center"/>
          </w:tcPr>
          <w:p w14:paraId="492B2E67"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0.5469</w:t>
            </w:r>
          </w:p>
        </w:tc>
        <w:tc>
          <w:tcPr>
            <w:tcW w:w="1476" w:type="dxa"/>
            <w:vAlign w:val="center"/>
          </w:tcPr>
          <w:p w14:paraId="18A004A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(49.22)</w:t>
            </w:r>
          </w:p>
        </w:tc>
        <w:tc>
          <w:tcPr>
            <w:tcW w:w="1476" w:type="dxa"/>
            <w:vAlign w:val="center"/>
          </w:tcPr>
          <w:p w14:paraId="4DDF4F56"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0.6051</w:t>
            </w:r>
          </w:p>
        </w:tc>
        <w:tc>
          <w:tcPr>
            <w:tcW w:w="1476" w:type="dxa"/>
            <w:vAlign w:val="center"/>
          </w:tcPr>
          <w:p w14:paraId="0AF379D3"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(2151.5)</w:t>
            </w:r>
          </w:p>
        </w:tc>
        <w:tc>
          <w:tcPr>
            <w:tcW w:w="1476" w:type="dxa"/>
            <w:vAlign w:val="center"/>
          </w:tcPr>
          <w:p w14:paraId="3995567D"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1.1918</w:t>
            </w:r>
          </w:p>
        </w:tc>
      </w:tr>
      <w:tr w:rsidR="002459FA" w:rsidRPr="00F90BB9" w14:paraId="18E77BA4" w14:textId="77777777" w:rsidTr="00DD43EC">
        <w:trPr>
          <w:trHeight w:val="250"/>
        </w:trPr>
        <w:tc>
          <w:tcPr>
            <w:tcW w:w="3724" w:type="dxa"/>
            <w:shd w:val="clear" w:color="auto" w:fill="auto"/>
            <w:vAlign w:val="center"/>
          </w:tcPr>
          <w:p w14:paraId="468E8E5F" w14:textId="77777777" w:rsidR="002459FA" w:rsidRPr="00F90BB9" w:rsidRDefault="002459FA" w:rsidP="00DD43EC">
            <w:pPr>
              <w:spacing w:before="40" w:after="40"/>
              <w:contextualSpacing w:val="0"/>
              <w:rPr>
                <w:rFonts w:ascii="Arial" w:eastAsia="Calibri" w:hAnsi="Arial" w:cs="Arial"/>
                <w:sz w:val="22"/>
              </w:rPr>
            </w:pPr>
            <w:r w:rsidRPr="00F90BB9">
              <w:rPr>
                <w:rFonts w:ascii="Arial" w:hAnsi="Arial" w:cs="Arial"/>
                <w:sz w:val="22"/>
              </w:rPr>
              <w:t>Hemoglobin A1c (%)</w:t>
            </w:r>
          </w:p>
        </w:tc>
        <w:tc>
          <w:tcPr>
            <w:tcW w:w="1501" w:type="dxa"/>
            <w:vAlign w:val="center"/>
          </w:tcPr>
          <w:p w14:paraId="65F8A0CF"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0.1634</w:t>
            </w:r>
          </w:p>
        </w:tc>
        <w:tc>
          <w:tcPr>
            <w:tcW w:w="1476" w:type="dxa"/>
            <w:vAlign w:val="center"/>
          </w:tcPr>
          <w:p w14:paraId="0E3E1E4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6.1</w:t>
            </w:r>
          </w:p>
        </w:tc>
        <w:tc>
          <w:tcPr>
            <w:tcW w:w="1476" w:type="dxa"/>
            <w:vAlign w:val="center"/>
          </w:tcPr>
          <w:p w14:paraId="001C9E61"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0.9967</w:t>
            </w:r>
          </w:p>
        </w:tc>
        <w:tc>
          <w:tcPr>
            <w:tcW w:w="1476" w:type="dxa"/>
            <w:vAlign w:val="center"/>
          </w:tcPr>
          <w:p w14:paraId="64F4AA21"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5.1</w:t>
            </w:r>
          </w:p>
        </w:tc>
        <w:tc>
          <w:tcPr>
            <w:tcW w:w="1476" w:type="dxa"/>
            <w:vAlign w:val="center"/>
          </w:tcPr>
          <w:p w14:paraId="192FAB5A"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0.8333</w:t>
            </w:r>
          </w:p>
        </w:tc>
        <w:tc>
          <w:tcPr>
            <w:tcW w:w="1476" w:type="dxa"/>
            <w:vAlign w:val="center"/>
          </w:tcPr>
          <w:p w14:paraId="54CD6B1E"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6</w:t>
            </w:r>
          </w:p>
        </w:tc>
        <w:tc>
          <w:tcPr>
            <w:tcW w:w="1476" w:type="dxa"/>
            <w:vAlign w:val="center"/>
          </w:tcPr>
          <w:p w14:paraId="67934C6A"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0.9804</w:t>
            </w:r>
          </w:p>
        </w:tc>
      </w:tr>
      <w:tr w:rsidR="002459FA" w:rsidRPr="00F90BB9" w14:paraId="0C81840E" w14:textId="77777777" w:rsidTr="00DD43EC">
        <w:trPr>
          <w:trHeight w:val="250"/>
        </w:trPr>
        <w:tc>
          <w:tcPr>
            <w:tcW w:w="3724" w:type="dxa"/>
            <w:shd w:val="clear" w:color="auto" w:fill="auto"/>
            <w:vAlign w:val="center"/>
          </w:tcPr>
          <w:p w14:paraId="037F0318" w14:textId="77777777" w:rsidR="002459FA" w:rsidRPr="00F90BB9" w:rsidRDefault="002459FA" w:rsidP="00DD43EC">
            <w:pPr>
              <w:spacing w:before="40" w:after="40"/>
              <w:contextualSpacing w:val="0"/>
              <w:rPr>
                <w:rFonts w:ascii="Arial" w:eastAsia="Calibri" w:hAnsi="Arial" w:cs="Arial"/>
                <w:sz w:val="22"/>
              </w:rPr>
            </w:pPr>
            <w:r w:rsidRPr="00F90BB9">
              <w:rPr>
                <w:rFonts w:ascii="Arial" w:hAnsi="Arial" w:cs="Arial"/>
                <w:sz w:val="22"/>
              </w:rPr>
              <w:t>Hemoglobin (g/dL)</w:t>
            </w:r>
          </w:p>
        </w:tc>
        <w:tc>
          <w:tcPr>
            <w:tcW w:w="1501" w:type="dxa"/>
            <w:vAlign w:val="center"/>
          </w:tcPr>
          <w:p w14:paraId="3AA67241"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-0.0903</w:t>
            </w:r>
          </w:p>
        </w:tc>
        <w:tc>
          <w:tcPr>
            <w:tcW w:w="1476" w:type="dxa"/>
            <w:vAlign w:val="center"/>
          </w:tcPr>
          <w:p w14:paraId="1E7A0CD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10.8</w:t>
            </w:r>
          </w:p>
        </w:tc>
        <w:tc>
          <w:tcPr>
            <w:tcW w:w="1476" w:type="dxa"/>
            <w:vAlign w:val="center"/>
          </w:tcPr>
          <w:p w14:paraId="4B4B7D2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-0.9752</w:t>
            </w:r>
          </w:p>
        </w:tc>
        <w:tc>
          <w:tcPr>
            <w:tcW w:w="1476" w:type="dxa"/>
            <w:vAlign w:val="center"/>
          </w:tcPr>
          <w:p w14:paraId="2A0D3456"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14.2</w:t>
            </w:r>
          </w:p>
        </w:tc>
        <w:tc>
          <w:tcPr>
            <w:tcW w:w="1476" w:type="dxa"/>
            <w:vAlign w:val="center"/>
          </w:tcPr>
          <w:p w14:paraId="579D81AF"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-1.2823</w:t>
            </w:r>
          </w:p>
        </w:tc>
        <w:tc>
          <w:tcPr>
            <w:tcW w:w="1476" w:type="dxa"/>
            <w:vAlign w:val="center"/>
          </w:tcPr>
          <w:p w14:paraId="50850A7D"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9.6</w:t>
            </w:r>
          </w:p>
        </w:tc>
        <w:tc>
          <w:tcPr>
            <w:tcW w:w="1476" w:type="dxa"/>
            <w:vAlign w:val="center"/>
          </w:tcPr>
          <w:p w14:paraId="1AF0372D"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-0.8669</w:t>
            </w:r>
          </w:p>
        </w:tc>
      </w:tr>
      <w:tr w:rsidR="002459FA" w:rsidRPr="00F90BB9" w14:paraId="0E7BFFA7" w14:textId="77777777" w:rsidTr="00DD43EC">
        <w:trPr>
          <w:trHeight w:val="250"/>
        </w:trPr>
        <w:tc>
          <w:tcPr>
            <w:tcW w:w="14081" w:type="dxa"/>
            <w:gridSpan w:val="8"/>
            <w:shd w:val="clear" w:color="auto" w:fill="auto"/>
            <w:vAlign w:val="center"/>
          </w:tcPr>
          <w:p w14:paraId="5FB3C43B"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b/>
                <w:bCs/>
                <w:sz w:val="22"/>
              </w:rPr>
              <w:t>Risk Calculation</w:t>
            </w:r>
          </w:p>
        </w:tc>
      </w:tr>
      <w:tr w:rsidR="002459FA" w:rsidRPr="00F90BB9" w14:paraId="0379FF34" w14:textId="77777777" w:rsidTr="00DD43EC">
        <w:trPr>
          <w:trHeight w:val="250"/>
        </w:trPr>
        <w:tc>
          <w:tcPr>
            <w:tcW w:w="3724" w:type="dxa"/>
            <w:shd w:val="clear" w:color="auto" w:fill="auto"/>
            <w:vAlign w:val="center"/>
          </w:tcPr>
          <w:p w14:paraId="460B5294"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sz w:val="22"/>
              </w:rPr>
              <w:t>Sum</w:t>
            </w:r>
          </w:p>
        </w:tc>
        <w:tc>
          <w:tcPr>
            <w:tcW w:w="1501" w:type="dxa"/>
            <w:vAlign w:val="center"/>
          </w:tcPr>
          <w:p w14:paraId="3B6BD85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3357AD5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45A1C8BC"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4.0361</w:t>
            </w:r>
          </w:p>
        </w:tc>
        <w:tc>
          <w:tcPr>
            <w:tcW w:w="1476" w:type="dxa"/>
            <w:vAlign w:val="center"/>
          </w:tcPr>
          <w:p w14:paraId="6A9E9DE0"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621B8273"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2.3024</w:t>
            </w:r>
          </w:p>
        </w:tc>
        <w:tc>
          <w:tcPr>
            <w:tcW w:w="1476" w:type="dxa"/>
            <w:vAlign w:val="center"/>
          </w:tcPr>
          <w:p w14:paraId="54685B14"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427AFE4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4.9948</w:t>
            </w:r>
          </w:p>
        </w:tc>
      </w:tr>
      <w:tr w:rsidR="002459FA" w:rsidRPr="00F90BB9" w14:paraId="2D57C2D3" w14:textId="77777777" w:rsidTr="00DD43EC">
        <w:trPr>
          <w:trHeight w:val="250"/>
        </w:trPr>
        <w:tc>
          <w:tcPr>
            <w:tcW w:w="3724" w:type="dxa"/>
            <w:shd w:val="clear" w:color="auto" w:fill="auto"/>
            <w:vAlign w:val="center"/>
          </w:tcPr>
          <w:p w14:paraId="7A4028B5"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sz w:val="22"/>
              </w:rPr>
              <w:t>Probability (ASCVD event)</w:t>
            </w:r>
          </w:p>
        </w:tc>
        <w:tc>
          <w:tcPr>
            <w:tcW w:w="1501" w:type="dxa"/>
            <w:vAlign w:val="center"/>
          </w:tcPr>
          <w:p w14:paraId="0A669826"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1CE7AEF7"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7F30064E"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0.1788</w:t>
            </w:r>
          </w:p>
        </w:tc>
        <w:tc>
          <w:tcPr>
            <w:tcW w:w="1476" w:type="dxa"/>
            <w:vAlign w:val="center"/>
          </w:tcPr>
          <w:p w14:paraId="706ED09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66457DEF"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0.0342</w:t>
            </w:r>
          </w:p>
        </w:tc>
        <w:tc>
          <w:tcPr>
            <w:tcW w:w="1476" w:type="dxa"/>
            <w:vAlign w:val="center"/>
          </w:tcPr>
          <w:p w14:paraId="12FD1983"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12C8685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0.4018</w:t>
            </w:r>
          </w:p>
        </w:tc>
      </w:tr>
      <w:tr w:rsidR="002459FA" w:rsidRPr="00F90BB9" w14:paraId="5746598F" w14:textId="77777777" w:rsidTr="00DD43EC">
        <w:trPr>
          <w:trHeight w:val="250"/>
        </w:trPr>
        <w:tc>
          <w:tcPr>
            <w:tcW w:w="3724" w:type="dxa"/>
            <w:shd w:val="clear" w:color="auto" w:fill="auto"/>
            <w:vAlign w:val="center"/>
          </w:tcPr>
          <w:p w14:paraId="1AD9DDBD"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sz w:val="22"/>
              </w:rPr>
              <w:t>10-year risk, %</w:t>
            </w:r>
          </w:p>
        </w:tc>
        <w:tc>
          <w:tcPr>
            <w:tcW w:w="1501" w:type="dxa"/>
            <w:vAlign w:val="center"/>
          </w:tcPr>
          <w:p w14:paraId="331C6145"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62CC6417"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56289FE5"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17.88%</w:t>
            </w:r>
          </w:p>
        </w:tc>
        <w:tc>
          <w:tcPr>
            <w:tcW w:w="1476" w:type="dxa"/>
            <w:vAlign w:val="center"/>
          </w:tcPr>
          <w:p w14:paraId="6F8AF05A"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40339692"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3.42%</w:t>
            </w:r>
          </w:p>
        </w:tc>
        <w:tc>
          <w:tcPr>
            <w:tcW w:w="1476" w:type="dxa"/>
            <w:vAlign w:val="center"/>
          </w:tcPr>
          <w:p w14:paraId="16242BD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04B2B7EB"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40.18%</w:t>
            </w:r>
          </w:p>
        </w:tc>
      </w:tr>
    </w:tbl>
    <w:p w14:paraId="6031762F" w14:textId="60F12741" w:rsidR="00B6472A" w:rsidRPr="00F90BB9" w:rsidRDefault="00B6472A" w:rsidP="00B6472A">
      <w:pPr>
        <w:spacing w:before="80"/>
        <w:contextualSpacing w:val="0"/>
        <w:rPr>
          <w:rFonts w:ascii="Arial" w:hAnsi="Arial" w:cs="Arial"/>
          <w:sz w:val="22"/>
        </w:rPr>
      </w:pPr>
      <w:r w:rsidRPr="00F90BB9">
        <w:rPr>
          <w:rFonts w:ascii="Arial" w:hAnsi="Arial" w:cs="Arial"/>
          <w:sz w:val="22"/>
        </w:rPr>
        <w:t xml:space="preserve">ACR = albumin-to-creatinine ratio; ASCVD = atherosclerotic cardiovascular disease; </w:t>
      </w:r>
      <w:r w:rsidR="009342C2" w:rsidRPr="00F90BB9">
        <w:rPr>
          <w:rFonts w:ascii="Arial" w:hAnsi="Arial" w:cs="Arial"/>
          <w:sz w:val="22"/>
        </w:rPr>
        <w:t xml:space="preserve">BP = blood pressure; </w:t>
      </w:r>
      <w:r w:rsidRPr="00F90BB9">
        <w:rPr>
          <w:rFonts w:ascii="Arial" w:hAnsi="Arial" w:cs="Arial"/>
          <w:sz w:val="22"/>
        </w:rPr>
        <w:t>HDL = high density lipoprotein</w:t>
      </w:r>
    </w:p>
    <w:p w14:paraId="648FE47B" w14:textId="2B5AA133" w:rsidR="00B6472A" w:rsidRPr="00F90BB9" w:rsidRDefault="00B6472A" w:rsidP="00B6472A">
      <w:pPr>
        <w:spacing w:before="80"/>
        <w:contextualSpacing w:val="0"/>
        <w:rPr>
          <w:rFonts w:ascii="Arial" w:hAnsi="Arial" w:cs="Arial"/>
          <w:sz w:val="22"/>
        </w:rPr>
      </w:pPr>
      <w:r w:rsidRPr="00F90BB9">
        <w:rPr>
          <w:rFonts w:ascii="Arial" w:hAnsi="Arial" w:cs="Arial"/>
          <w:sz w:val="22"/>
        </w:rPr>
        <w:t>* The 10-year risk can be calculated as 1–0.</w:t>
      </w:r>
      <w:r w:rsidR="002459FA" w:rsidRPr="00F90BB9">
        <w:rPr>
          <w:rFonts w:ascii="Arial" w:hAnsi="Arial" w:cs="Arial"/>
          <w:sz w:val="22"/>
        </w:rPr>
        <w:t>90</w:t>
      </w:r>
      <w:r w:rsidR="002459FA">
        <w:rPr>
          <w:rFonts w:ascii="Arial" w:hAnsi="Arial" w:cs="Arial"/>
          <w:sz w:val="22"/>
        </w:rPr>
        <w:t>75</w:t>
      </w:r>
      <w:r w:rsidR="002459FA" w:rsidRPr="00F90BB9">
        <w:rPr>
          <w:rFonts w:ascii="Arial" w:hAnsi="Arial" w:cs="Arial"/>
          <w:sz w:val="22"/>
          <w:vertAlign w:val="superscript"/>
        </w:rPr>
        <w:t>exp</w:t>
      </w:r>
      <w:r w:rsidRPr="00F90BB9">
        <w:rPr>
          <w:rFonts w:ascii="Arial" w:hAnsi="Arial" w:cs="Arial"/>
          <w:sz w:val="22"/>
          <w:vertAlign w:val="superscript"/>
        </w:rPr>
        <w:t>(ΣbX–</w:t>
      </w:r>
      <w:r w:rsidR="00803D2B" w:rsidRPr="00F90BB9">
        <w:rPr>
          <w:rFonts w:ascii="Arial" w:hAnsi="Arial" w:cs="Arial"/>
          <w:sz w:val="22"/>
          <w:vertAlign w:val="superscript"/>
        </w:rPr>
        <w:t>3.</w:t>
      </w:r>
      <w:r w:rsidR="002459FA">
        <w:rPr>
          <w:rFonts w:ascii="Arial" w:hAnsi="Arial" w:cs="Arial"/>
          <w:sz w:val="22"/>
          <w:vertAlign w:val="superscript"/>
        </w:rPr>
        <w:t>3283</w:t>
      </w:r>
      <w:r w:rsidRPr="00F90BB9">
        <w:rPr>
          <w:rFonts w:ascii="Arial" w:hAnsi="Arial" w:cs="Arial"/>
          <w:sz w:val="22"/>
          <w:vertAlign w:val="superscript"/>
        </w:rPr>
        <w:t>)</w:t>
      </w:r>
      <w:r w:rsidRPr="00F90BB9">
        <w:rPr>
          <w:rFonts w:ascii="Arial" w:hAnsi="Arial" w:cs="Arial"/>
          <w:sz w:val="22"/>
        </w:rPr>
        <w:t xml:space="preserve"> where b is the regression coefficient (beta) and X is the level for each risk factor.</w:t>
      </w:r>
    </w:p>
    <w:p w14:paraId="4DD2A936" w14:textId="7F3D22BD" w:rsidR="002B6951" w:rsidRDefault="002B6951" w:rsidP="00B6472A">
      <w:pPr>
        <w:spacing w:after="120"/>
        <w:contextualSpacing w:val="0"/>
        <w:rPr>
          <w:rFonts w:ascii="Arial" w:hAnsi="Arial" w:cs="Arial"/>
          <w:sz w:val="22"/>
        </w:rPr>
      </w:pPr>
    </w:p>
    <w:p w14:paraId="2A37F741" w14:textId="77777777" w:rsidR="00B6472A" w:rsidRPr="00EA3792" w:rsidRDefault="00B6472A" w:rsidP="002B6951">
      <w:pPr>
        <w:spacing w:before="80"/>
        <w:contextualSpacing w:val="0"/>
        <w:rPr>
          <w:rFonts w:ascii="Arial" w:hAnsi="Arial" w:cs="Arial"/>
          <w:sz w:val="22"/>
        </w:rPr>
      </w:pPr>
    </w:p>
    <w:p w14:paraId="25B26299" w14:textId="77777777" w:rsidR="002B6951" w:rsidRDefault="002B6951" w:rsidP="002B6951">
      <w:pPr>
        <w:spacing w:after="160" w:line="259" w:lineRule="auto"/>
        <w:contextualSpacing w:val="0"/>
        <w:rPr>
          <w:rFonts w:ascii="Arial" w:hAnsi="Arial" w:cs="Arial"/>
          <w:sz w:val="22"/>
        </w:rPr>
      </w:pPr>
      <w:r>
        <w:rPr>
          <w:rFonts w:ascii="Arial" w:hAnsi="Arial" w:cs="Arial"/>
          <w:sz w:val="22"/>
        </w:rPr>
        <w:br w:type="page"/>
      </w:r>
    </w:p>
    <w:p w14:paraId="761B22D9" w14:textId="642B9A38" w:rsidR="00B6472A" w:rsidRPr="00F90BB9" w:rsidRDefault="00DA3FCB" w:rsidP="00B6472A">
      <w:pPr>
        <w:spacing w:after="120"/>
        <w:contextualSpacing w:val="0"/>
        <w:rPr>
          <w:rFonts w:ascii="Arial" w:eastAsia="+mn-ea" w:hAnsi="Arial" w:cs="Arial"/>
          <w:color w:val="000000"/>
          <w:kern w:val="24"/>
          <w:sz w:val="22"/>
        </w:rPr>
      </w:pPr>
      <w:r>
        <w:rPr>
          <w:rFonts w:ascii="Arial" w:hAnsi="Arial" w:cs="Arial"/>
          <w:b/>
          <w:bCs/>
          <w:sz w:val="22"/>
        </w:rPr>
        <w:lastRenderedPageBreak/>
        <w:t xml:space="preserve">Supplemental </w:t>
      </w:r>
      <w:r w:rsidR="002B6951" w:rsidRPr="00F90BB9">
        <w:rPr>
          <w:rFonts w:ascii="Arial" w:eastAsia="+mn-ea" w:hAnsi="Arial" w:cs="Arial"/>
          <w:b/>
          <w:color w:val="000000"/>
          <w:kern w:val="24"/>
          <w:sz w:val="22"/>
        </w:rPr>
        <w:t xml:space="preserve">Table </w:t>
      </w:r>
      <w:r w:rsidR="00F65F74" w:rsidRPr="00F90BB9">
        <w:rPr>
          <w:rFonts w:ascii="Arial" w:eastAsia="+mn-ea" w:hAnsi="Arial" w:cs="Arial"/>
          <w:b/>
          <w:color w:val="000000"/>
          <w:kern w:val="24"/>
          <w:sz w:val="22"/>
        </w:rPr>
        <w:t>5</w:t>
      </w:r>
      <w:r w:rsidR="002B6951" w:rsidRPr="00F90BB9">
        <w:rPr>
          <w:rFonts w:ascii="Arial" w:eastAsia="+mn-ea" w:hAnsi="Arial" w:cs="Arial"/>
          <w:b/>
          <w:color w:val="000000"/>
          <w:kern w:val="24"/>
          <w:sz w:val="22"/>
        </w:rPr>
        <w:t>.</w:t>
      </w:r>
      <w:r w:rsidR="002B6951" w:rsidRPr="00F90BB9">
        <w:rPr>
          <w:rFonts w:ascii="Arial" w:eastAsia="+mn-ea" w:hAnsi="Arial" w:cs="Arial"/>
          <w:color w:val="000000"/>
          <w:kern w:val="24"/>
          <w:sz w:val="22"/>
        </w:rPr>
        <w:t xml:space="preserve"> Example Calculations of Predicted 10-year Risk of ASCVD (</w:t>
      </w:r>
      <w:r w:rsidR="002B6951" w:rsidRPr="00F90BB9">
        <w:rPr>
          <w:rFonts w:ascii="Arial" w:eastAsia="Calibri" w:hAnsi="Arial" w:cs="Arial"/>
          <w:sz w:val="22"/>
        </w:rPr>
        <w:t>CRIC Enriched Model</w:t>
      </w:r>
      <w:r w:rsidR="002B6951" w:rsidRPr="00F90BB9">
        <w:rPr>
          <w:rFonts w:ascii="Arial" w:eastAsia="+mn-ea" w:hAnsi="Arial" w:cs="Arial"/>
          <w:color w:val="000000"/>
          <w:kern w:val="24"/>
          <w:sz w:val="22"/>
        </w:rPr>
        <w:t>)</w:t>
      </w:r>
    </w:p>
    <w:tbl>
      <w:tblPr>
        <w:tblStyle w:val="TableGrid"/>
        <w:tblW w:w="0" w:type="auto"/>
        <w:tblLook w:val="04A0" w:firstRow="1" w:lastRow="0" w:firstColumn="1" w:lastColumn="0" w:noHBand="0" w:noVBand="1"/>
      </w:tblPr>
      <w:tblGrid>
        <w:gridCol w:w="3724"/>
        <w:gridCol w:w="1501"/>
        <w:gridCol w:w="1476"/>
        <w:gridCol w:w="1476"/>
        <w:gridCol w:w="1476"/>
        <w:gridCol w:w="1476"/>
        <w:gridCol w:w="1476"/>
        <w:gridCol w:w="1476"/>
      </w:tblGrid>
      <w:tr w:rsidR="002459FA" w:rsidRPr="00F90BB9" w14:paraId="3E0218F3" w14:textId="77777777" w:rsidTr="00DD43EC">
        <w:trPr>
          <w:trHeight w:val="250"/>
        </w:trPr>
        <w:tc>
          <w:tcPr>
            <w:tcW w:w="3724" w:type="dxa"/>
            <w:vMerge w:val="restart"/>
            <w:shd w:val="clear" w:color="auto" w:fill="auto"/>
            <w:vAlign w:val="center"/>
          </w:tcPr>
          <w:p w14:paraId="1912C08F"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b/>
                <w:sz w:val="22"/>
              </w:rPr>
              <w:t>Variables</w:t>
            </w:r>
          </w:p>
        </w:tc>
        <w:tc>
          <w:tcPr>
            <w:tcW w:w="1501" w:type="dxa"/>
            <w:vMerge w:val="restart"/>
            <w:vAlign w:val="center"/>
          </w:tcPr>
          <w:p w14:paraId="7F71FD85" w14:textId="77777777" w:rsidR="002459FA" w:rsidRPr="00F90BB9" w:rsidRDefault="002459FA" w:rsidP="00DD43EC">
            <w:pPr>
              <w:spacing w:before="40" w:after="40"/>
              <w:contextualSpacing w:val="0"/>
              <w:jc w:val="center"/>
              <w:rPr>
                <w:rFonts w:ascii="Arial" w:hAnsi="Arial" w:cs="Arial"/>
                <w:b/>
                <w:bCs/>
                <w:sz w:val="22"/>
              </w:rPr>
            </w:pPr>
            <w:r w:rsidRPr="00F90BB9">
              <w:rPr>
                <w:rFonts w:ascii="Arial" w:hAnsi="Arial" w:cs="Arial"/>
                <w:b/>
                <w:sz w:val="22"/>
              </w:rPr>
              <w:t>Model</w:t>
            </w:r>
            <w:r w:rsidRPr="00F90BB9">
              <w:rPr>
                <w:rFonts w:ascii="Arial" w:hAnsi="Arial" w:cs="Arial"/>
                <w:b/>
                <w:sz w:val="22"/>
              </w:rPr>
              <w:br/>
            </w:r>
            <w:r w:rsidRPr="00F90BB9">
              <w:rPr>
                <w:rFonts w:ascii="Arial" w:hAnsi="Arial" w:cs="Arial"/>
                <w:b/>
                <w:bCs/>
                <w:sz w:val="22"/>
              </w:rPr>
              <w:t>Coefficients</w:t>
            </w:r>
          </w:p>
        </w:tc>
        <w:tc>
          <w:tcPr>
            <w:tcW w:w="2952" w:type="dxa"/>
            <w:gridSpan w:val="2"/>
            <w:vAlign w:val="center"/>
          </w:tcPr>
          <w:p w14:paraId="5317D3C5" w14:textId="77777777" w:rsidR="002459FA" w:rsidRPr="00F90BB9" w:rsidRDefault="002459FA" w:rsidP="00DD43EC">
            <w:pPr>
              <w:spacing w:before="40" w:after="40"/>
              <w:contextualSpacing w:val="0"/>
              <w:jc w:val="center"/>
              <w:rPr>
                <w:rFonts w:ascii="Arial" w:hAnsi="Arial" w:cs="Arial"/>
                <w:b/>
                <w:bCs/>
                <w:sz w:val="22"/>
              </w:rPr>
            </w:pPr>
            <w:r w:rsidRPr="00F90BB9">
              <w:rPr>
                <w:rFonts w:ascii="Arial" w:hAnsi="Arial" w:cs="Arial"/>
                <w:b/>
                <w:bCs/>
                <w:sz w:val="22"/>
              </w:rPr>
              <w:t>Example Patient 1</w:t>
            </w:r>
          </w:p>
        </w:tc>
        <w:tc>
          <w:tcPr>
            <w:tcW w:w="2952" w:type="dxa"/>
            <w:gridSpan w:val="2"/>
            <w:vAlign w:val="center"/>
          </w:tcPr>
          <w:p w14:paraId="54242187" w14:textId="77777777" w:rsidR="002459FA" w:rsidRPr="00F90BB9" w:rsidRDefault="002459FA" w:rsidP="00DD43EC">
            <w:pPr>
              <w:spacing w:before="40" w:after="40"/>
              <w:contextualSpacing w:val="0"/>
              <w:jc w:val="center"/>
              <w:rPr>
                <w:rFonts w:ascii="Arial" w:hAnsi="Arial" w:cs="Arial"/>
                <w:b/>
                <w:bCs/>
                <w:sz w:val="22"/>
              </w:rPr>
            </w:pPr>
            <w:r w:rsidRPr="00F90BB9">
              <w:rPr>
                <w:rFonts w:ascii="Arial" w:hAnsi="Arial" w:cs="Arial"/>
                <w:b/>
                <w:bCs/>
                <w:sz w:val="22"/>
              </w:rPr>
              <w:t>Example Patient 2</w:t>
            </w:r>
          </w:p>
        </w:tc>
        <w:tc>
          <w:tcPr>
            <w:tcW w:w="2952" w:type="dxa"/>
            <w:gridSpan w:val="2"/>
            <w:vAlign w:val="center"/>
          </w:tcPr>
          <w:p w14:paraId="092726A4" w14:textId="77777777" w:rsidR="002459FA" w:rsidRPr="00F90BB9" w:rsidRDefault="002459FA" w:rsidP="00DD43EC">
            <w:pPr>
              <w:spacing w:before="40" w:after="40"/>
              <w:contextualSpacing w:val="0"/>
              <w:jc w:val="center"/>
              <w:rPr>
                <w:rFonts w:ascii="Arial" w:hAnsi="Arial" w:cs="Arial"/>
                <w:b/>
                <w:bCs/>
                <w:sz w:val="22"/>
              </w:rPr>
            </w:pPr>
            <w:r w:rsidRPr="00F90BB9">
              <w:rPr>
                <w:rFonts w:ascii="Arial" w:hAnsi="Arial" w:cs="Arial"/>
                <w:b/>
                <w:bCs/>
                <w:sz w:val="22"/>
              </w:rPr>
              <w:t>Example Patient 3</w:t>
            </w:r>
          </w:p>
        </w:tc>
      </w:tr>
      <w:tr w:rsidR="002459FA" w:rsidRPr="00F90BB9" w14:paraId="0DE3380A" w14:textId="77777777" w:rsidTr="00DD43EC">
        <w:trPr>
          <w:trHeight w:val="250"/>
        </w:trPr>
        <w:tc>
          <w:tcPr>
            <w:tcW w:w="3724" w:type="dxa"/>
            <w:vMerge/>
            <w:shd w:val="clear" w:color="auto" w:fill="auto"/>
            <w:vAlign w:val="center"/>
          </w:tcPr>
          <w:p w14:paraId="71840508" w14:textId="77777777" w:rsidR="002459FA" w:rsidRPr="00F90BB9" w:rsidRDefault="002459FA" w:rsidP="00DD43EC">
            <w:pPr>
              <w:spacing w:before="40" w:after="40"/>
              <w:contextualSpacing w:val="0"/>
              <w:rPr>
                <w:rFonts w:ascii="Arial" w:hAnsi="Arial" w:cs="Arial"/>
                <w:sz w:val="22"/>
              </w:rPr>
            </w:pPr>
          </w:p>
        </w:tc>
        <w:tc>
          <w:tcPr>
            <w:tcW w:w="1501" w:type="dxa"/>
            <w:vMerge/>
            <w:vAlign w:val="center"/>
          </w:tcPr>
          <w:p w14:paraId="70C1ED2E" w14:textId="77777777" w:rsidR="002459FA" w:rsidRPr="00F90BB9" w:rsidRDefault="002459FA" w:rsidP="00DD43EC">
            <w:pPr>
              <w:spacing w:before="40" w:after="40"/>
              <w:contextualSpacing w:val="0"/>
              <w:jc w:val="center"/>
              <w:rPr>
                <w:rFonts w:ascii="Arial" w:hAnsi="Arial" w:cs="Arial"/>
                <w:b/>
                <w:bCs/>
                <w:sz w:val="22"/>
              </w:rPr>
            </w:pPr>
          </w:p>
        </w:tc>
        <w:tc>
          <w:tcPr>
            <w:tcW w:w="1476" w:type="dxa"/>
            <w:vAlign w:val="center"/>
          </w:tcPr>
          <w:p w14:paraId="5AB4DF7E" w14:textId="77777777" w:rsidR="002459FA" w:rsidRPr="00F90BB9" w:rsidRDefault="002459FA" w:rsidP="00DD43EC">
            <w:pPr>
              <w:spacing w:before="40" w:after="40"/>
              <w:contextualSpacing w:val="0"/>
              <w:jc w:val="center"/>
              <w:rPr>
                <w:rFonts w:ascii="Arial" w:hAnsi="Arial" w:cs="Arial"/>
                <w:b/>
                <w:bCs/>
                <w:sz w:val="22"/>
              </w:rPr>
            </w:pPr>
            <w:r w:rsidRPr="00F90BB9">
              <w:rPr>
                <w:rFonts w:ascii="Arial" w:hAnsi="Arial" w:cs="Arial"/>
                <w:b/>
                <w:bCs/>
                <w:sz w:val="22"/>
              </w:rPr>
              <w:t>Patient Values</w:t>
            </w:r>
          </w:p>
        </w:tc>
        <w:tc>
          <w:tcPr>
            <w:tcW w:w="1476" w:type="dxa"/>
            <w:vAlign w:val="center"/>
          </w:tcPr>
          <w:p w14:paraId="67EEC042" w14:textId="77777777" w:rsidR="002459FA" w:rsidRPr="00F90BB9" w:rsidRDefault="002459FA" w:rsidP="00DD43EC">
            <w:pPr>
              <w:spacing w:before="40" w:after="40"/>
              <w:contextualSpacing w:val="0"/>
              <w:jc w:val="center"/>
              <w:rPr>
                <w:rFonts w:ascii="Arial" w:hAnsi="Arial" w:cs="Arial"/>
                <w:b/>
                <w:bCs/>
                <w:sz w:val="22"/>
              </w:rPr>
            </w:pPr>
            <w:r w:rsidRPr="00F90BB9">
              <w:rPr>
                <w:rFonts w:ascii="Arial" w:hAnsi="Arial" w:cs="Arial"/>
                <w:b/>
                <w:sz w:val="22"/>
              </w:rPr>
              <w:t>Coefficients × Values*</w:t>
            </w:r>
          </w:p>
        </w:tc>
        <w:tc>
          <w:tcPr>
            <w:tcW w:w="1476" w:type="dxa"/>
            <w:vAlign w:val="center"/>
          </w:tcPr>
          <w:p w14:paraId="4D529BDD" w14:textId="77777777" w:rsidR="002459FA" w:rsidRPr="00F90BB9" w:rsidRDefault="002459FA" w:rsidP="00DD43EC">
            <w:pPr>
              <w:spacing w:before="40" w:after="40"/>
              <w:contextualSpacing w:val="0"/>
              <w:jc w:val="center"/>
              <w:rPr>
                <w:rFonts w:ascii="Arial" w:hAnsi="Arial" w:cs="Arial"/>
                <w:b/>
                <w:sz w:val="22"/>
              </w:rPr>
            </w:pPr>
            <w:r w:rsidRPr="00F90BB9">
              <w:rPr>
                <w:rFonts w:ascii="Arial" w:hAnsi="Arial" w:cs="Arial"/>
                <w:b/>
                <w:bCs/>
                <w:sz w:val="22"/>
              </w:rPr>
              <w:t>Patient</w:t>
            </w:r>
            <w:r w:rsidRPr="00F90BB9">
              <w:rPr>
                <w:rFonts w:ascii="Arial" w:hAnsi="Arial" w:cs="Arial"/>
                <w:b/>
                <w:bCs/>
                <w:sz w:val="22"/>
              </w:rPr>
              <w:br/>
            </w:r>
            <w:r w:rsidRPr="00F90BB9">
              <w:rPr>
                <w:rFonts w:ascii="Arial" w:hAnsi="Arial" w:cs="Arial"/>
                <w:b/>
                <w:sz w:val="22"/>
              </w:rPr>
              <w:t>Values</w:t>
            </w:r>
          </w:p>
        </w:tc>
        <w:tc>
          <w:tcPr>
            <w:tcW w:w="1476" w:type="dxa"/>
            <w:vAlign w:val="center"/>
          </w:tcPr>
          <w:p w14:paraId="753238BC" w14:textId="77777777" w:rsidR="002459FA" w:rsidRPr="00F90BB9" w:rsidRDefault="002459FA" w:rsidP="00DD43EC">
            <w:pPr>
              <w:spacing w:before="40" w:after="40"/>
              <w:contextualSpacing w:val="0"/>
              <w:jc w:val="center"/>
              <w:rPr>
                <w:rFonts w:ascii="Arial" w:hAnsi="Arial" w:cs="Arial"/>
                <w:b/>
                <w:sz w:val="22"/>
              </w:rPr>
            </w:pPr>
            <w:r w:rsidRPr="00F90BB9">
              <w:rPr>
                <w:rFonts w:ascii="Arial" w:hAnsi="Arial" w:cs="Arial"/>
                <w:b/>
                <w:sz w:val="22"/>
              </w:rPr>
              <w:t>Coefficients × Values*</w:t>
            </w:r>
          </w:p>
        </w:tc>
        <w:tc>
          <w:tcPr>
            <w:tcW w:w="1476" w:type="dxa"/>
            <w:vAlign w:val="center"/>
          </w:tcPr>
          <w:p w14:paraId="22B78121" w14:textId="77777777" w:rsidR="002459FA" w:rsidRPr="00F90BB9" w:rsidRDefault="002459FA" w:rsidP="00DD43EC">
            <w:pPr>
              <w:spacing w:before="40" w:after="40"/>
              <w:contextualSpacing w:val="0"/>
              <w:jc w:val="center"/>
              <w:rPr>
                <w:rFonts w:ascii="Arial" w:hAnsi="Arial" w:cs="Arial"/>
                <w:b/>
                <w:sz w:val="22"/>
              </w:rPr>
            </w:pPr>
            <w:r w:rsidRPr="00F90BB9">
              <w:rPr>
                <w:rFonts w:ascii="Arial" w:hAnsi="Arial" w:cs="Arial"/>
                <w:b/>
                <w:bCs/>
                <w:sz w:val="22"/>
              </w:rPr>
              <w:t>Patient</w:t>
            </w:r>
            <w:r w:rsidRPr="00F90BB9">
              <w:rPr>
                <w:rFonts w:ascii="Arial" w:hAnsi="Arial" w:cs="Arial"/>
                <w:b/>
                <w:bCs/>
                <w:sz w:val="22"/>
              </w:rPr>
              <w:br/>
            </w:r>
            <w:r w:rsidRPr="00F90BB9">
              <w:rPr>
                <w:rFonts w:ascii="Arial" w:hAnsi="Arial" w:cs="Arial"/>
                <w:b/>
                <w:sz w:val="22"/>
              </w:rPr>
              <w:t>Values</w:t>
            </w:r>
          </w:p>
        </w:tc>
        <w:tc>
          <w:tcPr>
            <w:tcW w:w="1476" w:type="dxa"/>
            <w:vAlign w:val="center"/>
          </w:tcPr>
          <w:p w14:paraId="74E19A23" w14:textId="77777777" w:rsidR="002459FA" w:rsidRPr="00F90BB9" w:rsidRDefault="002459FA" w:rsidP="00DD43EC">
            <w:pPr>
              <w:spacing w:before="40" w:after="40"/>
              <w:contextualSpacing w:val="0"/>
              <w:jc w:val="center"/>
              <w:rPr>
                <w:rFonts w:ascii="Arial" w:hAnsi="Arial" w:cs="Arial"/>
                <w:b/>
                <w:sz w:val="22"/>
              </w:rPr>
            </w:pPr>
            <w:r w:rsidRPr="00F90BB9">
              <w:rPr>
                <w:rFonts w:ascii="Arial" w:hAnsi="Arial" w:cs="Arial"/>
                <w:b/>
                <w:sz w:val="22"/>
              </w:rPr>
              <w:t>Coefficients × Values*</w:t>
            </w:r>
          </w:p>
        </w:tc>
      </w:tr>
      <w:tr w:rsidR="002459FA" w:rsidRPr="00F90BB9" w14:paraId="40286ED4" w14:textId="77777777" w:rsidTr="00DD43EC">
        <w:trPr>
          <w:trHeight w:val="250"/>
        </w:trPr>
        <w:tc>
          <w:tcPr>
            <w:tcW w:w="3724" w:type="dxa"/>
            <w:shd w:val="clear" w:color="auto" w:fill="auto"/>
            <w:vAlign w:val="center"/>
          </w:tcPr>
          <w:p w14:paraId="60E98CE8"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sz w:val="22"/>
              </w:rPr>
              <w:t>Age (years)</w:t>
            </w:r>
          </w:p>
        </w:tc>
        <w:tc>
          <w:tcPr>
            <w:tcW w:w="1501" w:type="dxa"/>
            <w:vAlign w:val="center"/>
          </w:tcPr>
          <w:p w14:paraId="7ACF7FBD"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0.0347</w:t>
            </w:r>
          </w:p>
        </w:tc>
        <w:tc>
          <w:tcPr>
            <w:tcW w:w="1476" w:type="dxa"/>
            <w:vAlign w:val="center"/>
          </w:tcPr>
          <w:p w14:paraId="05645F3D"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65</w:t>
            </w:r>
          </w:p>
        </w:tc>
        <w:tc>
          <w:tcPr>
            <w:tcW w:w="1476" w:type="dxa"/>
            <w:vAlign w:val="center"/>
          </w:tcPr>
          <w:p w14:paraId="76A65816"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2.2555</w:t>
            </w:r>
          </w:p>
        </w:tc>
        <w:tc>
          <w:tcPr>
            <w:tcW w:w="1476" w:type="dxa"/>
            <w:vAlign w:val="center"/>
          </w:tcPr>
          <w:p w14:paraId="668E354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47</w:t>
            </w:r>
          </w:p>
        </w:tc>
        <w:tc>
          <w:tcPr>
            <w:tcW w:w="1476" w:type="dxa"/>
            <w:vAlign w:val="center"/>
          </w:tcPr>
          <w:p w14:paraId="789EFD92"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1.6309</w:t>
            </w:r>
          </w:p>
        </w:tc>
        <w:tc>
          <w:tcPr>
            <w:tcW w:w="1476" w:type="dxa"/>
            <w:vAlign w:val="center"/>
          </w:tcPr>
          <w:p w14:paraId="0672B1E5"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54</w:t>
            </w:r>
          </w:p>
        </w:tc>
        <w:tc>
          <w:tcPr>
            <w:tcW w:w="1476" w:type="dxa"/>
            <w:vAlign w:val="center"/>
          </w:tcPr>
          <w:p w14:paraId="791F485F"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1.8738</w:t>
            </w:r>
          </w:p>
        </w:tc>
      </w:tr>
      <w:tr w:rsidR="002459FA" w:rsidRPr="00F90BB9" w14:paraId="3363C9CF" w14:textId="77777777" w:rsidTr="00DD43EC">
        <w:trPr>
          <w:trHeight w:val="250"/>
        </w:trPr>
        <w:tc>
          <w:tcPr>
            <w:tcW w:w="3724" w:type="dxa"/>
            <w:shd w:val="clear" w:color="auto" w:fill="auto"/>
            <w:vAlign w:val="center"/>
          </w:tcPr>
          <w:p w14:paraId="6A30A0D7" w14:textId="77777777" w:rsidR="002459FA" w:rsidRPr="00F90BB9" w:rsidRDefault="002459FA" w:rsidP="00DD43EC">
            <w:pPr>
              <w:spacing w:before="40" w:after="40"/>
              <w:contextualSpacing w:val="0"/>
              <w:rPr>
                <w:rFonts w:ascii="Arial" w:hAnsi="Arial" w:cs="Arial"/>
                <w:sz w:val="22"/>
              </w:rPr>
            </w:pPr>
            <w:r w:rsidRPr="00982623">
              <w:rPr>
                <w:rFonts w:ascii="Arial" w:hAnsi="Arial" w:cs="Arial"/>
                <w:sz w:val="22"/>
              </w:rPr>
              <w:t>Total cholesterol (mg/dL)</w:t>
            </w:r>
          </w:p>
        </w:tc>
        <w:tc>
          <w:tcPr>
            <w:tcW w:w="1501" w:type="dxa"/>
            <w:vAlign w:val="center"/>
          </w:tcPr>
          <w:p w14:paraId="6697528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0.0073</w:t>
            </w:r>
          </w:p>
        </w:tc>
        <w:tc>
          <w:tcPr>
            <w:tcW w:w="1476" w:type="dxa"/>
            <w:vAlign w:val="center"/>
          </w:tcPr>
          <w:p w14:paraId="56464A54"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202</w:t>
            </w:r>
          </w:p>
        </w:tc>
        <w:tc>
          <w:tcPr>
            <w:tcW w:w="1476" w:type="dxa"/>
            <w:vAlign w:val="center"/>
          </w:tcPr>
          <w:p w14:paraId="619E5C52" w14:textId="77777777" w:rsidR="002459FA" w:rsidRPr="00F90BB9" w:rsidRDefault="002459FA" w:rsidP="00DD43EC">
            <w:pPr>
              <w:spacing w:before="40" w:after="40"/>
              <w:contextualSpacing w:val="0"/>
              <w:jc w:val="center"/>
              <w:rPr>
                <w:rFonts w:ascii="Arial" w:hAnsi="Arial" w:cs="Arial"/>
                <w:color w:val="000000"/>
                <w:sz w:val="22"/>
              </w:rPr>
            </w:pPr>
            <w:r>
              <w:rPr>
                <w:rFonts w:ascii="Arial" w:hAnsi="Arial" w:cs="Arial"/>
                <w:color w:val="000000"/>
                <w:sz w:val="22"/>
              </w:rPr>
              <w:t>1.4746</w:t>
            </w:r>
          </w:p>
        </w:tc>
        <w:tc>
          <w:tcPr>
            <w:tcW w:w="1476" w:type="dxa"/>
            <w:vAlign w:val="center"/>
          </w:tcPr>
          <w:p w14:paraId="13488D8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208</w:t>
            </w:r>
          </w:p>
        </w:tc>
        <w:tc>
          <w:tcPr>
            <w:tcW w:w="1476" w:type="dxa"/>
            <w:vAlign w:val="center"/>
          </w:tcPr>
          <w:p w14:paraId="616A68C8" w14:textId="77777777" w:rsidR="002459FA" w:rsidRPr="00F90BB9" w:rsidRDefault="002459FA" w:rsidP="00DD43EC">
            <w:pPr>
              <w:spacing w:before="40" w:after="40"/>
              <w:contextualSpacing w:val="0"/>
              <w:jc w:val="center"/>
              <w:rPr>
                <w:rFonts w:ascii="Arial" w:hAnsi="Arial" w:cs="Arial"/>
                <w:color w:val="000000"/>
                <w:sz w:val="22"/>
              </w:rPr>
            </w:pPr>
            <w:r>
              <w:rPr>
                <w:rFonts w:ascii="Arial" w:hAnsi="Arial" w:cs="Arial"/>
                <w:color w:val="000000"/>
                <w:sz w:val="22"/>
              </w:rPr>
              <w:t>1.5184</w:t>
            </w:r>
          </w:p>
        </w:tc>
        <w:tc>
          <w:tcPr>
            <w:tcW w:w="1476" w:type="dxa"/>
            <w:vAlign w:val="center"/>
          </w:tcPr>
          <w:p w14:paraId="4A429A5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149</w:t>
            </w:r>
          </w:p>
        </w:tc>
        <w:tc>
          <w:tcPr>
            <w:tcW w:w="1476" w:type="dxa"/>
            <w:vAlign w:val="center"/>
          </w:tcPr>
          <w:p w14:paraId="78280C10" w14:textId="77777777" w:rsidR="002459FA" w:rsidRPr="00F90BB9" w:rsidRDefault="002459FA" w:rsidP="00DD43EC">
            <w:pPr>
              <w:spacing w:before="40" w:after="40"/>
              <w:contextualSpacing w:val="0"/>
              <w:jc w:val="center"/>
              <w:rPr>
                <w:rFonts w:ascii="Arial" w:hAnsi="Arial" w:cs="Arial"/>
                <w:color w:val="000000"/>
                <w:sz w:val="22"/>
              </w:rPr>
            </w:pPr>
            <w:r>
              <w:rPr>
                <w:rFonts w:ascii="Arial" w:hAnsi="Arial" w:cs="Arial"/>
                <w:color w:val="000000"/>
                <w:sz w:val="22"/>
              </w:rPr>
              <w:t>1.0877</w:t>
            </w:r>
          </w:p>
        </w:tc>
      </w:tr>
      <w:tr w:rsidR="002459FA" w:rsidRPr="00F90BB9" w14:paraId="30466A98" w14:textId="77777777" w:rsidTr="00DD43EC">
        <w:trPr>
          <w:trHeight w:val="250"/>
        </w:trPr>
        <w:tc>
          <w:tcPr>
            <w:tcW w:w="3724" w:type="dxa"/>
            <w:shd w:val="clear" w:color="auto" w:fill="auto"/>
            <w:vAlign w:val="center"/>
          </w:tcPr>
          <w:p w14:paraId="1641D7C1"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sz w:val="22"/>
              </w:rPr>
              <w:t>HDL cholesterol (mg/dL)</w:t>
            </w:r>
          </w:p>
        </w:tc>
        <w:tc>
          <w:tcPr>
            <w:tcW w:w="1501" w:type="dxa"/>
            <w:vAlign w:val="center"/>
          </w:tcPr>
          <w:p w14:paraId="76FEBA83"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-0.0164</w:t>
            </w:r>
          </w:p>
        </w:tc>
        <w:tc>
          <w:tcPr>
            <w:tcW w:w="1476" w:type="dxa"/>
            <w:vAlign w:val="center"/>
          </w:tcPr>
          <w:p w14:paraId="254624A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47</w:t>
            </w:r>
          </w:p>
        </w:tc>
        <w:tc>
          <w:tcPr>
            <w:tcW w:w="1476" w:type="dxa"/>
            <w:vAlign w:val="center"/>
          </w:tcPr>
          <w:p w14:paraId="0EF91E9F"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-0.7708</w:t>
            </w:r>
          </w:p>
        </w:tc>
        <w:tc>
          <w:tcPr>
            <w:tcW w:w="1476" w:type="dxa"/>
            <w:vAlign w:val="center"/>
          </w:tcPr>
          <w:p w14:paraId="0618683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60</w:t>
            </w:r>
          </w:p>
        </w:tc>
        <w:tc>
          <w:tcPr>
            <w:tcW w:w="1476" w:type="dxa"/>
            <w:vAlign w:val="center"/>
          </w:tcPr>
          <w:p w14:paraId="7162F77E"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-0.9840</w:t>
            </w:r>
          </w:p>
        </w:tc>
        <w:tc>
          <w:tcPr>
            <w:tcW w:w="1476" w:type="dxa"/>
            <w:vAlign w:val="center"/>
          </w:tcPr>
          <w:p w14:paraId="7CBDA417"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34</w:t>
            </w:r>
          </w:p>
        </w:tc>
        <w:tc>
          <w:tcPr>
            <w:tcW w:w="1476" w:type="dxa"/>
            <w:vAlign w:val="center"/>
          </w:tcPr>
          <w:p w14:paraId="124D085C"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-0.5576</w:t>
            </w:r>
          </w:p>
        </w:tc>
      </w:tr>
      <w:tr w:rsidR="002459FA" w:rsidRPr="00F90BB9" w14:paraId="70A17D84" w14:textId="77777777" w:rsidTr="00DD43EC">
        <w:trPr>
          <w:trHeight w:val="250"/>
        </w:trPr>
        <w:tc>
          <w:tcPr>
            <w:tcW w:w="3724" w:type="dxa"/>
            <w:shd w:val="clear" w:color="auto" w:fill="auto"/>
            <w:vAlign w:val="center"/>
          </w:tcPr>
          <w:p w14:paraId="18741367"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sz w:val="22"/>
              </w:rPr>
              <w:t>Current smoking (1 if yes)</w:t>
            </w:r>
          </w:p>
        </w:tc>
        <w:tc>
          <w:tcPr>
            <w:tcW w:w="1501" w:type="dxa"/>
            <w:vAlign w:val="center"/>
          </w:tcPr>
          <w:p w14:paraId="38190327"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0.6615</w:t>
            </w:r>
          </w:p>
        </w:tc>
        <w:tc>
          <w:tcPr>
            <w:tcW w:w="1476" w:type="dxa"/>
            <w:vAlign w:val="center"/>
          </w:tcPr>
          <w:p w14:paraId="329AB381"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73E52883"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395022D3"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5254CE9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w:t>
            </w:r>
          </w:p>
        </w:tc>
        <w:tc>
          <w:tcPr>
            <w:tcW w:w="1476" w:type="dxa"/>
            <w:vAlign w:val="center"/>
          </w:tcPr>
          <w:p w14:paraId="1A86842C"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w:t>
            </w:r>
          </w:p>
        </w:tc>
        <w:tc>
          <w:tcPr>
            <w:tcW w:w="1476" w:type="dxa"/>
            <w:vAlign w:val="center"/>
          </w:tcPr>
          <w:p w14:paraId="3589557D"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0.6615</w:t>
            </w:r>
          </w:p>
        </w:tc>
      </w:tr>
      <w:tr w:rsidR="002459FA" w:rsidRPr="00F90BB9" w14:paraId="6C5AD8FD" w14:textId="77777777" w:rsidTr="00DD43EC">
        <w:trPr>
          <w:trHeight w:val="250"/>
        </w:trPr>
        <w:tc>
          <w:tcPr>
            <w:tcW w:w="3724" w:type="dxa"/>
            <w:shd w:val="clear" w:color="auto" w:fill="auto"/>
            <w:vAlign w:val="center"/>
          </w:tcPr>
          <w:p w14:paraId="7E591A60" w14:textId="77777777" w:rsidR="002459FA" w:rsidRPr="00F90BB9" w:rsidRDefault="002459FA" w:rsidP="00DD43EC">
            <w:pPr>
              <w:spacing w:before="40" w:after="40"/>
              <w:contextualSpacing w:val="0"/>
              <w:rPr>
                <w:rFonts w:ascii="Arial" w:eastAsia="Calibri" w:hAnsi="Arial" w:cs="Arial"/>
                <w:sz w:val="22"/>
              </w:rPr>
            </w:pPr>
            <w:r w:rsidRPr="00F90BB9">
              <w:rPr>
                <w:rFonts w:ascii="Arial" w:hAnsi="Arial" w:cs="Arial"/>
                <w:sz w:val="22"/>
              </w:rPr>
              <w:t>Log (urine ACR) (mg/g)</w:t>
            </w:r>
          </w:p>
        </w:tc>
        <w:tc>
          <w:tcPr>
            <w:tcW w:w="1501" w:type="dxa"/>
            <w:vAlign w:val="center"/>
          </w:tcPr>
          <w:p w14:paraId="3B55C49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0.1127</w:t>
            </w:r>
          </w:p>
        </w:tc>
        <w:tc>
          <w:tcPr>
            <w:tcW w:w="1476" w:type="dxa"/>
            <w:vAlign w:val="center"/>
          </w:tcPr>
          <w:p w14:paraId="6463CE76"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(33.83)</w:t>
            </w:r>
          </w:p>
        </w:tc>
        <w:tc>
          <w:tcPr>
            <w:tcW w:w="1476" w:type="dxa"/>
            <w:vAlign w:val="center"/>
          </w:tcPr>
          <w:p w14:paraId="63F47D80"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0.3969</w:t>
            </w:r>
          </w:p>
        </w:tc>
        <w:tc>
          <w:tcPr>
            <w:tcW w:w="1476" w:type="dxa"/>
            <w:vAlign w:val="center"/>
          </w:tcPr>
          <w:p w14:paraId="357F8246"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(49.22)</w:t>
            </w:r>
          </w:p>
        </w:tc>
        <w:tc>
          <w:tcPr>
            <w:tcW w:w="1476" w:type="dxa"/>
            <w:vAlign w:val="center"/>
          </w:tcPr>
          <w:p w14:paraId="77B58B0C"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0.4391</w:t>
            </w:r>
          </w:p>
        </w:tc>
        <w:tc>
          <w:tcPr>
            <w:tcW w:w="1476" w:type="dxa"/>
            <w:vAlign w:val="center"/>
          </w:tcPr>
          <w:p w14:paraId="0AA4407A"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(2151.5)</w:t>
            </w:r>
          </w:p>
        </w:tc>
        <w:tc>
          <w:tcPr>
            <w:tcW w:w="1476" w:type="dxa"/>
            <w:vAlign w:val="center"/>
          </w:tcPr>
          <w:p w14:paraId="5A4A3833"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0.8649</w:t>
            </w:r>
          </w:p>
        </w:tc>
      </w:tr>
      <w:tr w:rsidR="002459FA" w:rsidRPr="00F90BB9" w14:paraId="1D7C324B" w14:textId="77777777" w:rsidTr="00DD43EC">
        <w:trPr>
          <w:trHeight w:val="250"/>
        </w:trPr>
        <w:tc>
          <w:tcPr>
            <w:tcW w:w="3724" w:type="dxa"/>
            <w:shd w:val="clear" w:color="auto" w:fill="auto"/>
            <w:vAlign w:val="center"/>
          </w:tcPr>
          <w:p w14:paraId="7443414A" w14:textId="77777777" w:rsidR="002459FA" w:rsidRPr="00F90BB9" w:rsidRDefault="002459FA" w:rsidP="00DD43EC">
            <w:pPr>
              <w:spacing w:before="40" w:after="40"/>
              <w:contextualSpacing w:val="0"/>
              <w:rPr>
                <w:rFonts w:ascii="Arial" w:eastAsia="Calibri" w:hAnsi="Arial" w:cs="Arial"/>
                <w:sz w:val="22"/>
              </w:rPr>
            </w:pPr>
            <w:r w:rsidRPr="00F90BB9">
              <w:rPr>
                <w:rFonts w:ascii="Arial" w:hAnsi="Arial" w:cs="Arial"/>
                <w:sz w:val="22"/>
              </w:rPr>
              <w:t>Hemoglobin A1c (%)</w:t>
            </w:r>
          </w:p>
        </w:tc>
        <w:tc>
          <w:tcPr>
            <w:tcW w:w="1501" w:type="dxa"/>
            <w:vAlign w:val="center"/>
          </w:tcPr>
          <w:p w14:paraId="532CBCED"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0.1616</w:t>
            </w:r>
          </w:p>
        </w:tc>
        <w:tc>
          <w:tcPr>
            <w:tcW w:w="1476" w:type="dxa"/>
            <w:vAlign w:val="center"/>
          </w:tcPr>
          <w:p w14:paraId="7658B27A"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6.1</w:t>
            </w:r>
          </w:p>
        </w:tc>
        <w:tc>
          <w:tcPr>
            <w:tcW w:w="1476" w:type="dxa"/>
            <w:vAlign w:val="center"/>
          </w:tcPr>
          <w:p w14:paraId="43C3DF1E"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0.9858</w:t>
            </w:r>
          </w:p>
        </w:tc>
        <w:tc>
          <w:tcPr>
            <w:tcW w:w="1476" w:type="dxa"/>
            <w:vAlign w:val="center"/>
          </w:tcPr>
          <w:p w14:paraId="4C5351D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5.1</w:t>
            </w:r>
          </w:p>
        </w:tc>
        <w:tc>
          <w:tcPr>
            <w:tcW w:w="1476" w:type="dxa"/>
            <w:vAlign w:val="center"/>
          </w:tcPr>
          <w:p w14:paraId="3377C467"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0.8242</w:t>
            </w:r>
          </w:p>
        </w:tc>
        <w:tc>
          <w:tcPr>
            <w:tcW w:w="1476" w:type="dxa"/>
            <w:vAlign w:val="center"/>
          </w:tcPr>
          <w:p w14:paraId="14B683B4"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6</w:t>
            </w:r>
          </w:p>
        </w:tc>
        <w:tc>
          <w:tcPr>
            <w:tcW w:w="1476" w:type="dxa"/>
            <w:vAlign w:val="center"/>
          </w:tcPr>
          <w:p w14:paraId="38E75387"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0.9696</w:t>
            </w:r>
          </w:p>
        </w:tc>
      </w:tr>
      <w:tr w:rsidR="002459FA" w:rsidRPr="00F90BB9" w14:paraId="3E3E2595" w14:textId="77777777" w:rsidTr="00DD43EC">
        <w:trPr>
          <w:trHeight w:val="250"/>
        </w:trPr>
        <w:tc>
          <w:tcPr>
            <w:tcW w:w="3724" w:type="dxa"/>
            <w:shd w:val="clear" w:color="auto" w:fill="auto"/>
            <w:vAlign w:val="center"/>
          </w:tcPr>
          <w:p w14:paraId="40A22F54" w14:textId="77777777" w:rsidR="002459FA" w:rsidRPr="00F90BB9" w:rsidRDefault="002459FA" w:rsidP="00DD43EC">
            <w:pPr>
              <w:spacing w:before="40" w:after="40"/>
              <w:contextualSpacing w:val="0"/>
              <w:rPr>
                <w:rFonts w:ascii="Arial" w:eastAsia="Calibri" w:hAnsi="Arial" w:cs="Arial"/>
                <w:sz w:val="22"/>
              </w:rPr>
            </w:pPr>
            <w:r>
              <w:rPr>
                <w:rFonts w:ascii="Arial" w:hAnsi="Arial" w:cs="Arial"/>
                <w:sz w:val="22"/>
              </w:rPr>
              <w:t>Apolipoprotein B</w:t>
            </w:r>
            <w:r w:rsidRPr="00982623">
              <w:rPr>
                <w:rFonts w:ascii="Arial" w:hAnsi="Arial" w:cs="Arial"/>
                <w:sz w:val="22"/>
              </w:rPr>
              <w:t xml:space="preserve"> (mg/dL)</w:t>
            </w:r>
          </w:p>
        </w:tc>
        <w:tc>
          <w:tcPr>
            <w:tcW w:w="1501" w:type="dxa"/>
            <w:vAlign w:val="center"/>
          </w:tcPr>
          <w:p w14:paraId="28FE7951"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-0.0121</w:t>
            </w:r>
          </w:p>
        </w:tc>
        <w:tc>
          <w:tcPr>
            <w:tcW w:w="1476" w:type="dxa"/>
            <w:vAlign w:val="center"/>
          </w:tcPr>
          <w:p w14:paraId="4580DD0F"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101</w:t>
            </w:r>
          </w:p>
        </w:tc>
        <w:tc>
          <w:tcPr>
            <w:tcW w:w="1476" w:type="dxa"/>
            <w:vAlign w:val="center"/>
          </w:tcPr>
          <w:p w14:paraId="7BAD70F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-1.2221</w:t>
            </w:r>
          </w:p>
        </w:tc>
        <w:tc>
          <w:tcPr>
            <w:tcW w:w="1476" w:type="dxa"/>
            <w:vAlign w:val="center"/>
          </w:tcPr>
          <w:p w14:paraId="47D3E935"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76</w:t>
            </w:r>
          </w:p>
        </w:tc>
        <w:tc>
          <w:tcPr>
            <w:tcW w:w="1476" w:type="dxa"/>
            <w:vAlign w:val="center"/>
          </w:tcPr>
          <w:p w14:paraId="27A66DB2"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-0.9196</w:t>
            </w:r>
          </w:p>
        </w:tc>
        <w:tc>
          <w:tcPr>
            <w:tcW w:w="1476" w:type="dxa"/>
            <w:vAlign w:val="center"/>
          </w:tcPr>
          <w:p w14:paraId="36CB1E8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82</w:t>
            </w:r>
          </w:p>
        </w:tc>
        <w:tc>
          <w:tcPr>
            <w:tcW w:w="1476" w:type="dxa"/>
            <w:vAlign w:val="center"/>
          </w:tcPr>
          <w:p w14:paraId="295F0B3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-0.9922</w:t>
            </w:r>
          </w:p>
        </w:tc>
      </w:tr>
      <w:tr w:rsidR="002459FA" w:rsidRPr="00F90BB9" w14:paraId="4A62BD46" w14:textId="77777777" w:rsidTr="00DD43EC">
        <w:trPr>
          <w:trHeight w:val="250"/>
        </w:trPr>
        <w:tc>
          <w:tcPr>
            <w:tcW w:w="3724" w:type="dxa"/>
            <w:shd w:val="clear" w:color="auto" w:fill="auto"/>
            <w:vAlign w:val="center"/>
          </w:tcPr>
          <w:p w14:paraId="71348E7B" w14:textId="77777777" w:rsidR="002459FA" w:rsidRDefault="002459FA" w:rsidP="00DD43EC">
            <w:pPr>
              <w:spacing w:before="40" w:after="40"/>
              <w:contextualSpacing w:val="0"/>
              <w:rPr>
                <w:rFonts w:ascii="Arial" w:hAnsi="Arial" w:cs="Arial"/>
                <w:sz w:val="22"/>
              </w:rPr>
            </w:pPr>
            <w:r w:rsidRPr="00F90BB9">
              <w:rPr>
                <w:rFonts w:ascii="Arial" w:hAnsi="Arial" w:cs="Arial"/>
                <w:sz w:val="22"/>
              </w:rPr>
              <w:t>Log (</w:t>
            </w:r>
            <w:r>
              <w:rPr>
                <w:rFonts w:ascii="Arial" w:hAnsi="Arial" w:cs="Arial"/>
                <w:sz w:val="22"/>
              </w:rPr>
              <w:t>hsCRP</w:t>
            </w:r>
            <w:r w:rsidRPr="00F90BB9">
              <w:rPr>
                <w:rFonts w:ascii="Arial" w:hAnsi="Arial" w:cs="Arial"/>
                <w:sz w:val="22"/>
              </w:rPr>
              <w:t>) (pg/mL)</w:t>
            </w:r>
          </w:p>
        </w:tc>
        <w:tc>
          <w:tcPr>
            <w:tcW w:w="1501" w:type="dxa"/>
            <w:vAlign w:val="center"/>
          </w:tcPr>
          <w:p w14:paraId="084AFE3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0.1045</w:t>
            </w:r>
          </w:p>
        </w:tc>
        <w:tc>
          <w:tcPr>
            <w:tcW w:w="1476" w:type="dxa"/>
            <w:vAlign w:val="center"/>
          </w:tcPr>
          <w:p w14:paraId="400775CC"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(6.23)</w:t>
            </w:r>
          </w:p>
        </w:tc>
        <w:tc>
          <w:tcPr>
            <w:tcW w:w="1476" w:type="dxa"/>
            <w:vAlign w:val="center"/>
          </w:tcPr>
          <w:p w14:paraId="793EE993" w14:textId="77777777" w:rsidR="002459FA" w:rsidRPr="00F90BB9" w:rsidRDefault="002459FA" w:rsidP="00DD43EC">
            <w:pPr>
              <w:spacing w:before="40" w:after="40"/>
              <w:contextualSpacing w:val="0"/>
              <w:jc w:val="center"/>
              <w:rPr>
                <w:rFonts w:ascii="Arial" w:hAnsi="Arial" w:cs="Arial"/>
                <w:color w:val="000000"/>
                <w:sz w:val="22"/>
              </w:rPr>
            </w:pPr>
            <w:r>
              <w:rPr>
                <w:rFonts w:ascii="Arial" w:hAnsi="Arial" w:cs="Arial"/>
                <w:color w:val="000000"/>
                <w:sz w:val="22"/>
              </w:rPr>
              <w:t>0.1912</w:t>
            </w:r>
          </w:p>
        </w:tc>
        <w:tc>
          <w:tcPr>
            <w:tcW w:w="1476" w:type="dxa"/>
            <w:vAlign w:val="center"/>
          </w:tcPr>
          <w:p w14:paraId="7D939DC4"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(1.42)</w:t>
            </w:r>
          </w:p>
        </w:tc>
        <w:tc>
          <w:tcPr>
            <w:tcW w:w="1476" w:type="dxa"/>
            <w:vAlign w:val="center"/>
          </w:tcPr>
          <w:p w14:paraId="231861AA" w14:textId="77777777" w:rsidR="002459FA" w:rsidRPr="00F90BB9" w:rsidRDefault="002459FA" w:rsidP="00DD43EC">
            <w:pPr>
              <w:spacing w:before="40" w:after="40"/>
              <w:contextualSpacing w:val="0"/>
              <w:jc w:val="center"/>
              <w:rPr>
                <w:rFonts w:ascii="Arial" w:hAnsi="Arial" w:cs="Arial"/>
                <w:color w:val="000000"/>
                <w:sz w:val="22"/>
              </w:rPr>
            </w:pPr>
            <w:r>
              <w:rPr>
                <w:rFonts w:ascii="Arial" w:hAnsi="Arial" w:cs="Arial"/>
                <w:color w:val="000000"/>
                <w:sz w:val="22"/>
              </w:rPr>
              <w:t>0.0366</w:t>
            </w:r>
          </w:p>
        </w:tc>
        <w:tc>
          <w:tcPr>
            <w:tcW w:w="1476" w:type="dxa"/>
            <w:vAlign w:val="center"/>
          </w:tcPr>
          <w:p w14:paraId="79677B2A"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(0.92)</w:t>
            </w:r>
          </w:p>
        </w:tc>
        <w:tc>
          <w:tcPr>
            <w:tcW w:w="1476" w:type="dxa"/>
            <w:vAlign w:val="center"/>
          </w:tcPr>
          <w:p w14:paraId="11ECF43F" w14:textId="77777777" w:rsidR="002459FA" w:rsidRPr="00F90BB9" w:rsidRDefault="002459FA" w:rsidP="00DD43EC">
            <w:pPr>
              <w:spacing w:before="40" w:after="40"/>
              <w:contextualSpacing w:val="0"/>
              <w:jc w:val="center"/>
              <w:rPr>
                <w:rFonts w:ascii="Arial" w:hAnsi="Arial" w:cs="Arial"/>
                <w:color w:val="000000"/>
                <w:sz w:val="22"/>
              </w:rPr>
            </w:pPr>
            <w:r>
              <w:rPr>
                <w:rFonts w:ascii="Arial" w:hAnsi="Arial" w:cs="Arial"/>
                <w:color w:val="000000"/>
                <w:sz w:val="22"/>
              </w:rPr>
              <w:t>-0.0087</w:t>
            </w:r>
          </w:p>
        </w:tc>
      </w:tr>
      <w:tr w:rsidR="002459FA" w:rsidRPr="00F90BB9" w14:paraId="02FE2BBB" w14:textId="77777777" w:rsidTr="00DD43EC">
        <w:trPr>
          <w:trHeight w:val="250"/>
        </w:trPr>
        <w:tc>
          <w:tcPr>
            <w:tcW w:w="3724" w:type="dxa"/>
            <w:shd w:val="clear" w:color="auto" w:fill="auto"/>
            <w:vAlign w:val="center"/>
          </w:tcPr>
          <w:p w14:paraId="4903FC99" w14:textId="77777777" w:rsidR="002459FA" w:rsidRPr="00F90BB9" w:rsidRDefault="002459FA" w:rsidP="00DD43EC">
            <w:pPr>
              <w:spacing w:before="40" w:after="40"/>
              <w:contextualSpacing w:val="0"/>
              <w:rPr>
                <w:rFonts w:ascii="Arial" w:eastAsia="Calibri" w:hAnsi="Arial" w:cs="Arial"/>
                <w:sz w:val="22"/>
              </w:rPr>
            </w:pPr>
            <w:r w:rsidRPr="00F90BB9">
              <w:rPr>
                <w:rFonts w:ascii="Arial" w:hAnsi="Arial" w:cs="Arial"/>
                <w:sz w:val="22"/>
              </w:rPr>
              <w:t>Log (troponin-T) (pg/mL)</w:t>
            </w:r>
          </w:p>
        </w:tc>
        <w:tc>
          <w:tcPr>
            <w:tcW w:w="1501" w:type="dxa"/>
            <w:vAlign w:val="center"/>
          </w:tcPr>
          <w:p w14:paraId="38FE4F13"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0.2090</w:t>
            </w:r>
          </w:p>
        </w:tc>
        <w:tc>
          <w:tcPr>
            <w:tcW w:w="1476" w:type="dxa"/>
            <w:vAlign w:val="center"/>
          </w:tcPr>
          <w:p w14:paraId="0F2C6F6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(15.40)</w:t>
            </w:r>
          </w:p>
        </w:tc>
        <w:tc>
          <w:tcPr>
            <w:tcW w:w="1476" w:type="dxa"/>
            <w:vAlign w:val="center"/>
          </w:tcPr>
          <w:p w14:paraId="36BACB03"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0.5715</w:t>
            </w:r>
          </w:p>
        </w:tc>
        <w:tc>
          <w:tcPr>
            <w:tcW w:w="1476" w:type="dxa"/>
            <w:vAlign w:val="center"/>
          </w:tcPr>
          <w:p w14:paraId="370B10F3"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(11.33)</w:t>
            </w:r>
          </w:p>
        </w:tc>
        <w:tc>
          <w:tcPr>
            <w:tcW w:w="1476" w:type="dxa"/>
            <w:vAlign w:val="center"/>
          </w:tcPr>
          <w:p w14:paraId="3E96127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0.5073</w:t>
            </w:r>
          </w:p>
        </w:tc>
        <w:tc>
          <w:tcPr>
            <w:tcW w:w="1476" w:type="dxa"/>
            <w:vAlign w:val="center"/>
          </w:tcPr>
          <w:p w14:paraId="1E4F576B"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(13.21)</w:t>
            </w:r>
          </w:p>
        </w:tc>
        <w:tc>
          <w:tcPr>
            <w:tcW w:w="1476" w:type="dxa"/>
            <w:vAlign w:val="center"/>
          </w:tcPr>
          <w:p w14:paraId="64D964D5"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0.5394</w:t>
            </w:r>
          </w:p>
        </w:tc>
      </w:tr>
      <w:tr w:rsidR="002459FA" w:rsidRPr="00F90BB9" w14:paraId="21374D1E" w14:textId="77777777" w:rsidTr="00DD43EC">
        <w:trPr>
          <w:trHeight w:val="250"/>
        </w:trPr>
        <w:tc>
          <w:tcPr>
            <w:tcW w:w="3724" w:type="dxa"/>
            <w:shd w:val="clear" w:color="auto" w:fill="auto"/>
            <w:vAlign w:val="center"/>
          </w:tcPr>
          <w:p w14:paraId="6BE04B12" w14:textId="77777777" w:rsidR="002459FA" w:rsidRPr="00F90BB9" w:rsidRDefault="002459FA" w:rsidP="00DD43EC">
            <w:pPr>
              <w:spacing w:before="40" w:after="40"/>
              <w:contextualSpacing w:val="0"/>
              <w:rPr>
                <w:rFonts w:ascii="Arial" w:eastAsia="Calibri" w:hAnsi="Arial" w:cs="Arial"/>
                <w:sz w:val="22"/>
              </w:rPr>
            </w:pPr>
            <w:r w:rsidRPr="00F90BB9">
              <w:rPr>
                <w:rFonts w:ascii="Arial" w:hAnsi="Arial" w:cs="Arial"/>
                <w:sz w:val="22"/>
              </w:rPr>
              <w:t>Log (NT-proBNP) (pg/mL)</w:t>
            </w:r>
          </w:p>
        </w:tc>
        <w:tc>
          <w:tcPr>
            <w:tcW w:w="1501" w:type="dxa"/>
            <w:vAlign w:val="center"/>
          </w:tcPr>
          <w:p w14:paraId="16ACDCD7"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0.2011</w:t>
            </w:r>
          </w:p>
        </w:tc>
        <w:tc>
          <w:tcPr>
            <w:tcW w:w="1476" w:type="dxa"/>
            <w:vAlign w:val="center"/>
          </w:tcPr>
          <w:p w14:paraId="00A0F2DC"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(460.7)</w:t>
            </w:r>
          </w:p>
        </w:tc>
        <w:tc>
          <w:tcPr>
            <w:tcW w:w="1476" w:type="dxa"/>
            <w:vAlign w:val="center"/>
          </w:tcPr>
          <w:p w14:paraId="399191BA"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1.2333</w:t>
            </w:r>
          </w:p>
        </w:tc>
        <w:tc>
          <w:tcPr>
            <w:tcW w:w="1476" w:type="dxa"/>
            <w:vAlign w:val="center"/>
          </w:tcPr>
          <w:p w14:paraId="20906211"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(29.55)</w:t>
            </w:r>
          </w:p>
        </w:tc>
        <w:tc>
          <w:tcPr>
            <w:tcW w:w="1476" w:type="dxa"/>
            <w:vAlign w:val="center"/>
          </w:tcPr>
          <w:p w14:paraId="5E0EEEC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0.6809</w:t>
            </w:r>
          </w:p>
        </w:tc>
        <w:tc>
          <w:tcPr>
            <w:tcW w:w="1476" w:type="dxa"/>
            <w:vAlign w:val="center"/>
          </w:tcPr>
          <w:p w14:paraId="7DEB48DE"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Log (259.2)</w:t>
            </w:r>
          </w:p>
        </w:tc>
        <w:tc>
          <w:tcPr>
            <w:tcW w:w="1476" w:type="dxa"/>
            <w:vAlign w:val="center"/>
          </w:tcPr>
          <w:p w14:paraId="4657612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1.1176</w:t>
            </w:r>
          </w:p>
        </w:tc>
      </w:tr>
      <w:tr w:rsidR="002459FA" w:rsidRPr="00F90BB9" w14:paraId="5E60361E" w14:textId="77777777" w:rsidTr="00DD43EC">
        <w:trPr>
          <w:trHeight w:val="250"/>
        </w:trPr>
        <w:tc>
          <w:tcPr>
            <w:tcW w:w="14081" w:type="dxa"/>
            <w:gridSpan w:val="8"/>
            <w:shd w:val="clear" w:color="auto" w:fill="auto"/>
            <w:vAlign w:val="center"/>
          </w:tcPr>
          <w:p w14:paraId="61964EF7"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b/>
                <w:bCs/>
                <w:sz w:val="22"/>
              </w:rPr>
              <w:t>Risk Calculation</w:t>
            </w:r>
          </w:p>
        </w:tc>
      </w:tr>
      <w:tr w:rsidR="002459FA" w:rsidRPr="00F90BB9" w14:paraId="1C79E105" w14:textId="77777777" w:rsidTr="00DD43EC">
        <w:trPr>
          <w:trHeight w:val="250"/>
        </w:trPr>
        <w:tc>
          <w:tcPr>
            <w:tcW w:w="3724" w:type="dxa"/>
            <w:shd w:val="clear" w:color="auto" w:fill="auto"/>
            <w:vAlign w:val="center"/>
          </w:tcPr>
          <w:p w14:paraId="2C08F551"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sz w:val="22"/>
              </w:rPr>
              <w:t>Sum</w:t>
            </w:r>
          </w:p>
        </w:tc>
        <w:tc>
          <w:tcPr>
            <w:tcW w:w="1501" w:type="dxa"/>
            <w:vAlign w:val="center"/>
          </w:tcPr>
          <w:p w14:paraId="6EB7E4C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1FD0F45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2E3AC197"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5.1158</w:t>
            </w:r>
          </w:p>
        </w:tc>
        <w:tc>
          <w:tcPr>
            <w:tcW w:w="1476" w:type="dxa"/>
            <w:vAlign w:val="center"/>
          </w:tcPr>
          <w:p w14:paraId="1F218DBB"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65470A89"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3.7339</w:t>
            </w:r>
          </w:p>
        </w:tc>
        <w:tc>
          <w:tcPr>
            <w:tcW w:w="1476" w:type="dxa"/>
            <w:vAlign w:val="center"/>
          </w:tcPr>
          <w:p w14:paraId="716C0E2C"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5968971C"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5.5560</w:t>
            </w:r>
          </w:p>
        </w:tc>
      </w:tr>
      <w:tr w:rsidR="002459FA" w:rsidRPr="00F90BB9" w14:paraId="1C7F031C" w14:textId="77777777" w:rsidTr="00DD43EC">
        <w:trPr>
          <w:trHeight w:val="250"/>
        </w:trPr>
        <w:tc>
          <w:tcPr>
            <w:tcW w:w="3724" w:type="dxa"/>
            <w:shd w:val="clear" w:color="auto" w:fill="auto"/>
            <w:vAlign w:val="center"/>
          </w:tcPr>
          <w:p w14:paraId="0ABA3A1D"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sz w:val="22"/>
              </w:rPr>
              <w:t>Probability (ASCVD event)</w:t>
            </w:r>
          </w:p>
        </w:tc>
        <w:tc>
          <w:tcPr>
            <w:tcW w:w="1501" w:type="dxa"/>
            <w:vAlign w:val="center"/>
          </w:tcPr>
          <w:p w14:paraId="25540DFA"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24A90670"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0368CFA2"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0.1519</w:t>
            </w:r>
          </w:p>
        </w:tc>
        <w:tc>
          <w:tcPr>
            <w:tcW w:w="1476" w:type="dxa"/>
            <w:vAlign w:val="center"/>
          </w:tcPr>
          <w:p w14:paraId="66F21E44"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717FFB2E"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0.0405</w:t>
            </w:r>
          </w:p>
        </w:tc>
        <w:tc>
          <w:tcPr>
            <w:tcW w:w="1476" w:type="dxa"/>
            <w:vAlign w:val="center"/>
          </w:tcPr>
          <w:p w14:paraId="55D403CD"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41A2C57C"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0.2257</w:t>
            </w:r>
          </w:p>
        </w:tc>
      </w:tr>
      <w:tr w:rsidR="002459FA" w:rsidRPr="00F90BB9" w14:paraId="79FC66F5" w14:textId="77777777" w:rsidTr="00DD43EC">
        <w:trPr>
          <w:trHeight w:val="250"/>
        </w:trPr>
        <w:tc>
          <w:tcPr>
            <w:tcW w:w="3724" w:type="dxa"/>
            <w:shd w:val="clear" w:color="auto" w:fill="auto"/>
            <w:vAlign w:val="center"/>
          </w:tcPr>
          <w:p w14:paraId="4FA71393" w14:textId="77777777" w:rsidR="002459FA" w:rsidRPr="00F90BB9" w:rsidRDefault="002459FA" w:rsidP="00DD43EC">
            <w:pPr>
              <w:spacing w:before="40" w:after="40"/>
              <w:contextualSpacing w:val="0"/>
              <w:rPr>
                <w:rFonts w:ascii="Arial" w:hAnsi="Arial" w:cs="Arial"/>
                <w:sz w:val="22"/>
              </w:rPr>
            </w:pPr>
            <w:r w:rsidRPr="00F90BB9">
              <w:rPr>
                <w:rFonts w:ascii="Arial" w:hAnsi="Arial" w:cs="Arial"/>
                <w:sz w:val="22"/>
              </w:rPr>
              <w:t>10-year risk, %</w:t>
            </w:r>
          </w:p>
        </w:tc>
        <w:tc>
          <w:tcPr>
            <w:tcW w:w="1501" w:type="dxa"/>
            <w:vAlign w:val="center"/>
          </w:tcPr>
          <w:p w14:paraId="57A6D667"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367C0BC1"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4FDBB8E3"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15.19%</w:t>
            </w:r>
          </w:p>
        </w:tc>
        <w:tc>
          <w:tcPr>
            <w:tcW w:w="1476" w:type="dxa"/>
            <w:vAlign w:val="center"/>
          </w:tcPr>
          <w:p w14:paraId="3B50CB22"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258DBC0F"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4.05%</w:t>
            </w:r>
          </w:p>
        </w:tc>
        <w:tc>
          <w:tcPr>
            <w:tcW w:w="1476" w:type="dxa"/>
            <w:vAlign w:val="center"/>
          </w:tcPr>
          <w:p w14:paraId="497443B8"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 </w:t>
            </w:r>
          </w:p>
        </w:tc>
        <w:tc>
          <w:tcPr>
            <w:tcW w:w="1476" w:type="dxa"/>
            <w:vAlign w:val="center"/>
          </w:tcPr>
          <w:p w14:paraId="0C56D37F" w14:textId="77777777" w:rsidR="002459FA" w:rsidRPr="00F90BB9" w:rsidRDefault="002459FA" w:rsidP="00DD43EC">
            <w:pPr>
              <w:spacing w:before="40" w:after="40"/>
              <w:contextualSpacing w:val="0"/>
              <w:jc w:val="center"/>
              <w:rPr>
                <w:rFonts w:ascii="Arial" w:hAnsi="Arial" w:cs="Arial"/>
                <w:sz w:val="22"/>
              </w:rPr>
            </w:pPr>
            <w:r>
              <w:rPr>
                <w:rFonts w:ascii="Arial" w:hAnsi="Arial" w:cs="Arial"/>
                <w:color w:val="000000"/>
                <w:sz w:val="22"/>
              </w:rPr>
              <w:t>22.57%</w:t>
            </w:r>
          </w:p>
        </w:tc>
      </w:tr>
    </w:tbl>
    <w:p w14:paraId="3426D84E" w14:textId="3E1C2009" w:rsidR="00B6472A" w:rsidRPr="00F90BB9" w:rsidRDefault="00B6472A" w:rsidP="00D124F4">
      <w:pPr>
        <w:spacing w:before="80"/>
        <w:contextualSpacing w:val="0"/>
        <w:rPr>
          <w:rFonts w:ascii="Arial" w:hAnsi="Arial" w:cs="Arial"/>
          <w:sz w:val="22"/>
        </w:rPr>
      </w:pPr>
      <w:r w:rsidRPr="00F90BB9">
        <w:rPr>
          <w:rFonts w:ascii="Arial" w:hAnsi="Arial" w:cs="Arial"/>
          <w:sz w:val="22"/>
        </w:rPr>
        <w:t xml:space="preserve">ACR = albumin-to-creatinine ratio; ASCVD = atherosclerotic cardiovascular disease; eGFR = estimated glomerular filtration rate; HDL = high density lipoprotein; </w:t>
      </w:r>
      <w:r w:rsidR="002459FA" w:rsidRPr="002459FA">
        <w:rPr>
          <w:rFonts w:ascii="Arial" w:hAnsi="Arial" w:cs="Arial"/>
          <w:sz w:val="22"/>
        </w:rPr>
        <w:t xml:space="preserve">hsCRP, high-sensitivity C-reactive protein; </w:t>
      </w:r>
      <w:r w:rsidR="009342C2" w:rsidRPr="00F90BB9">
        <w:rPr>
          <w:rFonts w:ascii="Arial" w:hAnsi="Arial" w:cs="Arial"/>
          <w:sz w:val="22"/>
        </w:rPr>
        <w:t>NT-proBNP = N-terminal prohormone of brain natriuretic peptide</w:t>
      </w:r>
    </w:p>
    <w:p w14:paraId="4CF84D95" w14:textId="4E304DDC" w:rsidR="00380CEF" w:rsidRPr="00F90BB9" w:rsidRDefault="00B6472A" w:rsidP="00D124F4">
      <w:pPr>
        <w:spacing w:before="80"/>
        <w:contextualSpacing w:val="0"/>
        <w:rPr>
          <w:rFonts w:ascii="Arial" w:hAnsi="Arial" w:cs="Arial"/>
          <w:sz w:val="22"/>
        </w:rPr>
      </w:pPr>
      <w:r w:rsidRPr="00F90BB9">
        <w:rPr>
          <w:rFonts w:ascii="Arial" w:hAnsi="Arial" w:cs="Arial"/>
          <w:sz w:val="22"/>
        </w:rPr>
        <w:t>* The 10-year risk can be calculated as 1–0.</w:t>
      </w:r>
      <w:r w:rsidR="002459FA">
        <w:rPr>
          <w:rFonts w:ascii="Arial" w:hAnsi="Arial" w:cs="Arial"/>
          <w:sz w:val="22"/>
        </w:rPr>
        <w:t>9100</w:t>
      </w:r>
      <w:r w:rsidR="002459FA" w:rsidRPr="00F90BB9">
        <w:rPr>
          <w:rFonts w:ascii="Arial" w:hAnsi="Arial" w:cs="Arial"/>
          <w:sz w:val="22"/>
          <w:vertAlign w:val="superscript"/>
        </w:rPr>
        <w:t>exp</w:t>
      </w:r>
      <w:r w:rsidRPr="00F90BB9">
        <w:rPr>
          <w:rFonts w:ascii="Arial" w:hAnsi="Arial" w:cs="Arial"/>
          <w:sz w:val="22"/>
          <w:vertAlign w:val="superscript"/>
        </w:rPr>
        <w:t>(ΣbX–</w:t>
      </w:r>
      <w:r w:rsidR="002459FA">
        <w:rPr>
          <w:rFonts w:ascii="Arial" w:hAnsi="Arial" w:cs="Arial"/>
          <w:sz w:val="22"/>
          <w:vertAlign w:val="superscript"/>
        </w:rPr>
        <w:t>4.5580</w:t>
      </w:r>
      <w:r w:rsidRPr="00F90BB9">
        <w:rPr>
          <w:rFonts w:ascii="Arial" w:hAnsi="Arial" w:cs="Arial"/>
          <w:sz w:val="22"/>
          <w:vertAlign w:val="superscript"/>
        </w:rPr>
        <w:t>)</w:t>
      </w:r>
      <w:r w:rsidRPr="00F90BB9">
        <w:rPr>
          <w:rFonts w:ascii="Arial" w:hAnsi="Arial" w:cs="Arial"/>
          <w:sz w:val="22"/>
        </w:rPr>
        <w:t xml:space="preserve"> where b is the regression coefficient (beta) and X is the level for each risk factor.</w:t>
      </w:r>
    </w:p>
    <w:p w14:paraId="5D05E2AE" w14:textId="77777777" w:rsidR="00380CEF" w:rsidRDefault="00380CEF">
      <w:pPr>
        <w:spacing w:after="160" w:line="259" w:lineRule="auto"/>
        <w:contextualSpacing w:val="0"/>
        <w:rPr>
          <w:rFonts w:ascii="Arial" w:hAnsi="Arial" w:cs="Arial"/>
          <w:sz w:val="22"/>
        </w:rPr>
      </w:pPr>
      <w:r>
        <w:rPr>
          <w:rFonts w:ascii="Arial" w:hAnsi="Arial" w:cs="Arial"/>
          <w:sz w:val="22"/>
        </w:rPr>
        <w:br w:type="page"/>
      </w:r>
    </w:p>
    <w:p w14:paraId="4964E4C7" w14:textId="57F87535" w:rsidR="002459FA" w:rsidRPr="00F90BB9" w:rsidRDefault="002459FA" w:rsidP="002459FA">
      <w:pPr>
        <w:spacing w:after="120"/>
        <w:contextualSpacing w:val="0"/>
        <w:rPr>
          <w:rFonts w:ascii="Arial" w:eastAsia="+mn-ea" w:hAnsi="Arial" w:cs="Arial"/>
          <w:color w:val="000000"/>
          <w:kern w:val="24"/>
          <w:sz w:val="22"/>
        </w:rPr>
      </w:pPr>
      <w:r>
        <w:rPr>
          <w:rFonts w:ascii="Arial" w:hAnsi="Arial" w:cs="Arial"/>
          <w:b/>
          <w:bCs/>
          <w:sz w:val="22"/>
        </w:rPr>
        <w:lastRenderedPageBreak/>
        <w:t xml:space="preserve">Supplemental </w:t>
      </w:r>
      <w:r w:rsidRPr="00F90BB9">
        <w:rPr>
          <w:rFonts w:ascii="Arial" w:eastAsia="+mn-ea" w:hAnsi="Arial" w:cs="Arial"/>
          <w:b/>
          <w:color w:val="000000"/>
          <w:kern w:val="24"/>
          <w:sz w:val="22"/>
        </w:rPr>
        <w:t xml:space="preserve">Table </w:t>
      </w:r>
      <w:r w:rsidR="00D17019">
        <w:rPr>
          <w:rFonts w:ascii="Arial" w:eastAsia="+mn-ea" w:hAnsi="Arial" w:cs="Arial"/>
          <w:b/>
          <w:color w:val="000000"/>
          <w:kern w:val="24"/>
          <w:sz w:val="22"/>
        </w:rPr>
        <w:t>6</w:t>
      </w:r>
      <w:r w:rsidRPr="00F90BB9">
        <w:rPr>
          <w:rFonts w:ascii="Arial" w:eastAsia="+mn-ea" w:hAnsi="Arial" w:cs="Arial"/>
          <w:b/>
          <w:color w:val="000000"/>
          <w:kern w:val="24"/>
          <w:sz w:val="22"/>
        </w:rPr>
        <w:t>.</w:t>
      </w:r>
      <w:r w:rsidRPr="00F90BB9">
        <w:rPr>
          <w:rFonts w:ascii="Arial" w:eastAsia="+mn-ea" w:hAnsi="Arial" w:cs="Arial"/>
          <w:color w:val="000000"/>
          <w:kern w:val="24"/>
          <w:sz w:val="22"/>
        </w:rPr>
        <w:t xml:space="preserve"> </w:t>
      </w:r>
      <w:r w:rsidRPr="002459FA">
        <w:rPr>
          <w:rFonts w:ascii="Arial" w:eastAsia="+mn-ea" w:hAnsi="Arial" w:cs="Arial"/>
          <w:color w:val="000000"/>
          <w:kern w:val="24"/>
          <w:sz w:val="22"/>
        </w:rPr>
        <w:t>Baseline Characteristics of Development (CRIC Study) and External Validation (ARIC and MESA) Cohort Participants</w:t>
      </w:r>
    </w:p>
    <w:tbl>
      <w:tblPr>
        <w:tblStyle w:val="TableGrid"/>
        <w:tblW w:w="5000" w:type="pct"/>
        <w:tblLook w:val="04A0" w:firstRow="1" w:lastRow="0" w:firstColumn="1" w:lastColumn="0" w:noHBand="0" w:noVBand="1"/>
      </w:tblPr>
      <w:tblGrid>
        <w:gridCol w:w="8156"/>
        <w:gridCol w:w="3117"/>
        <w:gridCol w:w="3117"/>
      </w:tblGrid>
      <w:tr w:rsidR="002459FA" w:rsidRPr="007E3797" w14:paraId="4BCAB0AC" w14:textId="77777777" w:rsidTr="00DD43EC">
        <w:trPr>
          <w:trHeight w:val="217"/>
        </w:trPr>
        <w:tc>
          <w:tcPr>
            <w:tcW w:w="2834" w:type="pct"/>
            <w:shd w:val="clear" w:color="auto" w:fill="auto"/>
            <w:vAlign w:val="center"/>
          </w:tcPr>
          <w:p w14:paraId="595D6F31"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b/>
                <w:sz w:val="22"/>
              </w:rPr>
              <w:t>Variables</w:t>
            </w:r>
          </w:p>
        </w:tc>
        <w:tc>
          <w:tcPr>
            <w:tcW w:w="1083" w:type="pct"/>
          </w:tcPr>
          <w:p w14:paraId="707F8AC8"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b/>
                <w:sz w:val="22"/>
              </w:rPr>
              <w:t>CRIC Study</w:t>
            </w:r>
            <w:r w:rsidRPr="007E3797">
              <w:rPr>
                <w:rFonts w:ascii="Arial" w:hAnsi="Arial" w:cs="Arial"/>
                <w:b/>
                <w:sz w:val="22"/>
              </w:rPr>
              <w:br/>
              <w:t>(n=2</w:t>
            </w:r>
            <w:r>
              <w:rPr>
                <w:rFonts w:ascii="Arial" w:hAnsi="Arial" w:cs="Arial"/>
                <w:b/>
                <w:sz w:val="22"/>
              </w:rPr>
              <w:t>,</w:t>
            </w:r>
            <w:r w:rsidRPr="007E3797">
              <w:rPr>
                <w:rFonts w:ascii="Arial" w:hAnsi="Arial" w:cs="Arial"/>
                <w:b/>
                <w:sz w:val="22"/>
              </w:rPr>
              <w:t>604)</w:t>
            </w:r>
          </w:p>
        </w:tc>
        <w:tc>
          <w:tcPr>
            <w:tcW w:w="1083" w:type="pct"/>
          </w:tcPr>
          <w:p w14:paraId="67FC0EA5" w14:textId="77777777" w:rsidR="002459FA" w:rsidRPr="007E3797" w:rsidRDefault="002459FA" w:rsidP="00A93CF9">
            <w:pPr>
              <w:spacing w:before="20" w:after="20"/>
              <w:contextualSpacing w:val="0"/>
              <w:jc w:val="center"/>
              <w:rPr>
                <w:rFonts w:ascii="Arial" w:hAnsi="Arial" w:cs="Arial"/>
                <w:b/>
                <w:sz w:val="22"/>
              </w:rPr>
            </w:pPr>
            <w:r w:rsidRPr="007E3797">
              <w:rPr>
                <w:rFonts w:ascii="Arial" w:hAnsi="Arial" w:cs="Arial"/>
                <w:b/>
                <w:sz w:val="22"/>
              </w:rPr>
              <w:t>ARIC + MESA</w:t>
            </w:r>
            <w:r w:rsidRPr="007E3797">
              <w:rPr>
                <w:rFonts w:ascii="Arial" w:hAnsi="Arial" w:cs="Arial"/>
                <w:b/>
                <w:sz w:val="22"/>
              </w:rPr>
              <w:br/>
              <w:t>(n=2</w:t>
            </w:r>
            <w:r>
              <w:rPr>
                <w:rFonts w:ascii="Arial" w:hAnsi="Arial" w:cs="Arial"/>
                <w:b/>
                <w:sz w:val="22"/>
              </w:rPr>
              <w:t>,</w:t>
            </w:r>
            <w:r w:rsidRPr="007E3797">
              <w:rPr>
                <w:rFonts w:ascii="Arial" w:hAnsi="Arial" w:cs="Arial"/>
                <w:b/>
                <w:sz w:val="22"/>
              </w:rPr>
              <w:t>222)</w:t>
            </w:r>
          </w:p>
        </w:tc>
      </w:tr>
      <w:tr w:rsidR="002459FA" w:rsidRPr="007E3797" w14:paraId="49E5C8ED" w14:textId="77777777" w:rsidTr="00DD43EC">
        <w:trPr>
          <w:trHeight w:val="217"/>
        </w:trPr>
        <w:tc>
          <w:tcPr>
            <w:tcW w:w="2834" w:type="pct"/>
            <w:shd w:val="clear" w:color="auto" w:fill="auto"/>
            <w:vAlign w:val="center"/>
          </w:tcPr>
          <w:p w14:paraId="39E8A36E"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Age, mean (SD), years</w:t>
            </w:r>
          </w:p>
        </w:tc>
        <w:tc>
          <w:tcPr>
            <w:tcW w:w="1083" w:type="pct"/>
          </w:tcPr>
          <w:p w14:paraId="2CD290D9"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55.8 (11.7)</w:t>
            </w:r>
          </w:p>
        </w:tc>
        <w:tc>
          <w:tcPr>
            <w:tcW w:w="1083" w:type="pct"/>
          </w:tcPr>
          <w:p w14:paraId="250B9F2A"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67.2 (8.5)</w:t>
            </w:r>
          </w:p>
        </w:tc>
      </w:tr>
      <w:tr w:rsidR="002459FA" w:rsidRPr="007E3797" w14:paraId="17AAE09C" w14:textId="77777777" w:rsidTr="00DD43EC">
        <w:trPr>
          <w:trHeight w:val="217"/>
        </w:trPr>
        <w:tc>
          <w:tcPr>
            <w:tcW w:w="2834" w:type="pct"/>
            <w:shd w:val="clear" w:color="auto" w:fill="auto"/>
            <w:vAlign w:val="center"/>
          </w:tcPr>
          <w:p w14:paraId="0F5A0E8F"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Male, No. (%)</w:t>
            </w:r>
          </w:p>
        </w:tc>
        <w:tc>
          <w:tcPr>
            <w:tcW w:w="1083" w:type="pct"/>
          </w:tcPr>
          <w:p w14:paraId="0CED2AFE"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1354 (52.0)</w:t>
            </w:r>
          </w:p>
        </w:tc>
        <w:tc>
          <w:tcPr>
            <w:tcW w:w="1083" w:type="pct"/>
          </w:tcPr>
          <w:p w14:paraId="0196F7BE"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993 (44.7)</w:t>
            </w:r>
          </w:p>
        </w:tc>
      </w:tr>
      <w:tr w:rsidR="002459FA" w:rsidRPr="007E3797" w14:paraId="236AE678" w14:textId="77777777" w:rsidTr="00DD43EC">
        <w:trPr>
          <w:trHeight w:val="217"/>
        </w:trPr>
        <w:tc>
          <w:tcPr>
            <w:tcW w:w="2834" w:type="pct"/>
            <w:shd w:val="clear" w:color="auto" w:fill="auto"/>
            <w:vAlign w:val="center"/>
          </w:tcPr>
          <w:p w14:paraId="11777713"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Black race, No. (%)</w:t>
            </w:r>
          </w:p>
        </w:tc>
        <w:tc>
          <w:tcPr>
            <w:tcW w:w="1083" w:type="pct"/>
          </w:tcPr>
          <w:p w14:paraId="2F1FCDF0"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1013 (38.9)</w:t>
            </w:r>
          </w:p>
        </w:tc>
        <w:tc>
          <w:tcPr>
            <w:tcW w:w="1083" w:type="pct"/>
          </w:tcPr>
          <w:p w14:paraId="722C2A97"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686 (30.9)</w:t>
            </w:r>
          </w:p>
        </w:tc>
      </w:tr>
      <w:tr w:rsidR="002459FA" w:rsidRPr="007E3797" w14:paraId="4FDB7689" w14:textId="77777777" w:rsidTr="00DD43EC">
        <w:trPr>
          <w:trHeight w:val="217"/>
        </w:trPr>
        <w:tc>
          <w:tcPr>
            <w:tcW w:w="2834" w:type="pct"/>
            <w:shd w:val="clear" w:color="auto" w:fill="auto"/>
            <w:vAlign w:val="center"/>
          </w:tcPr>
          <w:p w14:paraId="57185259"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Body mass index, mean (SD), kg/m</w:t>
            </w:r>
            <w:r w:rsidRPr="007E3797">
              <w:rPr>
                <w:rFonts w:ascii="Arial" w:hAnsi="Arial" w:cs="Arial"/>
                <w:sz w:val="22"/>
                <w:vertAlign w:val="superscript"/>
              </w:rPr>
              <w:t>2</w:t>
            </w:r>
          </w:p>
        </w:tc>
        <w:tc>
          <w:tcPr>
            <w:tcW w:w="1083" w:type="pct"/>
          </w:tcPr>
          <w:p w14:paraId="5B1C087B"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31.7 (7.8)</w:t>
            </w:r>
          </w:p>
        </w:tc>
        <w:tc>
          <w:tcPr>
            <w:tcW w:w="1083" w:type="pct"/>
          </w:tcPr>
          <w:p w14:paraId="5D7E42F4"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29.3 (6.0)</w:t>
            </w:r>
          </w:p>
        </w:tc>
      </w:tr>
      <w:tr w:rsidR="002459FA" w:rsidRPr="007E3797" w14:paraId="2A29940C" w14:textId="77777777" w:rsidTr="00DD43EC">
        <w:trPr>
          <w:trHeight w:val="217"/>
        </w:trPr>
        <w:tc>
          <w:tcPr>
            <w:tcW w:w="2834" w:type="pct"/>
            <w:shd w:val="clear" w:color="auto" w:fill="auto"/>
            <w:vAlign w:val="center"/>
          </w:tcPr>
          <w:p w14:paraId="315F5530"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Current smoking, No. (%)</w:t>
            </w:r>
          </w:p>
        </w:tc>
        <w:tc>
          <w:tcPr>
            <w:tcW w:w="1083" w:type="pct"/>
          </w:tcPr>
          <w:p w14:paraId="3153F019"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314 (12.1)</w:t>
            </w:r>
          </w:p>
        </w:tc>
        <w:tc>
          <w:tcPr>
            <w:tcW w:w="1083" w:type="pct"/>
          </w:tcPr>
          <w:p w14:paraId="7C2ECADE"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307 (13.9)</w:t>
            </w:r>
          </w:p>
        </w:tc>
      </w:tr>
      <w:tr w:rsidR="002459FA" w:rsidRPr="007E3797" w14:paraId="0704130F" w14:textId="77777777" w:rsidTr="00DD43EC">
        <w:trPr>
          <w:trHeight w:val="217"/>
        </w:trPr>
        <w:tc>
          <w:tcPr>
            <w:tcW w:w="2834" w:type="pct"/>
            <w:shd w:val="clear" w:color="auto" w:fill="auto"/>
            <w:vAlign w:val="center"/>
          </w:tcPr>
          <w:p w14:paraId="18214B55"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Hemoglobin A1c, mean (SD), %</w:t>
            </w:r>
          </w:p>
        </w:tc>
        <w:tc>
          <w:tcPr>
            <w:tcW w:w="1083" w:type="pct"/>
          </w:tcPr>
          <w:p w14:paraId="5053AD7B"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6.4 (1.5)</w:t>
            </w:r>
          </w:p>
        </w:tc>
        <w:tc>
          <w:tcPr>
            <w:tcW w:w="1083" w:type="pct"/>
          </w:tcPr>
          <w:p w14:paraId="35332AF7"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6.1 (1.5)</w:t>
            </w:r>
          </w:p>
        </w:tc>
      </w:tr>
      <w:tr w:rsidR="002459FA" w:rsidRPr="007E3797" w14:paraId="1BB95446" w14:textId="77777777" w:rsidTr="00DD43EC">
        <w:trPr>
          <w:trHeight w:val="217"/>
        </w:trPr>
        <w:tc>
          <w:tcPr>
            <w:tcW w:w="2834" w:type="pct"/>
            <w:shd w:val="clear" w:color="auto" w:fill="auto"/>
            <w:vAlign w:val="center"/>
          </w:tcPr>
          <w:p w14:paraId="425BEB4F"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Diabetes mellitus, No. (%)</w:t>
            </w:r>
          </w:p>
        </w:tc>
        <w:tc>
          <w:tcPr>
            <w:tcW w:w="1083" w:type="pct"/>
          </w:tcPr>
          <w:p w14:paraId="5B5F0CC4"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1082 (41.6)</w:t>
            </w:r>
          </w:p>
        </w:tc>
        <w:tc>
          <w:tcPr>
            <w:tcW w:w="1083" w:type="pct"/>
          </w:tcPr>
          <w:p w14:paraId="68799796"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615 (27.8)</w:t>
            </w:r>
          </w:p>
        </w:tc>
      </w:tr>
      <w:tr w:rsidR="002459FA" w:rsidRPr="007E3797" w14:paraId="156DE703" w14:textId="77777777" w:rsidTr="00DD43EC">
        <w:trPr>
          <w:trHeight w:val="217"/>
        </w:trPr>
        <w:tc>
          <w:tcPr>
            <w:tcW w:w="2834" w:type="pct"/>
            <w:shd w:val="clear" w:color="auto" w:fill="auto"/>
            <w:vAlign w:val="center"/>
          </w:tcPr>
          <w:p w14:paraId="2FE2C1CB"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Use of glucose-lowering medications, No. (%)</w:t>
            </w:r>
          </w:p>
        </w:tc>
        <w:tc>
          <w:tcPr>
            <w:tcW w:w="1083" w:type="pct"/>
          </w:tcPr>
          <w:p w14:paraId="293163B6"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620 (24.0)</w:t>
            </w:r>
          </w:p>
        </w:tc>
        <w:tc>
          <w:tcPr>
            <w:tcW w:w="1083" w:type="pct"/>
          </w:tcPr>
          <w:p w14:paraId="66CB0439"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466 (21.2)</w:t>
            </w:r>
          </w:p>
        </w:tc>
      </w:tr>
      <w:tr w:rsidR="002459FA" w:rsidRPr="007E3797" w14:paraId="47E4CB36" w14:textId="77777777" w:rsidTr="00DD43EC">
        <w:trPr>
          <w:trHeight w:val="217"/>
        </w:trPr>
        <w:tc>
          <w:tcPr>
            <w:tcW w:w="2834" w:type="pct"/>
            <w:shd w:val="clear" w:color="auto" w:fill="auto"/>
            <w:vAlign w:val="center"/>
          </w:tcPr>
          <w:p w14:paraId="34440B93"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Systolic blood pressure, mean (SD), mm Hg</w:t>
            </w:r>
          </w:p>
        </w:tc>
        <w:tc>
          <w:tcPr>
            <w:tcW w:w="1083" w:type="pct"/>
          </w:tcPr>
          <w:p w14:paraId="317CC3B2"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127.0 (21.0)</w:t>
            </w:r>
          </w:p>
        </w:tc>
        <w:tc>
          <w:tcPr>
            <w:tcW w:w="1083" w:type="pct"/>
          </w:tcPr>
          <w:p w14:paraId="1A6C4D79"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137.7 (23.2)</w:t>
            </w:r>
          </w:p>
        </w:tc>
      </w:tr>
      <w:tr w:rsidR="002459FA" w:rsidRPr="007E3797" w14:paraId="318B5374" w14:textId="77777777" w:rsidTr="00DD43EC">
        <w:trPr>
          <w:trHeight w:val="217"/>
        </w:trPr>
        <w:tc>
          <w:tcPr>
            <w:tcW w:w="2834" w:type="pct"/>
            <w:shd w:val="clear" w:color="auto" w:fill="auto"/>
            <w:vAlign w:val="center"/>
          </w:tcPr>
          <w:p w14:paraId="2F54AF8F"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Diastolic blood pressure, mean (SD), mm Hg</w:t>
            </w:r>
          </w:p>
        </w:tc>
        <w:tc>
          <w:tcPr>
            <w:tcW w:w="1083" w:type="pct"/>
          </w:tcPr>
          <w:p w14:paraId="5EDFCBBA"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72.7 (12.4)</w:t>
            </w:r>
          </w:p>
        </w:tc>
        <w:tc>
          <w:tcPr>
            <w:tcW w:w="1083" w:type="pct"/>
          </w:tcPr>
          <w:p w14:paraId="4A97830D"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73.1 (11.7)</w:t>
            </w:r>
          </w:p>
        </w:tc>
      </w:tr>
      <w:tr w:rsidR="002459FA" w:rsidRPr="007E3797" w14:paraId="511AA6ED" w14:textId="77777777" w:rsidTr="00DD43EC">
        <w:trPr>
          <w:trHeight w:val="217"/>
        </w:trPr>
        <w:tc>
          <w:tcPr>
            <w:tcW w:w="2834" w:type="pct"/>
            <w:shd w:val="clear" w:color="auto" w:fill="auto"/>
            <w:vAlign w:val="center"/>
          </w:tcPr>
          <w:p w14:paraId="490D58CA"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Use of blood pressure-lowering medications, No. (%)</w:t>
            </w:r>
          </w:p>
        </w:tc>
        <w:tc>
          <w:tcPr>
            <w:tcW w:w="1083" w:type="pct"/>
          </w:tcPr>
          <w:p w14:paraId="20141A72"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2282 (87.6)</w:t>
            </w:r>
          </w:p>
        </w:tc>
        <w:tc>
          <w:tcPr>
            <w:tcW w:w="1083" w:type="pct"/>
          </w:tcPr>
          <w:p w14:paraId="3E4751D1"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1314 (59.4)</w:t>
            </w:r>
          </w:p>
        </w:tc>
      </w:tr>
      <w:tr w:rsidR="002459FA" w:rsidRPr="007E3797" w14:paraId="49C0E374" w14:textId="77777777" w:rsidTr="00DD43EC">
        <w:trPr>
          <w:trHeight w:val="217"/>
        </w:trPr>
        <w:tc>
          <w:tcPr>
            <w:tcW w:w="2834" w:type="pct"/>
            <w:tcBorders>
              <w:bottom w:val="single" w:sz="4" w:space="0" w:color="auto"/>
            </w:tcBorders>
            <w:shd w:val="clear" w:color="auto" w:fill="auto"/>
            <w:vAlign w:val="center"/>
          </w:tcPr>
          <w:p w14:paraId="0682B070"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Total cholesterol, mean (SD), mg/dL</w:t>
            </w:r>
          </w:p>
        </w:tc>
        <w:tc>
          <w:tcPr>
            <w:tcW w:w="1083" w:type="pct"/>
            <w:tcBorders>
              <w:bottom w:val="single" w:sz="4" w:space="0" w:color="auto"/>
            </w:tcBorders>
          </w:tcPr>
          <w:p w14:paraId="5EB76019"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188.4 (44.5)</w:t>
            </w:r>
          </w:p>
        </w:tc>
        <w:tc>
          <w:tcPr>
            <w:tcW w:w="1083" w:type="pct"/>
            <w:tcBorders>
              <w:bottom w:val="single" w:sz="4" w:space="0" w:color="auto"/>
            </w:tcBorders>
          </w:tcPr>
          <w:p w14:paraId="3BEE8DC0"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197.6 (40.2)</w:t>
            </w:r>
          </w:p>
        </w:tc>
      </w:tr>
      <w:tr w:rsidR="002459FA" w:rsidRPr="007E3797" w14:paraId="3563DF7B" w14:textId="77777777" w:rsidTr="00DD43EC">
        <w:trPr>
          <w:trHeight w:val="217"/>
        </w:trPr>
        <w:tc>
          <w:tcPr>
            <w:tcW w:w="2834" w:type="pct"/>
            <w:tcBorders>
              <w:bottom w:val="single" w:sz="4" w:space="0" w:color="auto"/>
            </w:tcBorders>
            <w:shd w:val="clear" w:color="auto" w:fill="auto"/>
            <w:vAlign w:val="center"/>
          </w:tcPr>
          <w:p w14:paraId="07E2B7C7"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LDL cholesterol, mean (SD), mg/dL</w:t>
            </w:r>
          </w:p>
        </w:tc>
        <w:tc>
          <w:tcPr>
            <w:tcW w:w="1083" w:type="pct"/>
            <w:tcBorders>
              <w:bottom w:val="single" w:sz="4" w:space="0" w:color="auto"/>
            </w:tcBorders>
          </w:tcPr>
          <w:p w14:paraId="1FB11095"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106.6 (35.3)</w:t>
            </w:r>
          </w:p>
        </w:tc>
        <w:tc>
          <w:tcPr>
            <w:tcW w:w="1083" w:type="pct"/>
            <w:tcBorders>
              <w:bottom w:val="single" w:sz="4" w:space="0" w:color="auto"/>
            </w:tcBorders>
          </w:tcPr>
          <w:p w14:paraId="66D5DBF3"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118.5 (34.6)</w:t>
            </w:r>
          </w:p>
        </w:tc>
      </w:tr>
      <w:tr w:rsidR="002459FA" w:rsidRPr="007E3797" w14:paraId="692F8C12" w14:textId="77777777" w:rsidTr="00DD43EC">
        <w:trPr>
          <w:trHeight w:val="217"/>
        </w:trPr>
        <w:tc>
          <w:tcPr>
            <w:tcW w:w="2834" w:type="pct"/>
            <w:tcBorders>
              <w:bottom w:val="single" w:sz="4" w:space="0" w:color="auto"/>
            </w:tcBorders>
            <w:shd w:val="clear" w:color="auto" w:fill="auto"/>
            <w:vAlign w:val="center"/>
          </w:tcPr>
          <w:p w14:paraId="5381423B"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HDL cholesterol, mean (SD), mg/dL</w:t>
            </w:r>
          </w:p>
        </w:tc>
        <w:tc>
          <w:tcPr>
            <w:tcW w:w="1083" w:type="pct"/>
            <w:tcBorders>
              <w:bottom w:val="single" w:sz="4" w:space="0" w:color="auto"/>
            </w:tcBorders>
          </w:tcPr>
          <w:p w14:paraId="20D6B564"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48.8 (16.1)</w:t>
            </w:r>
          </w:p>
        </w:tc>
        <w:tc>
          <w:tcPr>
            <w:tcW w:w="1083" w:type="pct"/>
            <w:tcBorders>
              <w:bottom w:val="single" w:sz="4" w:space="0" w:color="auto"/>
            </w:tcBorders>
          </w:tcPr>
          <w:p w14:paraId="67F97CA4"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49.6 (15.7)</w:t>
            </w:r>
          </w:p>
        </w:tc>
      </w:tr>
      <w:tr w:rsidR="002459FA" w:rsidRPr="007E3797" w14:paraId="7741F6EE" w14:textId="77777777" w:rsidTr="00DD43EC">
        <w:trPr>
          <w:trHeight w:val="217"/>
        </w:trPr>
        <w:tc>
          <w:tcPr>
            <w:tcW w:w="2834" w:type="pct"/>
            <w:tcBorders>
              <w:bottom w:val="single" w:sz="4" w:space="0" w:color="auto"/>
            </w:tcBorders>
            <w:shd w:val="clear" w:color="auto" w:fill="auto"/>
            <w:vAlign w:val="center"/>
          </w:tcPr>
          <w:p w14:paraId="601D8F57"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Apolipoprotein B, mean (SD), mg/dL</w:t>
            </w:r>
          </w:p>
        </w:tc>
        <w:tc>
          <w:tcPr>
            <w:tcW w:w="1083" w:type="pct"/>
            <w:tcBorders>
              <w:bottom w:val="single" w:sz="4" w:space="0" w:color="auto"/>
            </w:tcBorders>
          </w:tcPr>
          <w:p w14:paraId="6910DFA9"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85.6 (24.4)</w:t>
            </w:r>
          </w:p>
        </w:tc>
        <w:tc>
          <w:tcPr>
            <w:tcW w:w="1083" w:type="pct"/>
            <w:tcBorders>
              <w:bottom w:val="single" w:sz="4" w:space="0" w:color="auto"/>
            </w:tcBorders>
          </w:tcPr>
          <w:p w14:paraId="4761352E"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89.7 (27.0)</w:t>
            </w:r>
          </w:p>
        </w:tc>
      </w:tr>
      <w:tr w:rsidR="002459FA" w:rsidRPr="007E3797" w14:paraId="6F2D5644" w14:textId="77777777" w:rsidTr="00DD43EC">
        <w:trPr>
          <w:trHeight w:val="217"/>
        </w:trPr>
        <w:tc>
          <w:tcPr>
            <w:tcW w:w="2834" w:type="pct"/>
            <w:tcBorders>
              <w:bottom w:val="single" w:sz="4" w:space="0" w:color="auto"/>
            </w:tcBorders>
            <w:shd w:val="clear" w:color="auto" w:fill="auto"/>
            <w:vAlign w:val="center"/>
          </w:tcPr>
          <w:p w14:paraId="38AB04C5"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Use of statin medications, No. (%)</w:t>
            </w:r>
          </w:p>
        </w:tc>
        <w:tc>
          <w:tcPr>
            <w:tcW w:w="1083" w:type="pct"/>
            <w:tcBorders>
              <w:bottom w:val="single" w:sz="4" w:space="0" w:color="auto"/>
            </w:tcBorders>
          </w:tcPr>
          <w:p w14:paraId="13E2BA3C"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1184 (45.8)</w:t>
            </w:r>
          </w:p>
        </w:tc>
        <w:tc>
          <w:tcPr>
            <w:tcW w:w="1083" w:type="pct"/>
            <w:tcBorders>
              <w:bottom w:val="single" w:sz="4" w:space="0" w:color="auto"/>
            </w:tcBorders>
          </w:tcPr>
          <w:p w14:paraId="7C0F39E7"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411 (18.5)</w:t>
            </w:r>
          </w:p>
        </w:tc>
      </w:tr>
      <w:tr w:rsidR="002459FA" w:rsidRPr="007E3797" w14:paraId="041CB39A" w14:textId="77777777" w:rsidTr="00DD43EC">
        <w:trPr>
          <w:trHeight w:val="217"/>
        </w:trPr>
        <w:tc>
          <w:tcPr>
            <w:tcW w:w="2834" w:type="pct"/>
            <w:tcBorders>
              <w:bottom w:val="single" w:sz="4" w:space="0" w:color="auto"/>
            </w:tcBorders>
            <w:shd w:val="clear" w:color="auto" w:fill="auto"/>
            <w:vAlign w:val="center"/>
          </w:tcPr>
          <w:p w14:paraId="39535894" w14:textId="77777777" w:rsidR="002459FA" w:rsidRPr="007E3797" w:rsidRDefault="002459FA" w:rsidP="00A93CF9">
            <w:pPr>
              <w:spacing w:before="20" w:after="20"/>
              <w:contextualSpacing w:val="0"/>
              <w:rPr>
                <w:rFonts w:ascii="Arial" w:hAnsi="Arial" w:cs="Arial"/>
                <w:sz w:val="22"/>
              </w:rPr>
            </w:pPr>
            <w:r>
              <w:rPr>
                <w:rFonts w:ascii="Arial" w:hAnsi="Arial" w:cs="Arial"/>
                <w:sz w:val="22"/>
              </w:rPr>
              <w:t>Estimated glomerular filtration rate</w:t>
            </w:r>
            <w:r w:rsidRPr="007E3797">
              <w:rPr>
                <w:rFonts w:ascii="Arial" w:hAnsi="Arial" w:cs="Arial"/>
                <w:sz w:val="22"/>
              </w:rPr>
              <w:t>, mean (SD), mL/min/1.73 m</w:t>
            </w:r>
            <w:r w:rsidRPr="007E3797">
              <w:rPr>
                <w:rFonts w:ascii="Arial" w:hAnsi="Arial" w:cs="Arial"/>
                <w:sz w:val="22"/>
                <w:vertAlign w:val="superscript"/>
              </w:rPr>
              <w:t>2</w:t>
            </w:r>
            <w:r>
              <w:rPr>
                <w:rFonts w:ascii="Arial" w:hAnsi="Arial" w:cs="Arial"/>
                <w:sz w:val="22"/>
              </w:rPr>
              <w:t xml:space="preserve"> *</w:t>
            </w:r>
          </w:p>
        </w:tc>
        <w:tc>
          <w:tcPr>
            <w:tcW w:w="1083" w:type="pct"/>
            <w:tcBorders>
              <w:bottom w:val="single" w:sz="4" w:space="0" w:color="auto"/>
            </w:tcBorders>
          </w:tcPr>
          <w:p w14:paraId="4D79F291"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56.0 (24.7)</w:t>
            </w:r>
          </w:p>
        </w:tc>
        <w:tc>
          <w:tcPr>
            <w:tcW w:w="1083" w:type="pct"/>
            <w:tcBorders>
              <w:bottom w:val="single" w:sz="4" w:space="0" w:color="auto"/>
            </w:tcBorders>
          </w:tcPr>
          <w:p w14:paraId="5A5B857B"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70.1 (24.3)</w:t>
            </w:r>
          </w:p>
        </w:tc>
      </w:tr>
      <w:tr w:rsidR="002459FA" w:rsidRPr="007E3797" w14:paraId="03D75383" w14:textId="77777777" w:rsidTr="00DD43EC">
        <w:trPr>
          <w:trHeight w:val="217"/>
        </w:trPr>
        <w:tc>
          <w:tcPr>
            <w:tcW w:w="2834" w:type="pct"/>
            <w:tcBorders>
              <w:bottom w:val="single" w:sz="4" w:space="0" w:color="auto"/>
            </w:tcBorders>
            <w:shd w:val="clear" w:color="auto" w:fill="auto"/>
            <w:vAlign w:val="center"/>
          </w:tcPr>
          <w:p w14:paraId="5C22CE58"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Urine ACR, median [IQR], mg/g</w:t>
            </w:r>
          </w:p>
        </w:tc>
        <w:tc>
          <w:tcPr>
            <w:tcW w:w="1083" w:type="pct"/>
            <w:tcBorders>
              <w:bottom w:val="single" w:sz="4" w:space="0" w:color="auto"/>
            </w:tcBorders>
          </w:tcPr>
          <w:p w14:paraId="3E52F709"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39.1 [7.3, 391.2]</w:t>
            </w:r>
          </w:p>
        </w:tc>
        <w:tc>
          <w:tcPr>
            <w:tcW w:w="1083" w:type="pct"/>
            <w:tcBorders>
              <w:bottom w:val="single" w:sz="4" w:space="0" w:color="auto"/>
            </w:tcBorders>
          </w:tcPr>
          <w:p w14:paraId="0FDBF1C9"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38.4 [7.0, 100.0]</w:t>
            </w:r>
          </w:p>
        </w:tc>
      </w:tr>
      <w:tr w:rsidR="002459FA" w:rsidRPr="007E3797" w14:paraId="5D71A336" w14:textId="77777777" w:rsidTr="00DD43EC">
        <w:trPr>
          <w:trHeight w:val="217"/>
        </w:trPr>
        <w:tc>
          <w:tcPr>
            <w:tcW w:w="2834" w:type="pct"/>
            <w:tcBorders>
              <w:bottom w:val="single" w:sz="4" w:space="0" w:color="auto"/>
            </w:tcBorders>
            <w:shd w:val="clear" w:color="auto" w:fill="auto"/>
            <w:vAlign w:val="center"/>
          </w:tcPr>
          <w:p w14:paraId="76AB717F"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Hemoglobin, mean (SD), g/dL</w:t>
            </w:r>
          </w:p>
        </w:tc>
        <w:tc>
          <w:tcPr>
            <w:tcW w:w="1083" w:type="pct"/>
            <w:tcBorders>
              <w:bottom w:val="single" w:sz="4" w:space="0" w:color="auto"/>
            </w:tcBorders>
          </w:tcPr>
          <w:p w14:paraId="2A2E1C16"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12.7 (1.8)</w:t>
            </w:r>
          </w:p>
        </w:tc>
        <w:tc>
          <w:tcPr>
            <w:tcW w:w="1083" w:type="pct"/>
            <w:tcBorders>
              <w:bottom w:val="single" w:sz="4" w:space="0" w:color="auto"/>
            </w:tcBorders>
          </w:tcPr>
          <w:p w14:paraId="45F830B6"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13.3 (1.6)</w:t>
            </w:r>
          </w:p>
        </w:tc>
      </w:tr>
      <w:tr w:rsidR="002459FA" w:rsidRPr="007E3797" w14:paraId="33945E5E" w14:textId="77777777" w:rsidTr="00DD43EC">
        <w:trPr>
          <w:trHeight w:val="217"/>
        </w:trPr>
        <w:tc>
          <w:tcPr>
            <w:tcW w:w="2834" w:type="pct"/>
            <w:tcBorders>
              <w:bottom w:val="single" w:sz="4" w:space="0" w:color="auto"/>
            </w:tcBorders>
            <w:shd w:val="clear" w:color="auto" w:fill="auto"/>
            <w:vAlign w:val="center"/>
          </w:tcPr>
          <w:p w14:paraId="6B8F3A70" w14:textId="77777777" w:rsidR="002459FA" w:rsidRPr="007E3797" w:rsidRDefault="002459FA" w:rsidP="00A93CF9">
            <w:pPr>
              <w:spacing w:before="20" w:after="20"/>
              <w:contextualSpacing w:val="0"/>
              <w:rPr>
                <w:rFonts w:ascii="Arial" w:hAnsi="Arial" w:cs="Arial"/>
                <w:sz w:val="22"/>
              </w:rPr>
            </w:pPr>
            <w:r>
              <w:rPr>
                <w:rFonts w:ascii="Arial" w:hAnsi="Arial" w:cs="Arial"/>
                <w:sz w:val="22"/>
              </w:rPr>
              <w:t>High-sensitivity C-reactive protein</w:t>
            </w:r>
            <w:r w:rsidRPr="007E3797">
              <w:rPr>
                <w:rFonts w:ascii="Arial" w:hAnsi="Arial" w:cs="Arial"/>
                <w:sz w:val="22"/>
              </w:rPr>
              <w:t>, median [IQR], mg/L</w:t>
            </w:r>
          </w:p>
        </w:tc>
        <w:tc>
          <w:tcPr>
            <w:tcW w:w="1083" w:type="pct"/>
            <w:tcBorders>
              <w:bottom w:val="single" w:sz="4" w:space="0" w:color="auto"/>
            </w:tcBorders>
          </w:tcPr>
          <w:p w14:paraId="70C1C323"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2.4 [1.0, 6.1]</w:t>
            </w:r>
          </w:p>
        </w:tc>
        <w:tc>
          <w:tcPr>
            <w:tcW w:w="1083" w:type="pct"/>
            <w:tcBorders>
              <w:bottom w:val="single" w:sz="4" w:space="0" w:color="auto"/>
            </w:tcBorders>
          </w:tcPr>
          <w:p w14:paraId="5467F7A5"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2.8 [1.2, 6.2]</w:t>
            </w:r>
          </w:p>
        </w:tc>
      </w:tr>
      <w:tr w:rsidR="002459FA" w:rsidRPr="007E3797" w14:paraId="47CA14BB" w14:textId="77777777" w:rsidTr="00DD43EC">
        <w:trPr>
          <w:trHeight w:val="217"/>
        </w:trPr>
        <w:tc>
          <w:tcPr>
            <w:tcW w:w="2834" w:type="pct"/>
            <w:shd w:val="clear" w:color="auto" w:fill="auto"/>
            <w:vAlign w:val="center"/>
          </w:tcPr>
          <w:p w14:paraId="5DF5056D"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Troponin-T, median [IQR], pg/mL</w:t>
            </w:r>
          </w:p>
        </w:tc>
        <w:tc>
          <w:tcPr>
            <w:tcW w:w="1083" w:type="pct"/>
          </w:tcPr>
          <w:p w14:paraId="1BDE192A"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9.7 [4.5, 18.9]</w:t>
            </w:r>
          </w:p>
        </w:tc>
        <w:tc>
          <w:tcPr>
            <w:tcW w:w="1083" w:type="pct"/>
          </w:tcPr>
          <w:p w14:paraId="32782FAF"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9.0 [9.0, 9.0]</w:t>
            </w:r>
          </w:p>
        </w:tc>
      </w:tr>
      <w:tr w:rsidR="002459FA" w:rsidRPr="007E3797" w14:paraId="67CBC627" w14:textId="77777777" w:rsidTr="00DD43EC">
        <w:trPr>
          <w:trHeight w:val="217"/>
        </w:trPr>
        <w:tc>
          <w:tcPr>
            <w:tcW w:w="2834" w:type="pct"/>
            <w:shd w:val="clear" w:color="auto" w:fill="auto"/>
            <w:vAlign w:val="center"/>
          </w:tcPr>
          <w:p w14:paraId="2E8A20B4"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NT-proBNP, median [IQR], pg/mL</w:t>
            </w:r>
          </w:p>
        </w:tc>
        <w:tc>
          <w:tcPr>
            <w:tcW w:w="1083" w:type="pct"/>
          </w:tcPr>
          <w:p w14:paraId="041559E8"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106.5 [49.3, 249.7]</w:t>
            </w:r>
          </w:p>
        </w:tc>
        <w:tc>
          <w:tcPr>
            <w:tcW w:w="1083" w:type="pct"/>
          </w:tcPr>
          <w:p w14:paraId="4226DBD1" w14:textId="77777777" w:rsidR="002459FA" w:rsidRPr="007E3797" w:rsidRDefault="002459FA" w:rsidP="00A93CF9">
            <w:pPr>
              <w:spacing w:before="20" w:after="20"/>
              <w:contextualSpacing w:val="0"/>
              <w:jc w:val="center"/>
              <w:rPr>
                <w:rFonts w:ascii="Arial" w:hAnsi="Arial" w:cs="Arial"/>
                <w:sz w:val="22"/>
              </w:rPr>
            </w:pPr>
            <w:r w:rsidRPr="007E3797">
              <w:rPr>
                <w:rFonts w:ascii="Arial" w:hAnsi="Arial" w:cs="Arial"/>
                <w:sz w:val="22"/>
              </w:rPr>
              <w:t>98.2 [44.6, 213.1]</w:t>
            </w:r>
          </w:p>
        </w:tc>
      </w:tr>
      <w:tr w:rsidR="002459FA" w:rsidRPr="007E3797" w14:paraId="5FCC84CD" w14:textId="77777777" w:rsidTr="00DD43EC">
        <w:trPr>
          <w:trHeight w:val="217"/>
        </w:trPr>
        <w:tc>
          <w:tcPr>
            <w:tcW w:w="2834" w:type="pct"/>
            <w:shd w:val="clear" w:color="auto" w:fill="auto"/>
            <w:vAlign w:val="center"/>
          </w:tcPr>
          <w:p w14:paraId="0F7DAF39"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ASCVD Events within 10 years, No. (%)</w:t>
            </w:r>
          </w:p>
        </w:tc>
        <w:tc>
          <w:tcPr>
            <w:tcW w:w="1083" w:type="pct"/>
          </w:tcPr>
          <w:p w14:paraId="63B7C425" w14:textId="77777777" w:rsidR="002459FA" w:rsidRPr="007E3797" w:rsidRDefault="002459FA" w:rsidP="00A93CF9">
            <w:pPr>
              <w:spacing w:before="20" w:after="20"/>
              <w:contextualSpacing w:val="0"/>
              <w:jc w:val="center"/>
              <w:rPr>
                <w:rFonts w:ascii="Arial" w:hAnsi="Arial" w:cs="Arial"/>
                <w:sz w:val="22"/>
              </w:rPr>
            </w:pPr>
            <w:r>
              <w:rPr>
                <w:rFonts w:ascii="Arial" w:hAnsi="Arial" w:cs="Arial"/>
                <w:sz w:val="22"/>
              </w:rPr>
              <w:t>252</w:t>
            </w:r>
          </w:p>
        </w:tc>
        <w:tc>
          <w:tcPr>
            <w:tcW w:w="1083" w:type="pct"/>
          </w:tcPr>
          <w:p w14:paraId="1BECA040" w14:textId="77777777" w:rsidR="002459FA" w:rsidRPr="007E3797" w:rsidRDefault="002459FA" w:rsidP="00A93CF9">
            <w:pPr>
              <w:spacing w:before="20" w:after="20"/>
              <w:contextualSpacing w:val="0"/>
              <w:jc w:val="center"/>
              <w:rPr>
                <w:rFonts w:ascii="Arial" w:hAnsi="Arial" w:cs="Arial"/>
                <w:sz w:val="22"/>
              </w:rPr>
            </w:pPr>
            <w:r>
              <w:rPr>
                <w:rFonts w:ascii="Arial" w:hAnsi="Arial" w:cs="Arial"/>
                <w:sz w:val="22"/>
              </w:rPr>
              <w:t>337</w:t>
            </w:r>
          </w:p>
        </w:tc>
      </w:tr>
      <w:tr w:rsidR="002459FA" w:rsidRPr="007E3797" w14:paraId="3C0D0AF6" w14:textId="77777777" w:rsidTr="00DD43EC">
        <w:trPr>
          <w:trHeight w:val="217"/>
        </w:trPr>
        <w:tc>
          <w:tcPr>
            <w:tcW w:w="2834" w:type="pct"/>
            <w:shd w:val="clear" w:color="auto" w:fill="auto"/>
            <w:vAlign w:val="center"/>
          </w:tcPr>
          <w:p w14:paraId="440F863D"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Deaths within 10 years, No. (%)</w:t>
            </w:r>
          </w:p>
        </w:tc>
        <w:tc>
          <w:tcPr>
            <w:tcW w:w="1083" w:type="pct"/>
          </w:tcPr>
          <w:p w14:paraId="229D9CDE" w14:textId="77777777" w:rsidR="002459FA" w:rsidRPr="007E3797" w:rsidRDefault="002459FA" w:rsidP="00A93CF9">
            <w:pPr>
              <w:spacing w:before="20" w:after="20"/>
              <w:contextualSpacing w:val="0"/>
              <w:jc w:val="center"/>
              <w:rPr>
                <w:rFonts w:ascii="Arial" w:hAnsi="Arial" w:cs="Arial"/>
                <w:sz w:val="22"/>
              </w:rPr>
            </w:pPr>
            <w:r>
              <w:rPr>
                <w:rFonts w:ascii="Arial" w:hAnsi="Arial" w:cs="Arial"/>
                <w:sz w:val="22"/>
              </w:rPr>
              <w:t>411</w:t>
            </w:r>
          </w:p>
        </w:tc>
        <w:tc>
          <w:tcPr>
            <w:tcW w:w="1083" w:type="pct"/>
          </w:tcPr>
          <w:p w14:paraId="1397A7CC" w14:textId="77777777" w:rsidR="002459FA" w:rsidRPr="007E3797" w:rsidRDefault="002459FA" w:rsidP="00A93CF9">
            <w:pPr>
              <w:spacing w:before="20" w:after="20"/>
              <w:contextualSpacing w:val="0"/>
              <w:jc w:val="center"/>
              <w:rPr>
                <w:rFonts w:ascii="Arial" w:hAnsi="Arial" w:cs="Arial"/>
                <w:sz w:val="22"/>
              </w:rPr>
            </w:pPr>
            <w:r>
              <w:rPr>
                <w:rFonts w:ascii="Arial" w:hAnsi="Arial" w:cs="Arial"/>
                <w:sz w:val="22"/>
              </w:rPr>
              <w:t>354</w:t>
            </w:r>
          </w:p>
        </w:tc>
      </w:tr>
      <w:tr w:rsidR="002459FA" w:rsidRPr="007E3797" w14:paraId="6699350B" w14:textId="77777777" w:rsidTr="00DD43EC">
        <w:trPr>
          <w:trHeight w:val="217"/>
        </w:trPr>
        <w:tc>
          <w:tcPr>
            <w:tcW w:w="2834" w:type="pct"/>
            <w:shd w:val="clear" w:color="auto" w:fill="auto"/>
            <w:vAlign w:val="center"/>
          </w:tcPr>
          <w:p w14:paraId="5B6A4EA4" w14:textId="77777777" w:rsidR="002459FA" w:rsidRPr="007E3797" w:rsidRDefault="002459FA" w:rsidP="00A93CF9">
            <w:pPr>
              <w:spacing w:before="20" w:after="20"/>
              <w:contextualSpacing w:val="0"/>
              <w:rPr>
                <w:rFonts w:ascii="Arial" w:hAnsi="Arial" w:cs="Arial"/>
                <w:sz w:val="22"/>
              </w:rPr>
            </w:pPr>
            <w:r w:rsidRPr="007E3797">
              <w:rPr>
                <w:rFonts w:ascii="Arial" w:hAnsi="Arial" w:cs="Arial"/>
                <w:sz w:val="22"/>
              </w:rPr>
              <w:t>Observed 10-year Risk of ASCVD, %</w:t>
            </w:r>
          </w:p>
        </w:tc>
        <w:tc>
          <w:tcPr>
            <w:tcW w:w="1083" w:type="pct"/>
          </w:tcPr>
          <w:p w14:paraId="1857CA2A" w14:textId="77777777" w:rsidR="002459FA" w:rsidRPr="007E3797" w:rsidRDefault="002459FA" w:rsidP="00A93CF9">
            <w:pPr>
              <w:spacing w:before="20" w:after="20"/>
              <w:contextualSpacing w:val="0"/>
              <w:jc w:val="center"/>
              <w:rPr>
                <w:rFonts w:ascii="Arial" w:hAnsi="Arial" w:cs="Arial"/>
                <w:sz w:val="22"/>
              </w:rPr>
            </w:pPr>
            <w:r>
              <w:rPr>
                <w:rFonts w:ascii="Arial" w:hAnsi="Arial" w:cs="Arial"/>
                <w:sz w:val="22"/>
              </w:rPr>
              <w:t>10.5%</w:t>
            </w:r>
          </w:p>
        </w:tc>
        <w:tc>
          <w:tcPr>
            <w:tcW w:w="1083" w:type="pct"/>
          </w:tcPr>
          <w:p w14:paraId="7AF365E6" w14:textId="77777777" w:rsidR="002459FA" w:rsidRPr="007E3797" w:rsidRDefault="002459FA" w:rsidP="00A93CF9">
            <w:pPr>
              <w:spacing w:before="20" w:after="20"/>
              <w:contextualSpacing w:val="0"/>
              <w:jc w:val="center"/>
              <w:rPr>
                <w:rFonts w:ascii="Arial" w:hAnsi="Arial" w:cs="Arial"/>
                <w:sz w:val="22"/>
              </w:rPr>
            </w:pPr>
            <w:r>
              <w:rPr>
                <w:rFonts w:ascii="Arial" w:hAnsi="Arial" w:cs="Arial"/>
                <w:sz w:val="22"/>
              </w:rPr>
              <w:t>15.5%</w:t>
            </w:r>
          </w:p>
        </w:tc>
      </w:tr>
    </w:tbl>
    <w:p w14:paraId="3A126289" w14:textId="77777777" w:rsidR="002459FA" w:rsidRDefault="002459FA" w:rsidP="002459FA">
      <w:pPr>
        <w:spacing w:before="80"/>
        <w:contextualSpacing w:val="0"/>
        <w:rPr>
          <w:rFonts w:ascii="Arial" w:hAnsi="Arial" w:cs="Arial"/>
          <w:sz w:val="22"/>
        </w:rPr>
      </w:pPr>
      <w:bookmarkStart w:id="5" w:name="_Hlk61941958"/>
      <w:r w:rsidRPr="006D1379">
        <w:rPr>
          <w:rFonts w:ascii="Arial" w:hAnsi="Arial" w:cs="Arial"/>
          <w:sz w:val="22"/>
        </w:rPr>
        <w:t>Abbreviations: ACR</w:t>
      </w:r>
      <w:r>
        <w:rPr>
          <w:rFonts w:ascii="Arial" w:hAnsi="Arial" w:cs="Arial"/>
          <w:sz w:val="22"/>
        </w:rPr>
        <w:t xml:space="preserve">, </w:t>
      </w:r>
      <w:r w:rsidRPr="006D1379">
        <w:rPr>
          <w:rFonts w:ascii="Arial" w:hAnsi="Arial" w:cs="Arial"/>
          <w:sz w:val="22"/>
        </w:rPr>
        <w:t xml:space="preserve">albumin-to-creatinine ratio; </w:t>
      </w:r>
      <w:r>
        <w:rPr>
          <w:rFonts w:ascii="Arial" w:hAnsi="Arial" w:cs="Arial"/>
          <w:sz w:val="22"/>
        </w:rPr>
        <w:t xml:space="preserve">ARIC, Atherosclerosis Risk in Communities Study; </w:t>
      </w:r>
      <w:r w:rsidRPr="006D1379">
        <w:rPr>
          <w:rFonts w:ascii="Arial" w:hAnsi="Arial" w:cs="Arial"/>
          <w:sz w:val="22"/>
        </w:rPr>
        <w:t>ASCVD</w:t>
      </w:r>
      <w:r>
        <w:rPr>
          <w:rFonts w:ascii="Arial" w:hAnsi="Arial" w:cs="Arial"/>
          <w:sz w:val="22"/>
        </w:rPr>
        <w:t xml:space="preserve">, </w:t>
      </w:r>
      <w:r w:rsidRPr="006D1379">
        <w:rPr>
          <w:rFonts w:ascii="Arial" w:hAnsi="Arial" w:cs="Arial"/>
          <w:sz w:val="22"/>
        </w:rPr>
        <w:t xml:space="preserve">atherosclerotic cardiovascular disease; </w:t>
      </w:r>
      <w:r>
        <w:rPr>
          <w:rFonts w:ascii="Arial" w:hAnsi="Arial" w:cs="Arial"/>
          <w:sz w:val="22"/>
        </w:rPr>
        <w:t xml:space="preserve">CRIC, Chronic Renal Insufficiency Cohort; </w:t>
      </w:r>
      <w:r w:rsidRPr="006D1379">
        <w:rPr>
          <w:rFonts w:ascii="Arial" w:hAnsi="Arial" w:cs="Arial"/>
          <w:sz w:val="22"/>
        </w:rPr>
        <w:t>HDL</w:t>
      </w:r>
      <w:r>
        <w:rPr>
          <w:rFonts w:ascii="Arial" w:hAnsi="Arial" w:cs="Arial"/>
          <w:sz w:val="22"/>
        </w:rPr>
        <w:t xml:space="preserve">, </w:t>
      </w:r>
      <w:r w:rsidRPr="006D1379">
        <w:rPr>
          <w:rFonts w:ascii="Arial" w:hAnsi="Arial" w:cs="Arial"/>
          <w:sz w:val="22"/>
        </w:rPr>
        <w:t>high density lipoprotein;</w:t>
      </w:r>
      <w:r>
        <w:rPr>
          <w:rFonts w:ascii="Arial" w:hAnsi="Arial" w:cs="Arial"/>
          <w:sz w:val="22"/>
        </w:rPr>
        <w:t xml:space="preserve"> </w:t>
      </w:r>
      <w:r w:rsidRPr="006D1379">
        <w:rPr>
          <w:rFonts w:ascii="Arial" w:hAnsi="Arial" w:cs="Arial"/>
          <w:sz w:val="22"/>
        </w:rPr>
        <w:t>IQR</w:t>
      </w:r>
      <w:r>
        <w:rPr>
          <w:rFonts w:ascii="Arial" w:hAnsi="Arial" w:cs="Arial"/>
          <w:sz w:val="22"/>
        </w:rPr>
        <w:t xml:space="preserve">, </w:t>
      </w:r>
      <w:r w:rsidRPr="006D1379">
        <w:rPr>
          <w:rFonts w:ascii="Arial" w:hAnsi="Arial" w:cs="Arial"/>
          <w:sz w:val="22"/>
        </w:rPr>
        <w:t>interquartile range; LDL</w:t>
      </w:r>
      <w:r>
        <w:rPr>
          <w:rFonts w:ascii="Arial" w:hAnsi="Arial" w:cs="Arial"/>
          <w:sz w:val="22"/>
        </w:rPr>
        <w:t xml:space="preserve">, </w:t>
      </w:r>
      <w:r w:rsidRPr="006D1379">
        <w:rPr>
          <w:rFonts w:ascii="Arial" w:hAnsi="Arial" w:cs="Arial"/>
          <w:sz w:val="22"/>
        </w:rPr>
        <w:t>low density lipoprotein; SD</w:t>
      </w:r>
      <w:r>
        <w:rPr>
          <w:rFonts w:ascii="Arial" w:hAnsi="Arial" w:cs="Arial"/>
          <w:sz w:val="22"/>
        </w:rPr>
        <w:t xml:space="preserve">, </w:t>
      </w:r>
      <w:r w:rsidRPr="006D1379">
        <w:rPr>
          <w:rFonts w:ascii="Arial" w:hAnsi="Arial" w:cs="Arial"/>
          <w:sz w:val="22"/>
        </w:rPr>
        <w:t xml:space="preserve">standard deviation; </w:t>
      </w:r>
      <w:r>
        <w:rPr>
          <w:rFonts w:ascii="Arial" w:hAnsi="Arial" w:cs="Arial"/>
          <w:sz w:val="22"/>
        </w:rPr>
        <w:t xml:space="preserve">MESA, Multi-Ethnic Study of Atherosclerosis; </w:t>
      </w:r>
      <w:r w:rsidRPr="0005529F">
        <w:rPr>
          <w:rFonts w:ascii="Arial" w:hAnsi="Arial" w:cs="Arial"/>
          <w:sz w:val="22"/>
        </w:rPr>
        <w:t>NT-proBNP</w:t>
      </w:r>
      <w:r>
        <w:rPr>
          <w:rFonts w:ascii="Arial" w:hAnsi="Arial" w:cs="Arial"/>
          <w:sz w:val="22"/>
        </w:rPr>
        <w:t xml:space="preserve">, </w:t>
      </w:r>
      <w:r w:rsidRPr="0005529F">
        <w:rPr>
          <w:rFonts w:ascii="Arial" w:hAnsi="Arial" w:cs="Arial"/>
          <w:sz w:val="22"/>
        </w:rPr>
        <w:t>N-terminal prohormone of brain natriuretic peptide</w:t>
      </w:r>
      <w:bookmarkEnd w:id="5"/>
    </w:p>
    <w:p w14:paraId="485F7B95" w14:textId="6E5AEBCC" w:rsidR="002459FA" w:rsidRDefault="002459FA" w:rsidP="002459FA">
      <w:pPr>
        <w:spacing w:after="160" w:line="259" w:lineRule="auto"/>
        <w:contextualSpacing w:val="0"/>
        <w:rPr>
          <w:rFonts w:ascii="Arial" w:hAnsi="Arial" w:cs="Arial"/>
          <w:b/>
          <w:bCs/>
          <w:sz w:val="22"/>
        </w:rPr>
      </w:pPr>
      <w:r>
        <w:rPr>
          <w:rFonts w:ascii="Arial" w:hAnsi="Arial" w:cs="Arial"/>
          <w:sz w:val="22"/>
        </w:rPr>
        <w:t>* Calculated using the CKD-EPI equation for comparison across the CRIC Study and external validation cohorts</w:t>
      </w:r>
      <w:r>
        <w:rPr>
          <w:rFonts w:ascii="Arial" w:hAnsi="Arial" w:cs="Arial"/>
          <w:b/>
          <w:bCs/>
          <w:sz w:val="22"/>
        </w:rPr>
        <w:br w:type="page"/>
      </w:r>
    </w:p>
    <w:p w14:paraId="009D5D59" w14:textId="63EF72F2" w:rsidR="003476ED" w:rsidRDefault="00DA3FCB" w:rsidP="00B6472A">
      <w:pPr>
        <w:spacing w:after="120"/>
        <w:contextualSpacing w:val="0"/>
        <w:rPr>
          <w:rFonts w:ascii="Arial" w:eastAsia="+mn-ea" w:hAnsi="Arial" w:cs="Arial"/>
          <w:color w:val="000000"/>
          <w:kern w:val="24"/>
          <w:sz w:val="22"/>
        </w:rPr>
      </w:pPr>
      <w:r>
        <w:rPr>
          <w:rFonts w:ascii="Arial" w:hAnsi="Arial" w:cs="Arial"/>
          <w:b/>
          <w:bCs/>
          <w:sz w:val="22"/>
        </w:rPr>
        <w:lastRenderedPageBreak/>
        <w:t xml:space="preserve">Supplemental </w:t>
      </w:r>
      <w:r w:rsidR="00380CEF" w:rsidRPr="00EA3792">
        <w:rPr>
          <w:rFonts w:ascii="Arial" w:eastAsia="+mn-ea" w:hAnsi="Arial" w:cs="Arial"/>
          <w:b/>
          <w:color w:val="000000"/>
          <w:kern w:val="24"/>
          <w:sz w:val="22"/>
        </w:rPr>
        <w:t xml:space="preserve">Table </w:t>
      </w:r>
      <w:r w:rsidR="00D17019">
        <w:rPr>
          <w:rFonts w:ascii="Arial" w:eastAsia="+mn-ea" w:hAnsi="Arial" w:cs="Arial"/>
          <w:b/>
          <w:color w:val="000000"/>
          <w:kern w:val="24"/>
          <w:sz w:val="22"/>
        </w:rPr>
        <w:t>7</w:t>
      </w:r>
      <w:r w:rsidR="00380CEF" w:rsidRPr="00EA3792">
        <w:rPr>
          <w:rFonts w:ascii="Arial" w:eastAsia="+mn-ea" w:hAnsi="Arial" w:cs="Arial"/>
          <w:b/>
          <w:color w:val="000000"/>
          <w:kern w:val="24"/>
          <w:sz w:val="22"/>
        </w:rPr>
        <w:t>.</w:t>
      </w:r>
      <w:r w:rsidR="00380CEF" w:rsidRPr="00EA3792">
        <w:rPr>
          <w:rFonts w:ascii="Arial" w:eastAsia="+mn-ea" w:hAnsi="Arial" w:cs="Arial"/>
          <w:color w:val="000000"/>
          <w:kern w:val="24"/>
          <w:sz w:val="22"/>
        </w:rPr>
        <w:t xml:space="preserve"> </w:t>
      </w:r>
      <w:r w:rsidR="00060D18">
        <w:rPr>
          <w:rFonts w:ascii="Arial" w:eastAsia="+mn-ea" w:hAnsi="Arial" w:cs="Arial"/>
          <w:color w:val="000000"/>
          <w:kern w:val="24"/>
          <w:sz w:val="22"/>
        </w:rPr>
        <w:t>Reclassification of Events</w:t>
      </w:r>
      <w:r w:rsidR="00380CEF" w:rsidRPr="00380CEF">
        <w:rPr>
          <w:rFonts w:ascii="Arial" w:eastAsia="+mn-ea" w:hAnsi="Arial" w:cs="Arial"/>
          <w:color w:val="000000"/>
          <w:kern w:val="24"/>
          <w:sz w:val="22"/>
        </w:rPr>
        <w:t xml:space="preserve"> for Risk Prediction Models for ASCVD in CKD</w:t>
      </w:r>
    </w:p>
    <w:tbl>
      <w:tblPr>
        <w:tblStyle w:val="TableGrid"/>
        <w:tblW w:w="14534" w:type="dxa"/>
        <w:tblLook w:val="04A0" w:firstRow="1" w:lastRow="0" w:firstColumn="1" w:lastColumn="0" w:noHBand="0" w:noVBand="1"/>
      </w:tblPr>
      <w:tblGrid>
        <w:gridCol w:w="1298"/>
        <w:gridCol w:w="1439"/>
        <w:gridCol w:w="1366"/>
        <w:gridCol w:w="1304"/>
        <w:gridCol w:w="1305"/>
        <w:gridCol w:w="1303"/>
        <w:gridCol w:w="1303"/>
        <w:gridCol w:w="1305"/>
        <w:gridCol w:w="1303"/>
        <w:gridCol w:w="1303"/>
        <w:gridCol w:w="1305"/>
      </w:tblGrid>
      <w:tr w:rsidR="002B34C6" w14:paraId="01D255F9" w14:textId="77777777" w:rsidTr="00060D18">
        <w:tc>
          <w:tcPr>
            <w:tcW w:w="1298" w:type="dxa"/>
            <w:tcBorders>
              <w:top w:val="nil"/>
              <w:left w:val="nil"/>
              <w:bottom w:val="nil"/>
              <w:right w:val="nil"/>
            </w:tcBorders>
            <w:vAlign w:val="center"/>
          </w:tcPr>
          <w:p w14:paraId="1F4016D4" w14:textId="77777777" w:rsidR="002B34C6" w:rsidRDefault="002B34C6" w:rsidP="00060D18">
            <w:pPr>
              <w:spacing w:before="40" w:after="40"/>
              <w:contextualSpacing w:val="0"/>
              <w:jc w:val="center"/>
              <w:rPr>
                <w:rFonts w:ascii="Arial" w:eastAsia="+mn-ea" w:hAnsi="Arial" w:cs="Arial"/>
                <w:color w:val="000000"/>
                <w:kern w:val="24"/>
                <w:sz w:val="22"/>
              </w:rPr>
            </w:pPr>
          </w:p>
        </w:tc>
        <w:tc>
          <w:tcPr>
            <w:tcW w:w="1439" w:type="dxa"/>
            <w:tcBorders>
              <w:top w:val="nil"/>
              <w:left w:val="nil"/>
              <w:bottom w:val="nil"/>
            </w:tcBorders>
            <w:vAlign w:val="center"/>
          </w:tcPr>
          <w:p w14:paraId="3B0BA230" w14:textId="77777777" w:rsidR="002B34C6" w:rsidRDefault="002B34C6" w:rsidP="00060D18">
            <w:pPr>
              <w:spacing w:before="40" w:after="40"/>
              <w:contextualSpacing w:val="0"/>
              <w:jc w:val="center"/>
              <w:rPr>
                <w:rFonts w:ascii="Arial" w:eastAsia="+mn-ea" w:hAnsi="Arial" w:cs="Arial"/>
                <w:color w:val="000000"/>
                <w:kern w:val="24"/>
                <w:sz w:val="22"/>
              </w:rPr>
            </w:pPr>
          </w:p>
        </w:tc>
        <w:tc>
          <w:tcPr>
            <w:tcW w:w="11797" w:type="dxa"/>
            <w:gridSpan w:val="9"/>
            <w:vAlign w:val="center"/>
          </w:tcPr>
          <w:p w14:paraId="7D31FD60" w14:textId="2A5233CF" w:rsidR="002B34C6" w:rsidRPr="002B34C6" w:rsidRDefault="002B34C6" w:rsidP="00060D18">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No. of Participants</w:t>
            </w:r>
            <w:r>
              <w:rPr>
                <w:rFonts w:ascii="Arial" w:eastAsia="+mn-ea" w:hAnsi="Arial" w:cs="Arial"/>
                <w:b/>
                <w:bCs/>
                <w:color w:val="000000"/>
                <w:kern w:val="24"/>
                <w:sz w:val="22"/>
              </w:rPr>
              <w:t xml:space="preserve"> Reclassified</w:t>
            </w:r>
          </w:p>
        </w:tc>
      </w:tr>
      <w:tr w:rsidR="002B34C6" w14:paraId="66BDF6DE" w14:textId="77777777" w:rsidTr="00060D18">
        <w:tc>
          <w:tcPr>
            <w:tcW w:w="1298" w:type="dxa"/>
            <w:tcBorders>
              <w:top w:val="nil"/>
              <w:left w:val="nil"/>
              <w:bottom w:val="nil"/>
              <w:right w:val="nil"/>
            </w:tcBorders>
            <w:vAlign w:val="center"/>
          </w:tcPr>
          <w:p w14:paraId="09E30020" w14:textId="77777777" w:rsidR="002B34C6" w:rsidRDefault="002B34C6" w:rsidP="00060D18">
            <w:pPr>
              <w:spacing w:before="40" w:after="40"/>
              <w:contextualSpacing w:val="0"/>
              <w:jc w:val="center"/>
              <w:rPr>
                <w:rFonts w:ascii="Arial" w:eastAsia="+mn-ea" w:hAnsi="Arial" w:cs="Arial"/>
                <w:color w:val="000000"/>
                <w:kern w:val="24"/>
                <w:sz w:val="22"/>
              </w:rPr>
            </w:pPr>
          </w:p>
        </w:tc>
        <w:tc>
          <w:tcPr>
            <w:tcW w:w="1439" w:type="dxa"/>
            <w:tcBorders>
              <w:top w:val="nil"/>
              <w:left w:val="nil"/>
            </w:tcBorders>
            <w:vAlign w:val="center"/>
          </w:tcPr>
          <w:p w14:paraId="64888398" w14:textId="77777777" w:rsidR="002B34C6" w:rsidRDefault="002B34C6" w:rsidP="00060D18">
            <w:pPr>
              <w:spacing w:before="40" w:after="40"/>
              <w:contextualSpacing w:val="0"/>
              <w:jc w:val="center"/>
              <w:rPr>
                <w:rFonts w:ascii="Arial" w:eastAsia="+mn-ea" w:hAnsi="Arial" w:cs="Arial"/>
                <w:color w:val="000000"/>
                <w:kern w:val="24"/>
                <w:sz w:val="22"/>
              </w:rPr>
            </w:pPr>
          </w:p>
        </w:tc>
        <w:tc>
          <w:tcPr>
            <w:tcW w:w="3975" w:type="dxa"/>
            <w:gridSpan w:val="3"/>
            <w:vAlign w:val="center"/>
          </w:tcPr>
          <w:p w14:paraId="3074D346" w14:textId="25D4AC87" w:rsidR="002B34C6" w:rsidRPr="002B34C6" w:rsidRDefault="002B34C6" w:rsidP="00060D18">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Model 1</w:t>
            </w:r>
          </w:p>
        </w:tc>
        <w:tc>
          <w:tcPr>
            <w:tcW w:w="3911" w:type="dxa"/>
            <w:gridSpan w:val="3"/>
            <w:vAlign w:val="center"/>
          </w:tcPr>
          <w:p w14:paraId="7DCB9B0C" w14:textId="7D48C1BC" w:rsidR="002B34C6" w:rsidRPr="002B34C6" w:rsidRDefault="002B34C6" w:rsidP="00060D18">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Model 2</w:t>
            </w:r>
          </w:p>
        </w:tc>
        <w:tc>
          <w:tcPr>
            <w:tcW w:w="3911" w:type="dxa"/>
            <w:gridSpan w:val="3"/>
            <w:vAlign w:val="center"/>
          </w:tcPr>
          <w:p w14:paraId="4B5DC0E5" w14:textId="0A34FDE8" w:rsidR="002B34C6" w:rsidRPr="002B34C6" w:rsidRDefault="002B34C6" w:rsidP="00060D18">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Model 3</w:t>
            </w:r>
          </w:p>
        </w:tc>
      </w:tr>
      <w:tr w:rsidR="00A15565" w14:paraId="4B052472" w14:textId="77777777" w:rsidTr="00060D18">
        <w:tc>
          <w:tcPr>
            <w:tcW w:w="1298" w:type="dxa"/>
            <w:tcBorders>
              <w:top w:val="nil"/>
              <w:left w:val="nil"/>
            </w:tcBorders>
            <w:vAlign w:val="center"/>
          </w:tcPr>
          <w:p w14:paraId="28B32C7C" w14:textId="77777777" w:rsidR="00A15565" w:rsidRDefault="00A15565" w:rsidP="00060D18">
            <w:pPr>
              <w:spacing w:before="40" w:after="40"/>
              <w:contextualSpacing w:val="0"/>
              <w:jc w:val="center"/>
              <w:rPr>
                <w:rFonts w:ascii="Arial" w:eastAsia="+mn-ea" w:hAnsi="Arial" w:cs="Arial"/>
                <w:color w:val="000000"/>
                <w:kern w:val="24"/>
                <w:sz w:val="22"/>
              </w:rPr>
            </w:pPr>
          </w:p>
        </w:tc>
        <w:tc>
          <w:tcPr>
            <w:tcW w:w="1439" w:type="dxa"/>
            <w:vAlign w:val="center"/>
          </w:tcPr>
          <w:p w14:paraId="7CBE5B13" w14:textId="4C2EF872" w:rsidR="00A15565" w:rsidRPr="00060D18" w:rsidRDefault="002B34C6" w:rsidP="00060D18">
            <w:pPr>
              <w:spacing w:before="40" w:after="40"/>
              <w:contextualSpacing w:val="0"/>
              <w:jc w:val="center"/>
              <w:rPr>
                <w:rFonts w:ascii="Arial" w:eastAsia="+mn-ea" w:hAnsi="Arial" w:cs="Arial"/>
                <w:i/>
                <w:iCs/>
                <w:color w:val="000000"/>
                <w:kern w:val="24"/>
                <w:sz w:val="22"/>
              </w:rPr>
            </w:pPr>
            <w:r w:rsidRPr="00060D18">
              <w:rPr>
                <w:rFonts w:ascii="Arial" w:eastAsia="+mn-ea" w:hAnsi="Arial" w:cs="Arial"/>
                <w:i/>
                <w:iCs/>
                <w:color w:val="000000"/>
                <w:kern w:val="24"/>
                <w:sz w:val="22"/>
              </w:rPr>
              <w:t>Cut</w:t>
            </w:r>
            <w:r w:rsidR="00477000" w:rsidRPr="00060D18">
              <w:rPr>
                <w:rFonts w:ascii="Arial" w:eastAsia="+mn-ea" w:hAnsi="Arial" w:cs="Arial"/>
                <w:i/>
                <w:iCs/>
                <w:color w:val="000000"/>
                <w:kern w:val="24"/>
                <w:sz w:val="22"/>
              </w:rPr>
              <w:t xml:space="preserve"> P</w:t>
            </w:r>
            <w:r w:rsidRPr="00060D18">
              <w:rPr>
                <w:rFonts w:ascii="Arial" w:eastAsia="+mn-ea" w:hAnsi="Arial" w:cs="Arial"/>
                <w:i/>
                <w:iCs/>
                <w:color w:val="000000"/>
                <w:kern w:val="24"/>
                <w:sz w:val="22"/>
              </w:rPr>
              <w:t>oints</w:t>
            </w:r>
          </w:p>
        </w:tc>
        <w:tc>
          <w:tcPr>
            <w:tcW w:w="1366" w:type="dxa"/>
            <w:tcBorders>
              <w:bottom w:val="single" w:sz="18" w:space="0" w:color="auto"/>
            </w:tcBorders>
            <w:vAlign w:val="center"/>
          </w:tcPr>
          <w:p w14:paraId="2DB8D36D" w14:textId="32E8E128" w:rsidR="00A15565" w:rsidRPr="00060D18" w:rsidRDefault="00A15565" w:rsidP="00060D18">
            <w:pPr>
              <w:spacing w:before="40" w:after="40"/>
              <w:contextualSpacing w:val="0"/>
              <w:jc w:val="center"/>
              <w:rPr>
                <w:rFonts w:ascii="Arial" w:eastAsia="+mn-ea" w:hAnsi="Arial" w:cs="Arial"/>
                <w:i/>
                <w:iCs/>
                <w:color w:val="000000"/>
                <w:kern w:val="24"/>
                <w:sz w:val="22"/>
              </w:rPr>
            </w:pPr>
            <w:r w:rsidRPr="00060D18">
              <w:rPr>
                <w:rFonts w:ascii="Arial" w:eastAsia="+mn-ea" w:hAnsi="Arial" w:cs="Arial"/>
                <w:i/>
                <w:iCs/>
                <w:color w:val="000000"/>
                <w:kern w:val="24"/>
                <w:sz w:val="22"/>
              </w:rPr>
              <w:t>&lt;7.5%</w:t>
            </w:r>
          </w:p>
        </w:tc>
        <w:tc>
          <w:tcPr>
            <w:tcW w:w="1304" w:type="dxa"/>
            <w:tcBorders>
              <w:bottom w:val="single" w:sz="18" w:space="0" w:color="auto"/>
            </w:tcBorders>
            <w:vAlign w:val="center"/>
          </w:tcPr>
          <w:p w14:paraId="2693C940" w14:textId="01838000" w:rsidR="00A15565" w:rsidRPr="00060D18" w:rsidRDefault="00A15565" w:rsidP="00060D18">
            <w:pPr>
              <w:spacing w:before="40" w:after="40"/>
              <w:contextualSpacing w:val="0"/>
              <w:jc w:val="center"/>
              <w:rPr>
                <w:rFonts w:ascii="Arial" w:eastAsia="+mn-ea" w:hAnsi="Arial" w:cs="Arial"/>
                <w:i/>
                <w:iCs/>
                <w:color w:val="000000"/>
                <w:kern w:val="24"/>
                <w:sz w:val="22"/>
              </w:rPr>
            </w:pPr>
            <w:r w:rsidRPr="00060D18">
              <w:rPr>
                <w:rFonts w:ascii="Arial" w:eastAsia="+mn-ea" w:hAnsi="Arial" w:cs="Arial"/>
                <w:i/>
                <w:iCs/>
                <w:color w:val="000000"/>
                <w:kern w:val="24"/>
                <w:sz w:val="22"/>
              </w:rPr>
              <w:t>7.5-19.9%</w:t>
            </w:r>
          </w:p>
        </w:tc>
        <w:tc>
          <w:tcPr>
            <w:tcW w:w="1305" w:type="dxa"/>
            <w:tcBorders>
              <w:bottom w:val="single" w:sz="18" w:space="0" w:color="auto"/>
            </w:tcBorders>
            <w:vAlign w:val="center"/>
          </w:tcPr>
          <w:p w14:paraId="0E9C6F20" w14:textId="2A4C27CA" w:rsidR="00A15565" w:rsidRPr="00060D18" w:rsidRDefault="00A15565" w:rsidP="00060D18">
            <w:pPr>
              <w:spacing w:before="40" w:after="40"/>
              <w:contextualSpacing w:val="0"/>
              <w:jc w:val="center"/>
              <w:rPr>
                <w:rFonts w:ascii="Arial" w:eastAsia="+mn-ea" w:hAnsi="Arial" w:cs="Arial"/>
                <w:i/>
                <w:iCs/>
                <w:color w:val="000000"/>
                <w:kern w:val="24"/>
                <w:sz w:val="22"/>
              </w:rPr>
            </w:pPr>
            <w:r w:rsidRPr="00060D18">
              <w:rPr>
                <w:rFonts w:ascii="Arial" w:eastAsia="+mn-ea" w:hAnsi="Arial" w:cs="Arial"/>
                <w:i/>
                <w:iCs/>
                <w:color w:val="000000"/>
                <w:kern w:val="24"/>
                <w:sz w:val="22"/>
              </w:rPr>
              <w:t>≥20.0%</w:t>
            </w:r>
          </w:p>
        </w:tc>
        <w:tc>
          <w:tcPr>
            <w:tcW w:w="1303" w:type="dxa"/>
            <w:tcBorders>
              <w:bottom w:val="single" w:sz="18" w:space="0" w:color="auto"/>
            </w:tcBorders>
            <w:vAlign w:val="center"/>
          </w:tcPr>
          <w:p w14:paraId="225FCE0F" w14:textId="3E99C688" w:rsidR="00A15565" w:rsidRPr="00060D18" w:rsidRDefault="00A15565" w:rsidP="00060D18">
            <w:pPr>
              <w:spacing w:before="40" w:after="40"/>
              <w:contextualSpacing w:val="0"/>
              <w:jc w:val="center"/>
              <w:rPr>
                <w:rFonts w:ascii="Arial" w:eastAsia="+mn-ea" w:hAnsi="Arial" w:cs="Arial"/>
                <w:i/>
                <w:iCs/>
                <w:color w:val="000000"/>
                <w:kern w:val="24"/>
                <w:sz w:val="22"/>
              </w:rPr>
            </w:pPr>
            <w:r w:rsidRPr="00060D18">
              <w:rPr>
                <w:rFonts w:ascii="Arial" w:eastAsia="+mn-ea" w:hAnsi="Arial" w:cs="Arial"/>
                <w:i/>
                <w:iCs/>
                <w:color w:val="000000"/>
                <w:kern w:val="24"/>
                <w:sz w:val="22"/>
              </w:rPr>
              <w:t>&lt;7.5%</w:t>
            </w:r>
          </w:p>
        </w:tc>
        <w:tc>
          <w:tcPr>
            <w:tcW w:w="1303" w:type="dxa"/>
            <w:tcBorders>
              <w:bottom w:val="single" w:sz="18" w:space="0" w:color="auto"/>
            </w:tcBorders>
            <w:vAlign w:val="center"/>
          </w:tcPr>
          <w:p w14:paraId="5070C81A" w14:textId="2C622CD8" w:rsidR="00A15565" w:rsidRPr="00060D18" w:rsidRDefault="00A15565" w:rsidP="00060D18">
            <w:pPr>
              <w:spacing w:before="40" w:after="40"/>
              <w:contextualSpacing w:val="0"/>
              <w:jc w:val="center"/>
              <w:rPr>
                <w:rFonts w:ascii="Arial" w:eastAsia="+mn-ea" w:hAnsi="Arial" w:cs="Arial"/>
                <w:i/>
                <w:iCs/>
                <w:color w:val="000000"/>
                <w:kern w:val="24"/>
                <w:sz w:val="22"/>
              </w:rPr>
            </w:pPr>
            <w:r w:rsidRPr="00060D18">
              <w:rPr>
                <w:rFonts w:ascii="Arial" w:eastAsia="+mn-ea" w:hAnsi="Arial" w:cs="Arial"/>
                <w:i/>
                <w:iCs/>
                <w:color w:val="000000"/>
                <w:kern w:val="24"/>
                <w:sz w:val="22"/>
              </w:rPr>
              <w:t>7.5-19.9%</w:t>
            </w:r>
          </w:p>
        </w:tc>
        <w:tc>
          <w:tcPr>
            <w:tcW w:w="1305" w:type="dxa"/>
            <w:tcBorders>
              <w:bottom w:val="single" w:sz="18" w:space="0" w:color="auto"/>
            </w:tcBorders>
            <w:vAlign w:val="center"/>
          </w:tcPr>
          <w:p w14:paraId="11B95F32" w14:textId="4D5F215A" w:rsidR="00A15565" w:rsidRPr="00060D18" w:rsidRDefault="00A15565" w:rsidP="00060D18">
            <w:pPr>
              <w:spacing w:before="40" w:after="40"/>
              <w:contextualSpacing w:val="0"/>
              <w:jc w:val="center"/>
              <w:rPr>
                <w:rFonts w:ascii="Arial" w:eastAsia="+mn-ea" w:hAnsi="Arial" w:cs="Arial"/>
                <w:i/>
                <w:iCs/>
                <w:color w:val="000000"/>
                <w:kern w:val="24"/>
                <w:sz w:val="22"/>
              </w:rPr>
            </w:pPr>
            <w:r w:rsidRPr="00060D18">
              <w:rPr>
                <w:rFonts w:ascii="Arial" w:eastAsia="+mn-ea" w:hAnsi="Arial" w:cs="Arial"/>
                <w:i/>
                <w:iCs/>
                <w:color w:val="000000"/>
                <w:kern w:val="24"/>
                <w:sz w:val="22"/>
              </w:rPr>
              <w:t>≥20.0%</w:t>
            </w:r>
          </w:p>
        </w:tc>
        <w:tc>
          <w:tcPr>
            <w:tcW w:w="1303" w:type="dxa"/>
            <w:tcBorders>
              <w:bottom w:val="single" w:sz="18" w:space="0" w:color="auto"/>
            </w:tcBorders>
            <w:vAlign w:val="center"/>
          </w:tcPr>
          <w:p w14:paraId="0F85BB29" w14:textId="788E26AE" w:rsidR="00A15565" w:rsidRPr="00060D18" w:rsidRDefault="00A15565" w:rsidP="00060D18">
            <w:pPr>
              <w:spacing w:before="40" w:after="40"/>
              <w:contextualSpacing w:val="0"/>
              <w:jc w:val="center"/>
              <w:rPr>
                <w:rFonts w:ascii="Arial" w:eastAsia="+mn-ea" w:hAnsi="Arial" w:cs="Arial"/>
                <w:i/>
                <w:iCs/>
                <w:color w:val="000000"/>
                <w:kern w:val="24"/>
                <w:sz w:val="22"/>
              </w:rPr>
            </w:pPr>
            <w:r w:rsidRPr="00060D18">
              <w:rPr>
                <w:rFonts w:ascii="Arial" w:eastAsia="+mn-ea" w:hAnsi="Arial" w:cs="Arial"/>
                <w:i/>
                <w:iCs/>
                <w:color w:val="000000"/>
                <w:kern w:val="24"/>
                <w:sz w:val="22"/>
              </w:rPr>
              <w:t>&lt;7.5%</w:t>
            </w:r>
          </w:p>
        </w:tc>
        <w:tc>
          <w:tcPr>
            <w:tcW w:w="1303" w:type="dxa"/>
            <w:tcBorders>
              <w:bottom w:val="single" w:sz="18" w:space="0" w:color="auto"/>
            </w:tcBorders>
            <w:vAlign w:val="center"/>
          </w:tcPr>
          <w:p w14:paraId="1869DE00" w14:textId="006ED6C7" w:rsidR="00A15565" w:rsidRPr="00060D18" w:rsidRDefault="00A15565" w:rsidP="00060D18">
            <w:pPr>
              <w:spacing w:before="40" w:after="40"/>
              <w:contextualSpacing w:val="0"/>
              <w:jc w:val="center"/>
              <w:rPr>
                <w:rFonts w:ascii="Arial" w:eastAsia="+mn-ea" w:hAnsi="Arial" w:cs="Arial"/>
                <w:i/>
                <w:iCs/>
                <w:color w:val="000000"/>
                <w:kern w:val="24"/>
                <w:sz w:val="22"/>
              </w:rPr>
            </w:pPr>
            <w:r w:rsidRPr="00060D18">
              <w:rPr>
                <w:rFonts w:ascii="Arial" w:eastAsia="+mn-ea" w:hAnsi="Arial" w:cs="Arial"/>
                <w:i/>
                <w:iCs/>
                <w:color w:val="000000"/>
                <w:kern w:val="24"/>
                <w:sz w:val="22"/>
              </w:rPr>
              <w:t>7.5-19.9%</w:t>
            </w:r>
          </w:p>
        </w:tc>
        <w:tc>
          <w:tcPr>
            <w:tcW w:w="1305" w:type="dxa"/>
            <w:tcBorders>
              <w:bottom w:val="single" w:sz="18" w:space="0" w:color="auto"/>
            </w:tcBorders>
            <w:vAlign w:val="center"/>
          </w:tcPr>
          <w:p w14:paraId="30767221" w14:textId="3732439F" w:rsidR="00A15565" w:rsidRPr="00060D18" w:rsidRDefault="00A15565" w:rsidP="00060D18">
            <w:pPr>
              <w:spacing w:before="40" w:after="40"/>
              <w:contextualSpacing w:val="0"/>
              <w:jc w:val="center"/>
              <w:rPr>
                <w:rFonts w:ascii="Arial" w:eastAsia="+mn-ea" w:hAnsi="Arial" w:cs="Arial"/>
                <w:i/>
                <w:iCs/>
                <w:color w:val="000000"/>
                <w:kern w:val="24"/>
                <w:sz w:val="22"/>
              </w:rPr>
            </w:pPr>
            <w:r w:rsidRPr="00060D18">
              <w:rPr>
                <w:rFonts w:ascii="Arial" w:eastAsia="+mn-ea" w:hAnsi="Arial" w:cs="Arial"/>
                <w:i/>
                <w:iCs/>
                <w:color w:val="000000"/>
                <w:kern w:val="24"/>
                <w:sz w:val="22"/>
              </w:rPr>
              <w:t>≥20.0%</w:t>
            </w:r>
          </w:p>
        </w:tc>
      </w:tr>
      <w:tr w:rsidR="007A620C" w14:paraId="70E2CEDB" w14:textId="77777777" w:rsidTr="00060D18">
        <w:tc>
          <w:tcPr>
            <w:tcW w:w="1298" w:type="dxa"/>
            <w:vMerge w:val="restart"/>
            <w:vAlign w:val="center"/>
          </w:tcPr>
          <w:p w14:paraId="7D38DBF0" w14:textId="50B4CA5A" w:rsidR="007A620C" w:rsidRPr="002B34C6" w:rsidRDefault="007A620C" w:rsidP="007A620C">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ACC/AHA</w:t>
            </w:r>
            <w:r w:rsidRPr="002B34C6">
              <w:rPr>
                <w:rFonts w:ascii="Arial" w:eastAsia="+mn-ea" w:hAnsi="Arial" w:cs="Arial"/>
                <w:b/>
                <w:bCs/>
                <w:color w:val="000000"/>
                <w:kern w:val="24"/>
                <w:sz w:val="22"/>
              </w:rPr>
              <w:br/>
              <w:t>PCEs</w:t>
            </w:r>
          </w:p>
        </w:tc>
        <w:tc>
          <w:tcPr>
            <w:tcW w:w="1439" w:type="dxa"/>
            <w:tcBorders>
              <w:right w:val="single" w:sz="18" w:space="0" w:color="auto"/>
            </w:tcBorders>
            <w:vAlign w:val="center"/>
          </w:tcPr>
          <w:p w14:paraId="3C9AFC82" w14:textId="0A838C9F"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&lt;7.5%</w:t>
            </w:r>
          </w:p>
        </w:tc>
        <w:tc>
          <w:tcPr>
            <w:tcW w:w="1366" w:type="dxa"/>
            <w:tcBorders>
              <w:top w:val="single" w:sz="18" w:space="0" w:color="auto"/>
              <w:left w:val="single" w:sz="18" w:space="0" w:color="auto"/>
            </w:tcBorders>
            <w:vAlign w:val="center"/>
          </w:tcPr>
          <w:p w14:paraId="095A8605" w14:textId="74199670"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30</w:t>
            </w:r>
          </w:p>
        </w:tc>
        <w:tc>
          <w:tcPr>
            <w:tcW w:w="1304" w:type="dxa"/>
            <w:tcBorders>
              <w:top w:val="single" w:sz="18" w:space="0" w:color="auto"/>
            </w:tcBorders>
            <w:vAlign w:val="center"/>
          </w:tcPr>
          <w:p w14:paraId="70D433B9" w14:textId="14AD2F71"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17</w:t>
            </w:r>
          </w:p>
        </w:tc>
        <w:tc>
          <w:tcPr>
            <w:tcW w:w="1305" w:type="dxa"/>
            <w:tcBorders>
              <w:top w:val="single" w:sz="18" w:space="0" w:color="auto"/>
              <w:right w:val="single" w:sz="18" w:space="0" w:color="auto"/>
            </w:tcBorders>
            <w:vAlign w:val="center"/>
          </w:tcPr>
          <w:p w14:paraId="17D12C1B" w14:textId="5301B321"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0</w:t>
            </w:r>
          </w:p>
        </w:tc>
        <w:tc>
          <w:tcPr>
            <w:tcW w:w="1303" w:type="dxa"/>
            <w:tcBorders>
              <w:top w:val="single" w:sz="18" w:space="0" w:color="auto"/>
              <w:left w:val="single" w:sz="18" w:space="0" w:color="auto"/>
            </w:tcBorders>
            <w:vAlign w:val="center"/>
          </w:tcPr>
          <w:p w14:paraId="4E95D0DD" w14:textId="0341D1DB"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27</w:t>
            </w:r>
          </w:p>
        </w:tc>
        <w:tc>
          <w:tcPr>
            <w:tcW w:w="1303" w:type="dxa"/>
            <w:tcBorders>
              <w:top w:val="single" w:sz="18" w:space="0" w:color="auto"/>
            </w:tcBorders>
            <w:vAlign w:val="center"/>
          </w:tcPr>
          <w:p w14:paraId="647A8BF2" w14:textId="0F1C825F"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14</w:t>
            </w:r>
          </w:p>
        </w:tc>
        <w:tc>
          <w:tcPr>
            <w:tcW w:w="1305" w:type="dxa"/>
            <w:tcBorders>
              <w:top w:val="single" w:sz="18" w:space="0" w:color="auto"/>
              <w:right w:val="single" w:sz="18" w:space="0" w:color="auto"/>
            </w:tcBorders>
            <w:vAlign w:val="center"/>
          </w:tcPr>
          <w:p w14:paraId="4C579EB3" w14:textId="53C238C0"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w:t>
            </w:r>
          </w:p>
        </w:tc>
        <w:tc>
          <w:tcPr>
            <w:tcW w:w="1303" w:type="dxa"/>
            <w:tcBorders>
              <w:top w:val="single" w:sz="18" w:space="0" w:color="auto"/>
              <w:left w:val="single" w:sz="18" w:space="0" w:color="auto"/>
            </w:tcBorders>
            <w:vAlign w:val="center"/>
          </w:tcPr>
          <w:p w14:paraId="5870266C" w14:textId="5D07FE1B"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24</w:t>
            </w:r>
          </w:p>
        </w:tc>
        <w:tc>
          <w:tcPr>
            <w:tcW w:w="1303" w:type="dxa"/>
            <w:tcBorders>
              <w:top w:val="single" w:sz="18" w:space="0" w:color="auto"/>
            </w:tcBorders>
            <w:vAlign w:val="center"/>
          </w:tcPr>
          <w:p w14:paraId="617EDE91" w14:textId="16AC4247"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14</w:t>
            </w:r>
          </w:p>
        </w:tc>
        <w:tc>
          <w:tcPr>
            <w:tcW w:w="1305" w:type="dxa"/>
            <w:tcBorders>
              <w:top w:val="single" w:sz="18" w:space="0" w:color="auto"/>
              <w:right w:val="single" w:sz="18" w:space="0" w:color="auto"/>
            </w:tcBorders>
            <w:vAlign w:val="center"/>
          </w:tcPr>
          <w:p w14:paraId="5B2D38A4" w14:textId="697769EB"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9</w:t>
            </w:r>
          </w:p>
        </w:tc>
      </w:tr>
      <w:tr w:rsidR="007A620C" w14:paraId="140522DF" w14:textId="77777777" w:rsidTr="00060D18">
        <w:tc>
          <w:tcPr>
            <w:tcW w:w="1298" w:type="dxa"/>
            <w:vMerge/>
            <w:vAlign w:val="center"/>
          </w:tcPr>
          <w:p w14:paraId="48269B3F" w14:textId="77777777" w:rsidR="007A620C" w:rsidRPr="002B34C6" w:rsidRDefault="007A620C" w:rsidP="007A620C">
            <w:pPr>
              <w:spacing w:before="40" w:after="40"/>
              <w:contextualSpacing w:val="0"/>
              <w:jc w:val="center"/>
              <w:rPr>
                <w:rFonts w:ascii="Arial" w:eastAsia="+mn-ea" w:hAnsi="Arial" w:cs="Arial"/>
                <w:b/>
                <w:bCs/>
                <w:color w:val="000000"/>
                <w:kern w:val="24"/>
                <w:sz w:val="22"/>
              </w:rPr>
            </w:pPr>
          </w:p>
        </w:tc>
        <w:tc>
          <w:tcPr>
            <w:tcW w:w="1439" w:type="dxa"/>
            <w:tcBorders>
              <w:right w:val="single" w:sz="18" w:space="0" w:color="auto"/>
            </w:tcBorders>
            <w:vAlign w:val="center"/>
          </w:tcPr>
          <w:p w14:paraId="46874D9A" w14:textId="25DF4385"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7.5-19.9%</w:t>
            </w:r>
          </w:p>
        </w:tc>
        <w:tc>
          <w:tcPr>
            <w:tcW w:w="1366" w:type="dxa"/>
            <w:tcBorders>
              <w:left w:val="single" w:sz="18" w:space="0" w:color="auto"/>
            </w:tcBorders>
            <w:vAlign w:val="center"/>
          </w:tcPr>
          <w:p w14:paraId="0C1EAB1D" w14:textId="25274B31"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w:t>
            </w:r>
          </w:p>
        </w:tc>
        <w:tc>
          <w:tcPr>
            <w:tcW w:w="1304" w:type="dxa"/>
            <w:vAlign w:val="center"/>
          </w:tcPr>
          <w:p w14:paraId="0F97283E" w14:textId="6F7C6313"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82</w:t>
            </w:r>
          </w:p>
        </w:tc>
        <w:tc>
          <w:tcPr>
            <w:tcW w:w="1305" w:type="dxa"/>
            <w:tcBorders>
              <w:right w:val="single" w:sz="18" w:space="0" w:color="auto"/>
            </w:tcBorders>
            <w:vAlign w:val="center"/>
          </w:tcPr>
          <w:p w14:paraId="34EF888C" w14:textId="11F1CCA9"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7</w:t>
            </w:r>
          </w:p>
        </w:tc>
        <w:tc>
          <w:tcPr>
            <w:tcW w:w="1303" w:type="dxa"/>
            <w:tcBorders>
              <w:left w:val="single" w:sz="18" w:space="0" w:color="auto"/>
            </w:tcBorders>
            <w:vAlign w:val="center"/>
          </w:tcPr>
          <w:p w14:paraId="64563B46" w14:textId="04453382"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w:t>
            </w:r>
          </w:p>
        </w:tc>
        <w:tc>
          <w:tcPr>
            <w:tcW w:w="1303" w:type="dxa"/>
            <w:vAlign w:val="center"/>
          </w:tcPr>
          <w:p w14:paraId="5B2CD328" w14:textId="6DD5B9F9"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63</w:t>
            </w:r>
          </w:p>
        </w:tc>
        <w:tc>
          <w:tcPr>
            <w:tcW w:w="1305" w:type="dxa"/>
            <w:tcBorders>
              <w:right w:val="single" w:sz="18" w:space="0" w:color="auto"/>
            </w:tcBorders>
            <w:vAlign w:val="center"/>
          </w:tcPr>
          <w:p w14:paraId="61AD807E" w14:textId="3B4C64B1"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21</w:t>
            </w:r>
          </w:p>
        </w:tc>
        <w:tc>
          <w:tcPr>
            <w:tcW w:w="1303" w:type="dxa"/>
            <w:tcBorders>
              <w:left w:val="single" w:sz="18" w:space="0" w:color="auto"/>
            </w:tcBorders>
            <w:vAlign w:val="center"/>
          </w:tcPr>
          <w:p w14:paraId="58274F3E" w14:textId="7CBFAF0B"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w:t>
            </w:r>
          </w:p>
        </w:tc>
        <w:tc>
          <w:tcPr>
            <w:tcW w:w="1303" w:type="dxa"/>
            <w:vAlign w:val="center"/>
          </w:tcPr>
          <w:p w14:paraId="7717E5D2" w14:textId="60AB238B"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58</w:t>
            </w:r>
          </w:p>
        </w:tc>
        <w:tc>
          <w:tcPr>
            <w:tcW w:w="1305" w:type="dxa"/>
            <w:tcBorders>
              <w:right w:val="single" w:sz="18" w:space="0" w:color="auto"/>
            </w:tcBorders>
            <w:vAlign w:val="center"/>
          </w:tcPr>
          <w:p w14:paraId="6AD8A37F" w14:textId="207F70BA"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26</w:t>
            </w:r>
          </w:p>
        </w:tc>
      </w:tr>
      <w:tr w:rsidR="007A620C" w14:paraId="47A51F01" w14:textId="77777777" w:rsidTr="00060D18">
        <w:tc>
          <w:tcPr>
            <w:tcW w:w="1298" w:type="dxa"/>
            <w:vMerge/>
            <w:vAlign w:val="center"/>
          </w:tcPr>
          <w:p w14:paraId="24176F80" w14:textId="77777777" w:rsidR="007A620C" w:rsidRPr="002B34C6" w:rsidRDefault="007A620C" w:rsidP="007A620C">
            <w:pPr>
              <w:spacing w:before="40" w:after="40"/>
              <w:contextualSpacing w:val="0"/>
              <w:jc w:val="center"/>
              <w:rPr>
                <w:rFonts w:ascii="Arial" w:eastAsia="+mn-ea" w:hAnsi="Arial" w:cs="Arial"/>
                <w:b/>
                <w:bCs/>
                <w:color w:val="000000"/>
                <w:kern w:val="24"/>
                <w:sz w:val="22"/>
              </w:rPr>
            </w:pPr>
          </w:p>
        </w:tc>
        <w:tc>
          <w:tcPr>
            <w:tcW w:w="1439" w:type="dxa"/>
            <w:tcBorders>
              <w:right w:val="single" w:sz="18" w:space="0" w:color="auto"/>
            </w:tcBorders>
            <w:vAlign w:val="center"/>
          </w:tcPr>
          <w:p w14:paraId="00F97B89" w14:textId="5A963A50"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≥20.0%</w:t>
            </w:r>
          </w:p>
        </w:tc>
        <w:tc>
          <w:tcPr>
            <w:tcW w:w="1366" w:type="dxa"/>
            <w:tcBorders>
              <w:left w:val="single" w:sz="18" w:space="0" w:color="auto"/>
              <w:bottom w:val="single" w:sz="18" w:space="0" w:color="auto"/>
            </w:tcBorders>
            <w:vAlign w:val="center"/>
          </w:tcPr>
          <w:p w14:paraId="321D349A" w14:textId="54145241"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0</w:t>
            </w:r>
          </w:p>
        </w:tc>
        <w:tc>
          <w:tcPr>
            <w:tcW w:w="1304" w:type="dxa"/>
            <w:tcBorders>
              <w:bottom w:val="single" w:sz="18" w:space="0" w:color="auto"/>
            </w:tcBorders>
            <w:vAlign w:val="center"/>
          </w:tcPr>
          <w:p w14:paraId="2577CD24" w14:textId="2AA47AC8"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48</w:t>
            </w:r>
          </w:p>
        </w:tc>
        <w:tc>
          <w:tcPr>
            <w:tcW w:w="1305" w:type="dxa"/>
            <w:tcBorders>
              <w:bottom w:val="single" w:sz="18" w:space="0" w:color="auto"/>
              <w:right w:val="single" w:sz="18" w:space="0" w:color="auto"/>
            </w:tcBorders>
            <w:vAlign w:val="center"/>
          </w:tcPr>
          <w:p w14:paraId="0005A5B7" w14:textId="0307051B"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67</w:t>
            </w:r>
          </w:p>
        </w:tc>
        <w:tc>
          <w:tcPr>
            <w:tcW w:w="1303" w:type="dxa"/>
            <w:tcBorders>
              <w:left w:val="single" w:sz="18" w:space="0" w:color="auto"/>
              <w:bottom w:val="single" w:sz="18" w:space="0" w:color="auto"/>
            </w:tcBorders>
            <w:vAlign w:val="center"/>
          </w:tcPr>
          <w:p w14:paraId="73B30377" w14:textId="3F5B83FF"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3</w:t>
            </w:r>
          </w:p>
        </w:tc>
        <w:tc>
          <w:tcPr>
            <w:tcW w:w="1303" w:type="dxa"/>
            <w:tcBorders>
              <w:bottom w:val="single" w:sz="18" w:space="0" w:color="auto"/>
            </w:tcBorders>
            <w:vAlign w:val="center"/>
          </w:tcPr>
          <w:p w14:paraId="3598EFF5" w14:textId="34E3A767"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43</w:t>
            </w:r>
          </w:p>
        </w:tc>
        <w:tc>
          <w:tcPr>
            <w:tcW w:w="1305" w:type="dxa"/>
            <w:tcBorders>
              <w:bottom w:val="single" w:sz="18" w:space="0" w:color="auto"/>
              <w:right w:val="single" w:sz="18" w:space="0" w:color="auto"/>
            </w:tcBorders>
            <w:vAlign w:val="center"/>
          </w:tcPr>
          <w:p w14:paraId="473A57DB" w14:textId="1C99FC20"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69</w:t>
            </w:r>
          </w:p>
        </w:tc>
        <w:tc>
          <w:tcPr>
            <w:tcW w:w="1303" w:type="dxa"/>
            <w:tcBorders>
              <w:left w:val="single" w:sz="18" w:space="0" w:color="auto"/>
              <w:bottom w:val="single" w:sz="18" w:space="0" w:color="auto"/>
            </w:tcBorders>
            <w:vAlign w:val="center"/>
          </w:tcPr>
          <w:p w14:paraId="24493BD6" w14:textId="5A6A2C11"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0</w:t>
            </w:r>
          </w:p>
        </w:tc>
        <w:tc>
          <w:tcPr>
            <w:tcW w:w="1303" w:type="dxa"/>
            <w:tcBorders>
              <w:bottom w:val="single" w:sz="18" w:space="0" w:color="auto"/>
            </w:tcBorders>
            <w:vAlign w:val="center"/>
          </w:tcPr>
          <w:p w14:paraId="28893AF7" w14:textId="36297D37"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45</w:t>
            </w:r>
          </w:p>
        </w:tc>
        <w:tc>
          <w:tcPr>
            <w:tcW w:w="1305" w:type="dxa"/>
            <w:tcBorders>
              <w:bottom w:val="single" w:sz="18" w:space="0" w:color="auto"/>
              <w:right w:val="single" w:sz="18" w:space="0" w:color="auto"/>
            </w:tcBorders>
            <w:vAlign w:val="center"/>
          </w:tcPr>
          <w:p w14:paraId="33A7CE61" w14:textId="70B5762D"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70</w:t>
            </w:r>
          </w:p>
        </w:tc>
      </w:tr>
      <w:tr w:rsidR="007A620C" w14:paraId="3B5E9C34" w14:textId="77777777" w:rsidTr="007A620C">
        <w:tc>
          <w:tcPr>
            <w:tcW w:w="1298" w:type="dxa"/>
            <w:vMerge w:val="restart"/>
            <w:vAlign w:val="center"/>
          </w:tcPr>
          <w:p w14:paraId="24A332F2" w14:textId="1AB25EDD" w:rsidR="007A620C" w:rsidRPr="002B34C6" w:rsidRDefault="007A620C" w:rsidP="007A620C">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Model 1</w:t>
            </w:r>
          </w:p>
        </w:tc>
        <w:tc>
          <w:tcPr>
            <w:tcW w:w="1439" w:type="dxa"/>
            <w:vAlign w:val="center"/>
          </w:tcPr>
          <w:p w14:paraId="1D47E850" w14:textId="568DB2C2"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&lt;7.5%</w:t>
            </w:r>
          </w:p>
        </w:tc>
        <w:tc>
          <w:tcPr>
            <w:tcW w:w="1366" w:type="dxa"/>
            <w:tcBorders>
              <w:top w:val="single" w:sz="18" w:space="0" w:color="auto"/>
            </w:tcBorders>
            <w:shd w:val="clear" w:color="auto" w:fill="E7E6E6" w:themeFill="background2"/>
            <w:vAlign w:val="center"/>
          </w:tcPr>
          <w:p w14:paraId="23E62FA1" w14:textId="7E04E812" w:rsidR="007A620C" w:rsidRDefault="007A620C" w:rsidP="007A620C">
            <w:pPr>
              <w:spacing w:before="40" w:after="40"/>
              <w:contextualSpacing w:val="0"/>
              <w:jc w:val="center"/>
              <w:rPr>
                <w:rFonts w:ascii="Arial" w:eastAsia="+mn-ea" w:hAnsi="Arial" w:cs="Arial"/>
                <w:color w:val="000000"/>
                <w:kern w:val="24"/>
                <w:sz w:val="22"/>
              </w:rPr>
            </w:pPr>
          </w:p>
        </w:tc>
        <w:tc>
          <w:tcPr>
            <w:tcW w:w="1304" w:type="dxa"/>
            <w:tcBorders>
              <w:top w:val="single" w:sz="18" w:space="0" w:color="auto"/>
            </w:tcBorders>
            <w:shd w:val="clear" w:color="auto" w:fill="E7E6E6" w:themeFill="background2"/>
            <w:vAlign w:val="center"/>
          </w:tcPr>
          <w:p w14:paraId="50BDF26D"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tcBorders>
              <w:top w:val="single" w:sz="18" w:space="0" w:color="auto"/>
              <w:right w:val="single" w:sz="18" w:space="0" w:color="auto"/>
            </w:tcBorders>
            <w:shd w:val="clear" w:color="auto" w:fill="E7E6E6" w:themeFill="background2"/>
            <w:vAlign w:val="center"/>
          </w:tcPr>
          <w:p w14:paraId="220A2F9E"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top w:val="single" w:sz="18" w:space="0" w:color="auto"/>
              <w:left w:val="single" w:sz="18" w:space="0" w:color="auto"/>
            </w:tcBorders>
            <w:vAlign w:val="center"/>
          </w:tcPr>
          <w:p w14:paraId="7BD18913" w14:textId="7C839C52"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23</w:t>
            </w:r>
          </w:p>
        </w:tc>
        <w:tc>
          <w:tcPr>
            <w:tcW w:w="1303" w:type="dxa"/>
            <w:tcBorders>
              <w:top w:val="single" w:sz="18" w:space="0" w:color="auto"/>
            </w:tcBorders>
            <w:vAlign w:val="center"/>
          </w:tcPr>
          <w:p w14:paraId="3084A573" w14:textId="6010FF48"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8</w:t>
            </w:r>
          </w:p>
        </w:tc>
        <w:tc>
          <w:tcPr>
            <w:tcW w:w="1305" w:type="dxa"/>
            <w:tcBorders>
              <w:top w:val="single" w:sz="18" w:space="0" w:color="auto"/>
              <w:right w:val="single" w:sz="18" w:space="0" w:color="auto"/>
            </w:tcBorders>
            <w:vAlign w:val="center"/>
          </w:tcPr>
          <w:p w14:paraId="6BCBF6E1" w14:textId="071E52FD"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0</w:t>
            </w:r>
          </w:p>
        </w:tc>
        <w:tc>
          <w:tcPr>
            <w:tcW w:w="1303" w:type="dxa"/>
            <w:tcBorders>
              <w:top w:val="single" w:sz="18" w:space="0" w:color="auto"/>
              <w:left w:val="single" w:sz="18" w:space="0" w:color="auto"/>
            </w:tcBorders>
            <w:shd w:val="clear" w:color="auto" w:fill="auto"/>
            <w:vAlign w:val="center"/>
          </w:tcPr>
          <w:p w14:paraId="0ACB083B" w14:textId="556496B7"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20</w:t>
            </w:r>
          </w:p>
        </w:tc>
        <w:tc>
          <w:tcPr>
            <w:tcW w:w="1303" w:type="dxa"/>
            <w:tcBorders>
              <w:top w:val="single" w:sz="18" w:space="0" w:color="auto"/>
            </w:tcBorders>
            <w:shd w:val="clear" w:color="auto" w:fill="auto"/>
            <w:vAlign w:val="center"/>
          </w:tcPr>
          <w:p w14:paraId="2A0787E4" w14:textId="2CAB05E4"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10</w:t>
            </w:r>
          </w:p>
        </w:tc>
        <w:tc>
          <w:tcPr>
            <w:tcW w:w="1305" w:type="dxa"/>
            <w:tcBorders>
              <w:top w:val="single" w:sz="18" w:space="0" w:color="auto"/>
              <w:right w:val="single" w:sz="18" w:space="0" w:color="auto"/>
            </w:tcBorders>
            <w:shd w:val="clear" w:color="auto" w:fill="auto"/>
            <w:vAlign w:val="center"/>
          </w:tcPr>
          <w:p w14:paraId="7DF5021A" w14:textId="06045036"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w:t>
            </w:r>
          </w:p>
        </w:tc>
      </w:tr>
      <w:tr w:rsidR="007A620C" w14:paraId="4CD614C1" w14:textId="77777777" w:rsidTr="007A620C">
        <w:tc>
          <w:tcPr>
            <w:tcW w:w="1298" w:type="dxa"/>
            <w:vMerge/>
            <w:vAlign w:val="center"/>
          </w:tcPr>
          <w:p w14:paraId="379B3B00" w14:textId="77777777" w:rsidR="007A620C" w:rsidRPr="002B34C6" w:rsidRDefault="007A620C" w:rsidP="007A620C">
            <w:pPr>
              <w:spacing w:before="40" w:after="40"/>
              <w:contextualSpacing w:val="0"/>
              <w:jc w:val="center"/>
              <w:rPr>
                <w:rFonts w:ascii="Arial" w:eastAsia="+mn-ea" w:hAnsi="Arial" w:cs="Arial"/>
                <w:b/>
                <w:bCs/>
                <w:color w:val="000000"/>
                <w:kern w:val="24"/>
                <w:sz w:val="22"/>
              </w:rPr>
            </w:pPr>
          </w:p>
        </w:tc>
        <w:tc>
          <w:tcPr>
            <w:tcW w:w="1439" w:type="dxa"/>
            <w:vAlign w:val="center"/>
          </w:tcPr>
          <w:p w14:paraId="4B4C7CE8" w14:textId="150F9891"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7.5-19.9%</w:t>
            </w:r>
          </w:p>
        </w:tc>
        <w:tc>
          <w:tcPr>
            <w:tcW w:w="1366" w:type="dxa"/>
            <w:shd w:val="clear" w:color="auto" w:fill="E7E6E6" w:themeFill="background2"/>
            <w:vAlign w:val="center"/>
          </w:tcPr>
          <w:p w14:paraId="59334D1C" w14:textId="6AA8081F" w:rsidR="007A620C" w:rsidRDefault="007A620C" w:rsidP="007A620C">
            <w:pPr>
              <w:spacing w:before="40" w:after="40"/>
              <w:contextualSpacing w:val="0"/>
              <w:jc w:val="center"/>
              <w:rPr>
                <w:rFonts w:ascii="Arial" w:eastAsia="+mn-ea" w:hAnsi="Arial" w:cs="Arial"/>
                <w:color w:val="000000"/>
                <w:kern w:val="24"/>
                <w:sz w:val="22"/>
              </w:rPr>
            </w:pPr>
          </w:p>
        </w:tc>
        <w:tc>
          <w:tcPr>
            <w:tcW w:w="1304" w:type="dxa"/>
            <w:shd w:val="clear" w:color="auto" w:fill="E7E6E6" w:themeFill="background2"/>
            <w:vAlign w:val="center"/>
          </w:tcPr>
          <w:p w14:paraId="20220A68"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tcBorders>
              <w:right w:val="single" w:sz="18" w:space="0" w:color="auto"/>
            </w:tcBorders>
            <w:shd w:val="clear" w:color="auto" w:fill="E7E6E6" w:themeFill="background2"/>
            <w:vAlign w:val="center"/>
          </w:tcPr>
          <w:p w14:paraId="54F60C73"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left w:val="single" w:sz="18" w:space="0" w:color="auto"/>
            </w:tcBorders>
            <w:vAlign w:val="center"/>
          </w:tcPr>
          <w:p w14:paraId="7E487B5B" w14:textId="3162619E"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12</w:t>
            </w:r>
          </w:p>
        </w:tc>
        <w:tc>
          <w:tcPr>
            <w:tcW w:w="1303" w:type="dxa"/>
            <w:vAlign w:val="center"/>
          </w:tcPr>
          <w:p w14:paraId="3DB13B42" w14:textId="2647BC99"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99</w:t>
            </w:r>
          </w:p>
        </w:tc>
        <w:tc>
          <w:tcPr>
            <w:tcW w:w="1305" w:type="dxa"/>
            <w:tcBorders>
              <w:right w:val="single" w:sz="18" w:space="0" w:color="auto"/>
            </w:tcBorders>
            <w:vAlign w:val="center"/>
          </w:tcPr>
          <w:p w14:paraId="533B2DB7" w14:textId="291AF706"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36</w:t>
            </w:r>
          </w:p>
        </w:tc>
        <w:tc>
          <w:tcPr>
            <w:tcW w:w="1303" w:type="dxa"/>
            <w:tcBorders>
              <w:left w:val="single" w:sz="18" w:space="0" w:color="auto"/>
            </w:tcBorders>
            <w:shd w:val="clear" w:color="auto" w:fill="auto"/>
            <w:vAlign w:val="center"/>
          </w:tcPr>
          <w:p w14:paraId="20559E0C" w14:textId="12822AAF"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10</w:t>
            </w:r>
          </w:p>
        </w:tc>
        <w:tc>
          <w:tcPr>
            <w:tcW w:w="1303" w:type="dxa"/>
            <w:shd w:val="clear" w:color="auto" w:fill="auto"/>
            <w:vAlign w:val="center"/>
          </w:tcPr>
          <w:p w14:paraId="0F9D00AA" w14:textId="37311069"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85</w:t>
            </w:r>
          </w:p>
        </w:tc>
        <w:tc>
          <w:tcPr>
            <w:tcW w:w="1305" w:type="dxa"/>
            <w:tcBorders>
              <w:right w:val="single" w:sz="18" w:space="0" w:color="auto"/>
            </w:tcBorders>
            <w:shd w:val="clear" w:color="auto" w:fill="auto"/>
            <w:vAlign w:val="center"/>
          </w:tcPr>
          <w:p w14:paraId="152F261E" w14:textId="321C39CE"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52</w:t>
            </w:r>
          </w:p>
        </w:tc>
      </w:tr>
      <w:tr w:rsidR="007A620C" w14:paraId="4E09BFB1" w14:textId="77777777" w:rsidTr="007A620C">
        <w:tc>
          <w:tcPr>
            <w:tcW w:w="1298" w:type="dxa"/>
            <w:vMerge/>
            <w:vAlign w:val="center"/>
          </w:tcPr>
          <w:p w14:paraId="4BE7115F" w14:textId="77777777" w:rsidR="007A620C" w:rsidRPr="002B34C6" w:rsidRDefault="007A620C" w:rsidP="007A620C">
            <w:pPr>
              <w:spacing w:before="40" w:after="40"/>
              <w:contextualSpacing w:val="0"/>
              <w:jc w:val="center"/>
              <w:rPr>
                <w:rFonts w:ascii="Arial" w:eastAsia="+mn-ea" w:hAnsi="Arial" w:cs="Arial"/>
                <w:b/>
                <w:bCs/>
                <w:color w:val="000000"/>
                <w:kern w:val="24"/>
                <w:sz w:val="22"/>
              </w:rPr>
            </w:pPr>
          </w:p>
        </w:tc>
        <w:tc>
          <w:tcPr>
            <w:tcW w:w="1439" w:type="dxa"/>
            <w:vAlign w:val="center"/>
          </w:tcPr>
          <w:p w14:paraId="25601079" w14:textId="125CAF39"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≥20.0%</w:t>
            </w:r>
          </w:p>
        </w:tc>
        <w:tc>
          <w:tcPr>
            <w:tcW w:w="1366" w:type="dxa"/>
            <w:shd w:val="clear" w:color="auto" w:fill="E7E6E6" w:themeFill="background2"/>
            <w:vAlign w:val="center"/>
          </w:tcPr>
          <w:p w14:paraId="7A923A82" w14:textId="50609C7C" w:rsidR="007A620C" w:rsidRDefault="007A620C" w:rsidP="007A620C">
            <w:pPr>
              <w:spacing w:before="40" w:after="40"/>
              <w:contextualSpacing w:val="0"/>
              <w:jc w:val="center"/>
              <w:rPr>
                <w:rFonts w:ascii="Arial" w:eastAsia="+mn-ea" w:hAnsi="Arial" w:cs="Arial"/>
                <w:color w:val="000000"/>
                <w:kern w:val="24"/>
                <w:sz w:val="22"/>
              </w:rPr>
            </w:pPr>
          </w:p>
        </w:tc>
        <w:tc>
          <w:tcPr>
            <w:tcW w:w="1304" w:type="dxa"/>
            <w:shd w:val="clear" w:color="auto" w:fill="E7E6E6" w:themeFill="background2"/>
            <w:vAlign w:val="center"/>
          </w:tcPr>
          <w:p w14:paraId="56DB74A0"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tcBorders>
              <w:right w:val="single" w:sz="18" w:space="0" w:color="auto"/>
            </w:tcBorders>
            <w:shd w:val="clear" w:color="auto" w:fill="E7E6E6" w:themeFill="background2"/>
            <w:vAlign w:val="center"/>
          </w:tcPr>
          <w:p w14:paraId="3C161171"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left w:val="single" w:sz="18" w:space="0" w:color="auto"/>
              <w:bottom w:val="single" w:sz="18" w:space="0" w:color="auto"/>
            </w:tcBorders>
            <w:vAlign w:val="center"/>
          </w:tcPr>
          <w:p w14:paraId="35A7E46F" w14:textId="0A8378ED"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w:t>
            </w:r>
          </w:p>
        </w:tc>
        <w:tc>
          <w:tcPr>
            <w:tcW w:w="1303" w:type="dxa"/>
            <w:tcBorders>
              <w:bottom w:val="single" w:sz="18" w:space="0" w:color="auto"/>
            </w:tcBorders>
            <w:vAlign w:val="center"/>
          </w:tcPr>
          <w:p w14:paraId="04F33BA3" w14:textId="70C2C41B"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13</w:t>
            </w:r>
          </w:p>
        </w:tc>
        <w:tc>
          <w:tcPr>
            <w:tcW w:w="1305" w:type="dxa"/>
            <w:tcBorders>
              <w:bottom w:val="single" w:sz="18" w:space="0" w:color="auto"/>
              <w:right w:val="single" w:sz="18" w:space="0" w:color="auto"/>
            </w:tcBorders>
            <w:vAlign w:val="center"/>
          </w:tcPr>
          <w:p w14:paraId="0243905E" w14:textId="7AEA3FDC"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60</w:t>
            </w:r>
          </w:p>
        </w:tc>
        <w:tc>
          <w:tcPr>
            <w:tcW w:w="1303" w:type="dxa"/>
            <w:tcBorders>
              <w:left w:val="single" w:sz="18" w:space="0" w:color="auto"/>
              <w:bottom w:val="single" w:sz="18" w:space="0" w:color="auto"/>
            </w:tcBorders>
            <w:shd w:val="clear" w:color="auto" w:fill="auto"/>
            <w:vAlign w:val="center"/>
          </w:tcPr>
          <w:p w14:paraId="750629CE" w14:textId="4435EE6D"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0</w:t>
            </w:r>
          </w:p>
        </w:tc>
        <w:tc>
          <w:tcPr>
            <w:tcW w:w="1303" w:type="dxa"/>
            <w:tcBorders>
              <w:bottom w:val="single" w:sz="18" w:space="0" w:color="auto"/>
            </w:tcBorders>
            <w:shd w:val="clear" w:color="auto" w:fill="auto"/>
            <w:vAlign w:val="center"/>
          </w:tcPr>
          <w:p w14:paraId="087EC4DE" w14:textId="3C187BD7"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22</w:t>
            </w:r>
          </w:p>
        </w:tc>
        <w:tc>
          <w:tcPr>
            <w:tcW w:w="1305" w:type="dxa"/>
            <w:tcBorders>
              <w:bottom w:val="single" w:sz="18" w:space="0" w:color="auto"/>
              <w:right w:val="single" w:sz="18" w:space="0" w:color="auto"/>
            </w:tcBorders>
            <w:shd w:val="clear" w:color="auto" w:fill="auto"/>
            <w:vAlign w:val="center"/>
          </w:tcPr>
          <w:p w14:paraId="02533AF7" w14:textId="32AD8F1F"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52</w:t>
            </w:r>
          </w:p>
        </w:tc>
      </w:tr>
      <w:tr w:rsidR="007A620C" w14:paraId="56D8AC60" w14:textId="77777777" w:rsidTr="00060D18">
        <w:tc>
          <w:tcPr>
            <w:tcW w:w="1298" w:type="dxa"/>
            <w:vMerge w:val="restart"/>
            <w:vAlign w:val="center"/>
          </w:tcPr>
          <w:p w14:paraId="670BB85A" w14:textId="38D0E32A" w:rsidR="007A620C" w:rsidRPr="002B34C6" w:rsidRDefault="007A620C" w:rsidP="007A620C">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Model 2</w:t>
            </w:r>
          </w:p>
        </w:tc>
        <w:tc>
          <w:tcPr>
            <w:tcW w:w="1439" w:type="dxa"/>
            <w:vAlign w:val="center"/>
          </w:tcPr>
          <w:p w14:paraId="4044C14D" w14:textId="74FE1640"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&lt;7.5%</w:t>
            </w:r>
          </w:p>
        </w:tc>
        <w:tc>
          <w:tcPr>
            <w:tcW w:w="1366" w:type="dxa"/>
            <w:shd w:val="clear" w:color="auto" w:fill="E7E6E6" w:themeFill="background2"/>
            <w:vAlign w:val="center"/>
          </w:tcPr>
          <w:p w14:paraId="47AC3760" w14:textId="7164BA1C" w:rsidR="007A620C" w:rsidRDefault="007A620C" w:rsidP="007A620C">
            <w:pPr>
              <w:spacing w:before="40" w:after="40"/>
              <w:contextualSpacing w:val="0"/>
              <w:jc w:val="center"/>
              <w:rPr>
                <w:rFonts w:ascii="Arial" w:eastAsia="+mn-ea" w:hAnsi="Arial" w:cs="Arial"/>
                <w:color w:val="000000"/>
                <w:kern w:val="24"/>
                <w:sz w:val="22"/>
              </w:rPr>
            </w:pPr>
          </w:p>
        </w:tc>
        <w:tc>
          <w:tcPr>
            <w:tcW w:w="1304" w:type="dxa"/>
            <w:shd w:val="clear" w:color="auto" w:fill="E7E6E6" w:themeFill="background2"/>
            <w:vAlign w:val="center"/>
          </w:tcPr>
          <w:p w14:paraId="34D5402F"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shd w:val="clear" w:color="auto" w:fill="E7E6E6" w:themeFill="background2"/>
            <w:vAlign w:val="center"/>
          </w:tcPr>
          <w:p w14:paraId="740C0A89"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top w:val="single" w:sz="18" w:space="0" w:color="auto"/>
            </w:tcBorders>
            <w:shd w:val="clear" w:color="auto" w:fill="E7E6E6" w:themeFill="background2"/>
            <w:vAlign w:val="center"/>
          </w:tcPr>
          <w:p w14:paraId="0CFD2435"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top w:val="single" w:sz="18" w:space="0" w:color="auto"/>
            </w:tcBorders>
            <w:shd w:val="clear" w:color="auto" w:fill="E7E6E6" w:themeFill="background2"/>
            <w:vAlign w:val="center"/>
          </w:tcPr>
          <w:p w14:paraId="6662B13C"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tcBorders>
              <w:top w:val="single" w:sz="18" w:space="0" w:color="auto"/>
              <w:right w:val="single" w:sz="18" w:space="0" w:color="auto"/>
            </w:tcBorders>
            <w:shd w:val="clear" w:color="auto" w:fill="E7E6E6" w:themeFill="background2"/>
            <w:vAlign w:val="center"/>
          </w:tcPr>
          <w:p w14:paraId="73363C89"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top w:val="single" w:sz="18" w:space="0" w:color="auto"/>
              <w:left w:val="single" w:sz="18" w:space="0" w:color="auto"/>
            </w:tcBorders>
            <w:vAlign w:val="center"/>
          </w:tcPr>
          <w:p w14:paraId="02BD49A3" w14:textId="07A0C519"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25</w:t>
            </w:r>
          </w:p>
        </w:tc>
        <w:tc>
          <w:tcPr>
            <w:tcW w:w="1303" w:type="dxa"/>
            <w:tcBorders>
              <w:top w:val="single" w:sz="18" w:space="0" w:color="auto"/>
            </w:tcBorders>
            <w:vAlign w:val="center"/>
          </w:tcPr>
          <w:p w14:paraId="32BE9B0D" w14:textId="3DB61265"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11</w:t>
            </w:r>
          </w:p>
        </w:tc>
        <w:tc>
          <w:tcPr>
            <w:tcW w:w="1305" w:type="dxa"/>
            <w:tcBorders>
              <w:top w:val="single" w:sz="18" w:space="0" w:color="auto"/>
              <w:right w:val="single" w:sz="18" w:space="0" w:color="auto"/>
            </w:tcBorders>
            <w:vAlign w:val="center"/>
          </w:tcPr>
          <w:p w14:paraId="554F1B57" w14:textId="0CEC7D05"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0</w:t>
            </w:r>
          </w:p>
        </w:tc>
      </w:tr>
      <w:tr w:rsidR="007A620C" w14:paraId="629B068F" w14:textId="77777777" w:rsidTr="00060D18">
        <w:tc>
          <w:tcPr>
            <w:tcW w:w="1298" w:type="dxa"/>
            <w:vMerge/>
            <w:vAlign w:val="center"/>
          </w:tcPr>
          <w:p w14:paraId="2A420C3E"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439" w:type="dxa"/>
            <w:vAlign w:val="center"/>
          </w:tcPr>
          <w:p w14:paraId="4B2C6679" w14:textId="52A890F5"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7.5-19.9%</w:t>
            </w:r>
          </w:p>
        </w:tc>
        <w:tc>
          <w:tcPr>
            <w:tcW w:w="1366" w:type="dxa"/>
            <w:shd w:val="clear" w:color="auto" w:fill="E7E6E6" w:themeFill="background2"/>
            <w:vAlign w:val="center"/>
          </w:tcPr>
          <w:p w14:paraId="42DC8070" w14:textId="28B88E00" w:rsidR="007A620C" w:rsidRDefault="007A620C" w:rsidP="007A620C">
            <w:pPr>
              <w:spacing w:before="40" w:after="40"/>
              <w:contextualSpacing w:val="0"/>
              <w:jc w:val="center"/>
              <w:rPr>
                <w:rFonts w:ascii="Arial" w:eastAsia="+mn-ea" w:hAnsi="Arial" w:cs="Arial"/>
                <w:color w:val="000000"/>
                <w:kern w:val="24"/>
                <w:sz w:val="22"/>
              </w:rPr>
            </w:pPr>
          </w:p>
        </w:tc>
        <w:tc>
          <w:tcPr>
            <w:tcW w:w="1304" w:type="dxa"/>
            <w:shd w:val="clear" w:color="auto" w:fill="E7E6E6" w:themeFill="background2"/>
            <w:vAlign w:val="center"/>
          </w:tcPr>
          <w:p w14:paraId="20382154"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shd w:val="clear" w:color="auto" w:fill="E7E6E6" w:themeFill="background2"/>
            <w:vAlign w:val="center"/>
          </w:tcPr>
          <w:p w14:paraId="246368C9"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shd w:val="clear" w:color="auto" w:fill="E7E6E6" w:themeFill="background2"/>
            <w:vAlign w:val="center"/>
          </w:tcPr>
          <w:p w14:paraId="14B7B59F"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shd w:val="clear" w:color="auto" w:fill="E7E6E6" w:themeFill="background2"/>
            <w:vAlign w:val="center"/>
          </w:tcPr>
          <w:p w14:paraId="66BF5CFE"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tcBorders>
              <w:right w:val="single" w:sz="18" w:space="0" w:color="auto"/>
            </w:tcBorders>
            <w:shd w:val="clear" w:color="auto" w:fill="E7E6E6" w:themeFill="background2"/>
            <w:vAlign w:val="center"/>
          </w:tcPr>
          <w:p w14:paraId="565F5A02"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left w:val="single" w:sz="18" w:space="0" w:color="auto"/>
            </w:tcBorders>
            <w:vAlign w:val="center"/>
          </w:tcPr>
          <w:p w14:paraId="230CE17C" w14:textId="6784D180"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5</w:t>
            </w:r>
          </w:p>
        </w:tc>
        <w:tc>
          <w:tcPr>
            <w:tcW w:w="1303" w:type="dxa"/>
            <w:vAlign w:val="center"/>
          </w:tcPr>
          <w:p w14:paraId="403314F5" w14:textId="6D660D8A"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89</w:t>
            </w:r>
          </w:p>
        </w:tc>
        <w:tc>
          <w:tcPr>
            <w:tcW w:w="1305" w:type="dxa"/>
            <w:tcBorders>
              <w:right w:val="single" w:sz="18" w:space="0" w:color="auto"/>
            </w:tcBorders>
            <w:vAlign w:val="center"/>
          </w:tcPr>
          <w:p w14:paraId="02B7DCB7" w14:textId="7F225280"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26</w:t>
            </w:r>
          </w:p>
        </w:tc>
      </w:tr>
      <w:tr w:rsidR="007A620C" w14:paraId="5B099520" w14:textId="77777777" w:rsidTr="00060D18">
        <w:tc>
          <w:tcPr>
            <w:tcW w:w="1298" w:type="dxa"/>
            <w:vMerge/>
            <w:vAlign w:val="center"/>
          </w:tcPr>
          <w:p w14:paraId="73A0F7D7"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439" w:type="dxa"/>
            <w:vAlign w:val="center"/>
          </w:tcPr>
          <w:p w14:paraId="76516359" w14:textId="27CDDCA6"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≥20.0%</w:t>
            </w:r>
          </w:p>
        </w:tc>
        <w:tc>
          <w:tcPr>
            <w:tcW w:w="1366" w:type="dxa"/>
            <w:shd w:val="clear" w:color="auto" w:fill="E7E6E6" w:themeFill="background2"/>
            <w:vAlign w:val="center"/>
          </w:tcPr>
          <w:p w14:paraId="0150E0F4" w14:textId="01640CF2" w:rsidR="007A620C" w:rsidRDefault="007A620C" w:rsidP="007A620C">
            <w:pPr>
              <w:spacing w:before="40" w:after="40"/>
              <w:contextualSpacing w:val="0"/>
              <w:jc w:val="center"/>
              <w:rPr>
                <w:rFonts w:ascii="Arial" w:eastAsia="+mn-ea" w:hAnsi="Arial" w:cs="Arial"/>
                <w:color w:val="000000"/>
                <w:kern w:val="24"/>
                <w:sz w:val="22"/>
              </w:rPr>
            </w:pPr>
          </w:p>
        </w:tc>
        <w:tc>
          <w:tcPr>
            <w:tcW w:w="1304" w:type="dxa"/>
            <w:shd w:val="clear" w:color="auto" w:fill="E7E6E6" w:themeFill="background2"/>
            <w:vAlign w:val="center"/>
          </w:tcPr>
          <w:p w14:paraId="16D2AF35"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shd w:val="clear" w:color="auto" w:fill="E7E6E6" w:themeFill="background2"/>
            <w:vAlign w:val="center"/>
          </w:tcPr>
          <w:p w14:paraId="2B98516F"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shd w:val="clear" w:color="auto" w:fill="E7E6E6" w:themeFill="background2"/>
            <w:vAlign w:val="center"/>
          </w:tcPr>
          <w:p w14:paraId="0D78D1C0"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shd w:val="clear" w:color="auto" w:fill="E7E6E6" w:themeFill="background2"/>
            <w:vAlign w:val="center"/>
          </w:tcPr>
          <w:p w14:paraId="6F137A57"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tcBorders>
              <w:right w:val="single" w:sz="18" w:space="0" w:color="auto"/>
            </w:tcBorders>
            <w:shd w:val="clear" w:color="auto" w:fill="E7E6E6" w:themeFill="background2"/>
            <w:vAlign w:val="center"/>
          </w:tcPr>
          <w:p w14:paraId="59495E04"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left w:val="single" w:sz="18" w:space="0" w:color="auto"/>
              <w:bottom w:val="single" w:sz="18" w:space="0" w:color="auto"/>
            </w:tcBorders>
            <w:vAlign w:val="center"/>
          </w:tcPr>
          <w:p w14:paraId="6EA8B22A" w14:textId="62C403F1"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0</w:t>
            </w:r>
          </w:p>
        </w:tc>
        <w:tc>
          <w:tcPr>
            <w:tcW w:w="1303" w:type="dxa"/>
            <w:tcBorders>
              <w:bottom w:val="single" w:sz="18" w:space="0" w:color="auto"/>
            </w:tcBorders>
            <w:vAlign w:val="center"/>
          </w:tcPr>
          <w:p w14:paraId="58C7F8FB" w14:textId="14D80FBE"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17</w:t>
            </w:r>
          </w:p>
        </w:tc>
        <w:tc>
          <w:tcPr>
            <w:tcW w:w="1305" w:type="dxa"/>
            <w:tcBorders>
              <w:bottom w:val="single" w:sz="18" w:space="0" w:color="auto"/>
              <w:right w:val="single" w:sz="18" w:space="0" w:color="auto"/>
            </w:tcBorders>
            <w:vAlign w:val="center"/>
          </w:tcPr>
          <w:p w14:paraId="0AA79B9D" w14:textId="3FE0A1AC"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79</w:t>
            </w:r>
          </w:p>
        </w:tc>
      </w:tr>
    </w:tbl>
    <w:p w14:paraId="5C53638E" w14:textId="3832757A" w:rsidR="00477000" w:rsidRDefault="00477000" w:rsidP="00477000">
      <w:pPr>
        <w:spacing w:before="120"/>
        <w:contextualSpacing w:val="0"/>
        <w:rPr>
          <w:rFonts w:ascii="Arial" w:hAnsi="Arial" w:cs="Arial"/>
          <w:sz w:val="22"/>
        </w:rPr>
      </w:pPr>
      <w:r>
        <w:rPr>
          <w:rFonts w:ascii="Arial" w:hAnsi="Arial" w:cs="Arial"/>
          <w:sz w:val="22"/>
        </w:rPr>
        <w:t>Models specified in the columns are compared to models specified in the rows for reclassification of events using cut points of 7.5% and 20%.</w:t>
      </w:r>
    </w:p>
    <w:p w14:paraId="189063CD" w14:textId="07751D75" w:rsidR="00477000" w:rsidRDefault="00380CEF" w:rsidP="00477000">
      <w:pPr>
        <w:spacing w:before="120"/>
        <w:contextualSpacing w:val="0"/>
        <w:rPr>
          <w:rFonts w:ascii="Arial" w:hAnsi="Arial" w:cs="Arial"/>
          <w:sz w:val="22"/>
        </w:rPr>
      </w:pPr>
      <w:r w:rsidRPr="00380CEF">
        <w:rPr>
          <w:rFonts w:ascii="Arial" w:hAnsi="Arial" w:cs="Arial"/>
          <w:sz w:val="22"/>
        </w:rPr>
        <w:t>Abbreviations: ACC/AHA PCEs = American College of Cardiology/American Heart Association Pooled Cohort Equations; ASCVD = atherosclerotic cardiovascular disease; CKD = chronic kidney disease</w:t>
      </w:r>
    </w:p>
    <w:p w14:paraId="32F7C581" w14:textId="77777777" w:rsidR="00477000" w:rsidRDefault="00477000">
      <w:pPr>
        <w:spacing w:after="160" w:line="259" w:lineRule="auto"/>
        <w:contextualSpacing w:val="0"/>
        <w:rPr>
          <w:rFonts w:ascii="Arial" w:hAnsi="Arial" w:cs="Arial"/>
          <w:sz w:val="22"/>
        </w:rPr>
      </w:pPr>
      <w:r>
        <w:rPr>
          <w:rFonts w:ascii="Arial" w:hAnsi="Arial" w:cs="Arial"/>
          <w:sz w:val="22"/>
        </w:rPr>
        <w:br w:type="page"/>
      </w:r>
    </w:p>
    <w:p w14:paraId="6660C1F3" w14:textId="27A71F6C" w:rsidR="00477000" w:rsidRDefault="00DA3FCB" w:rsidP="00477000">
      <w:pPr>
        <w:spacing w:after="120"/>
        <w:contextualSpacing w:val="0"/>
        <w:rPr>
          <w:rFonts w:ascii="Arial" w:eastAsia="+mn-ea" w:hAnsi="Arial" w:cs="Arial"/>
          <w:color w:val="000000"/>
          <w:kern w:val="24"/>
          <w:sz w:val="22"/>
        </w:rPr>
      </w:pPr>
      <w:r>
        <w:rPr>
          <w:rFonts w:ascii="Arial" w:hAnsi="Arial" w:cs="Arial"/>
          <w:b/>
          <w:bCs/>
          <w:sz w:val="22"/>
        </w:rPr>
        <w:lastRenderedPageBreak/>
        <w:t xml:space="preserve">Supplemental </w:t>
      </w:r>
      <w:r w:rsidR="00477000" w:rsidRPr="00EA3792">
        <w:rPr>
          <w:rFonts w:ascii="Arial" w:eastAsia="+mn-ea" w:hAnsi="Arial" w:cs="Arial"/>
          <w:b/>
          <w:color w:val="000000"/>
          <w:kern w:val="24"/>
          <w:sz w:val="22"/>
        </w:rPr>
        <w:t xml:space="preserve">Table </w:t>
      </w:r>
      <w:r w:rsidR="00D17019">
        <w:rPr>
          <w:rFonts w:ascii="Arial" w:eastAsia="+mn-ea" w:hAnsi="Arial" w:cs="Arial"/>
          <w:b/>
          <w:color w:val="000000"/>
          <w:kern w:val="24"/>
          <w:sz w:val="22"/>
        </w:rPr>
        <w:t>8</w:t>
      </w:r>
      <w:r w:rsidR="00477000" w:rsidRPr="00EA3792">
        <w:rPr>
          <w:rFonts w:ascii="Arial" w:eastAsia="+mn-ea" w:hAnsi="Arial" w:cs="Arial"/>
          <w:b/>
          <w:color w:val="000000"/>
          <w:kern w:val="24"/>
          <w:sz w:val="22"/>
        </w:rPr>
        <w:t>.</w:t>
      </w:r>
      <w:r w:rsidR="00477000" w:rsidRPr="00EA3792">
        <w:rPr>
          <w:rFonts w:ascii="Arial" w:eastAsia="+mn-ea" w:hAnsi="Arial" w:cs="Arial"/>
          <w:color w:val="000000"/>
          <w:kern w:val="24"/>
          <w:sz w:val="22"/>
        </w:rPr>
        <w:t xml:space="preserve"> </w:t>
      </w:r>
      <w:r w:rsidR="00477000" w:rsidRPr="00380CEF">
        <w:rPr>
          <w:rFonts w:ascii="Arial" w:eastAsia="+mn-ea" w:hAnsi="Arial" w:cs="Arial"/>
          <w:color w:val="000000"/>
          <w:kern w:val="24"/>
          <w:sz w:val="22"/>
        </w:rPr>
        <w:t xml:space="preserve">Reclassification </w:t>
      </w:r>
      <w:r w:rsidR="00060D18">
        <w:rPr>
          <w:rFonts w:ascii="Arial" w:eastAsia="+mn-ea" w:hAnsi="Arial" w:cs="Arial"/>
          <w:color w:val="000000"/>
          <w:kern w:val="24"/>
          <w:sz w:val="22"/>
        </w:rPr>
        <w:t xml:space="preserve">of Non-events </w:t>
      </w:r>
      <w:r w:rsidR="00477000" w:rsidRPr="00380CEF">
        <w:rPr>
          <w:rFonts w:ascii="Arial" w:eastAsia="+mn-ea" w:hAnsi="Arial" w:cs="Arial"/>
          <w:color w:val="000000"/>
          <w:kern w:val="24"/>
          <w:sz w:val="22"/>
        </w:rPr>
        <w:t>for Risk Prediction Models for ASCVD in CKD</w:t>
      </w:r>
    </w:p>
    <w:tbl>
      <w:tblPr>
        <w:tblStyle w:val="TableGrid"/>
        <w:tblW w:w="14534" w:type="dxa"/>
        <w:tblLook w:val="04A0" w:firstRow="1" w:lastRow="0" w:firstColumn="1" w:lastColumn="0" w:noHBand="0" w:noVBand="1"/>
      </w:tblPr>
      <w:tblGrid>
        <w:gridCol w:w="1298"/>
        <w:gridCol w:w="1439"/>
        <w:gridCol w:w="1366"/>
        <w:gridCol w:w="1304"/>
        <w:gridCol w:w="1305"/>
        <w:gridCol w:w="1303"/>
        <w:gridCol w:w="1303"/>
        <w:gridCol w:w="1305"/>
        <w:gridCol w:w="1303"/>
        <w:gridCol w:w="1303"/>
        <w:gridCol w:w="1305"/>
      </w:tblGrid>
      <w:tr w:rsidR="00477000" w14:paraId="19CB79B9" w14:textId="77777777" w:rsidTr="00E41878">
        <w:tc>
          <w:tcPr>
            <w:tcW w:w="1298" w:type="dxa"/>
            <w:tcBorders>
              <w:top w:val="nil"/>
              <w:left w:val="nil"/>
              <w:bottom w:val="nil"/>
              <w:right w:val="nil"/>
            </w:tcBorders>
            <w:vAlign w:val="center"/>
          </w:tcPr>
          <w:p w14:paraId="28FD6A2F" w14:textId="77777777" w:rsidR="00477000" w:rsidRDefault="00477000" w:rsidP="00E41878">
            <w:pPr>
              <w:spacing w:before="40" w:after="40"/>
              <w:contextualSpacing w:val="0"/>
              <w:jc w:val="center"/>
              <w:rPr>
                <w:rFonts w:ascii="Arial" w:eastAsia="+mn-ea" w:hAnsi="Arial" w:cs="Arial"/>
                <w:color w:val="000000"/>
                <w:kern w:val="24"/>
                <w:sz w:val="22"/>
              </w:rPr>
            </w:pPr>
          </w:p>
        </w:tc>
        <w:tc>
          <w:tcPr>
            <w:tcW w:w="1439" w:type="dxa"/>
            <w:tcBorders>
              <w:top w:val="nil"/>
              <w:left w:val="nil"/>
              <w:bottom w:val="nil"/>
            </w:tcBorders>
            <w:vAlign w:val="center"/>
          </w:tcPr>
          <w:p w14:paraId="1CDF5DED" w14:textId="77777777" w:rsidR="00477000" w:rsidRDefault="00477000" w:rsidP="00E41878">
            <w:pPr>
              <w:spacing w:before="40" w:after="40"/>
              <w:contextualSpacing w:val="0"/>
              <w:jc w:val="center"/>
              <w:rPr>
                <w:rFonts w:ascii="Arial" w:eastAsia="+mn-ea" w:hAnsi="Arial" w:cs="Arial"/>
                <w:color w:val="000000"/>
                <w:kern w:val="24"/>
                <w:sz w:val="22"/>
              </w:rPr>
            </w:pPr>
          </w:p>
        </w:tc>
        <w:tc>
          <w:tcPr>
            <w:tcW w:w="11797" w:type="dxa"/>
            <w:gridSpan w:val="9"/>
            <w:vAlign w:val="center"/>
          </w:tcPr>
          <w:p w14:paraId="40230033" w14:textId="77777777" w:rsidR="00477000" w:rsidRPr="002B34C6" w:rsidRDefault="00477000" w:rsidP="00E41878">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No. of Participants</w:t>
            </w:r>
            <w:r>
              <w:rPr>
                <w:rFonts w:ascii="Arial" w:eastAsia="+mn-ea" w:hAnsi="Arial" w:cs="Arial"/>
                <w:b/>
                <w:bCs/>
                <w:color w:val="000000"/>
                <w:kern w:val="24"/>
                <w:sz w:val="22"/>
              </w:rPr>
              <w:t xml:space="preserve"> Reclassified</w:t>
            </w:r>
          </w:p>
        </w:tc>
      </w:tr>
      <w:tr w:rsidR="00477000" w14:paraId="472E35D9" w14:textId="77777777" w:rsidTr="00E41878">
        <w:tc>
          <w:tcPr>
            <w:tcW w:w="1298" w:type="dxa"/>
            <w:tcBorders>
              <w:top w:val="nil"/>
              <w:left w:val="nil"/>
              <w:bottom w:val="nil"/>
              <w:right w:val="nil"/>
            </w:tcBorders>
            <w:vAlign w:val="center"/>
          </w:tcPr>
          <w:p w14:paraId="2E0975D7" w14:textId="77777777" w:rsidR="00477000" w:rsidRDefault="00477000" w:rsidP="00E41878">
            <w:pPr>
              <w:spacing w:before="40" w:after="40"/>
              <w:contextualSpacing w:val="0"/>
              <w:jc w:val="center"/>
              <w:rPr>
                <w:rFonts w:ascii="Arial" w:eastAsia="+mn-ea" w:hAnsi="Arial" w:cs="Arial"/>
                <w:color w:val="000000"/>
                <w:kern w:val="24"/>
                <w:sz w:val="22"/>
              </w:rPr>
            </w:pPr>
          </w:p>
        </w:tc>
        <w:tc>
          <w:tcPr>
            <w:tcW w:w="1439" w:type="dxa"/>
            <w:tcBorders>
              <w:top w:val="nil"/>
              <w:left w:val="nil"/>
            </w:tcBorders>
            <w:vAlign w:val="center"/>
          </w:tcPr>
          <w:p w14:paraId="3BFA8575" w14:textId="77777777" w:rsidR="00477000" w:rsidRDefault="00477000" w:rsidP="00E41878">
            <w:pPr>
              <w:spacing w:before="40" w:after="40"/>
              <w:contextualSpacing w:val="0"/>
              <w:jc w:val="center"/>
              <w:rPr>
                <w:rFonts w:ascii="Arial" w:eastAsia="+mn-ea" w:hAnsi="Arial" w:cs="Arial"/>
                <w:color w:val="000000"/>
                <w:kern w:val="24"/>
                <w:sz w:val="22"/>
              </w:rPr>
            </w:pPr>
          </w:p>
        </w:tc>
        <w:tc>
          <w:tcPr>
            <w:tcW w:w="3975" w:type="dxa"/>
            <w:gridSpan w:val="3"/>
            <w:vAlign w:val="center"/>
          </w:tcPr>
          <w:p w14:paraId="14DEB6DE" w14:textId="77777777" w:rsidR="00477000" w:rsidRPr="002B34C6" w:rsidRDefault="00477000" w:rsidP="00E41878">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Model 1</w:t>
            </w:r>
          </w:p>
        </w:tc>
        <w:tc>
          <w:tcPr>
            <w:tcW w:w="3911" w:type="dxa"/>
            <w:gridSpan w:val="3"/>
            <w:vAlign w:val="center"/>
          </w:tcPr>
          <w:p w14:paraId="3F1A2290" w14:textId="77777777" w:rsidR="00477000" w:rsidRPr="002B34C6" w:rsidRDefault="00477000" w:rsidP="00E41878">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Model 2</w:t>
            </w:r>
          </w:p>
        </w:tc>
        <w:tc>
          <w:tcPr>
            <w:tcW w:w="3911" w:type="dxa"/>
            <w:gridSpan w:val="3"/>
            <w:vAlign w:val="center"/>
          </w:tcPr>
          <w:p w14:paraId="68ACC5D4" w14:textId="77777777" w:rsidR="00477000" w:rsidRPr="002B34C6" w:rsidRDefault="00477000" w:rsidP="00E41878">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Model 3</w:t>
            </w:r>
          </w:p>
        </w:tc>
      </w:tr>
      <w:tr w:rsidR="00477000" w14:paraId="73C78C33" w14:textId="77777777" w:rsidTr="00E41878">
        <w:tc>
          <w:tcPr>
            <w:tcW w:w="1298" w:type="dxa"/>
            <w:tcBorders>
              <w:top w:val="nil"/>
              <w:left w:val="nil"/>
            </w:tcBorders>
            <w:vAlign w:val="center"/>
          </w:tcPr>
          <w:p w14:paraId="52D4ABE2" w14:textId="77777777" w:rsidR="00477000" w:rsidRDefault="00477000" w:rsidP="00E41878">
            <w:pPr>
              <w:spacing w:before="40" w:after="40"/>
              <w:contextualSpacing w:val="0"/>
              <w:jc w:val="center"/>
              <w:rPr>
                <w:rFonts w:ascii="Arial" w:eastAsia="+mn-ea" w:hAnsi="Arial" w:cs="Arial"/>
                <w:color w:val="000000"/>
                <w:kern w:val="24"/>
                <w:sz w:val="22"/>
              </w:rPr>
            </w:pPr>
          </w:p>
        </w:tc>
        <w:tc>
          <w:tcPr>
            <w:tcW w:w="1439" w:type="dxa"/>
            <w:vAlign w:val="center"/>
          </w:tcPr>
          <w:p w14:paraId="43D2E614" w14:textId="77777777" w:rsidR="00477000" w:rsidRPr="00477000" w:rsidRDefault="00477000" w:rsidP="00E41878">
            <w:pPr>
              <w:spacing w:before="40" w:after="40"/>
              <w:contextualSpacing w:val="0"/>
              <w:jc w:val="center"/>
              <w:rPr>
                <w:rFonts w:ascii="Arial" w:eastAsia="+mn-ea" w:hAnsi="Arial" w:cs="Arial"/>
                <w:b/>
                <w:bCs/>
                <w:i/>
                <w:iCs/>
                <w:color w:val="000000"/>
                <w:kern w:val="24"/>
                <w:sz w:val="22"/>
              </w:rPr>
            </w:pPr>
            <w:r w:rsidRPr="00477000">
              <w:rPr>
                <w:rFonts w:ascii="Arial" w:eastAsia="+mn-ea" w:hAnsi="Arial" w:cs="Arial"/>
                <w:b/>
                <w:bCs/>
                <w:i/>
                <w:iCs/>
                <w:color w:val="000000"/>
                <w:kern w:val="24"/>
                <w:sz w:val="22"/>
              </w:rPr>
              <w:t>Cut</w:t>
            </w:r>
            <w:r>
              <w:rPr>
                <w:rFonts w:ascii="Arial" w:eastAsia="+mn-ea" w:hAnsi="Arial" w:cs="Arial"/>
                <w:b/>
                <w:bCs/>
                <w:i/>
                <w:iCs/>
                <w:color w:val="000000"/>
                <w:kern w:val="24"/>
                <w:sz w:val="22"/>
              </w:rPr>
              <w:t xml:space="preserve"> P</w:t>
            </w:r>
            <w:r w:rsidRPr="00477000">
              <w:rPr>
                <w:rFonts w:ascii="Arial" w:eastAsia="+mn-ea" w:hAnsi="Arial" w:cs="Arial"/>
                <w:b/>
                <w:bCs/>
                <w:i/>
                <w:iCs/>
                <w:color w:val="000000"/>
                <w:kern w:val="24"/>
                <w:sz w:val="22"/>
              </w:rPr>
              <w:t>oints</w:t>
            </w:r>
          </w:p>
        </w:tc>
        <w:tc>
          <w:tcPr>
            <w:tcW w:w="1366" w:type="dxa"/>
            <w:tcBorders>
              <w:bottom w:val="single" w:sz="18" w:space="0" w:color="auto"/>
            </w:tcBorders>
            <w:vAlign w:val="center"/>
          </w:tcPr>
          <w:p w14:paraId="0CD1531A" w14:textId="77777777" w:rsidR="00477000" w:rsidRPr="002B34C6" w:rsidRDefault="00477000" w:rsidP="00E41878">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&lt;7.5%</w:t>
            </w:r>
          </w:p>
        </w:tc>
        <w:tc>
          <w:tcPr>
            <w:tcW w:w="1304" w:type="dxa"/>
            <w:tcBorders>
              <w:bottom w:val="single" w:sz="18" w:space="0" w:color="auto"/>
            </w:tcBorders>
            <w:vAlign w:val="center"/>
          </w:tcPr>
          <w:p w14:paraId="556DCB02" w14:textId="77777777" w:rsidR="00477000" w:rsidRPr="002B34C6" w:rsidRDefault="00477000" w:rsidP="00E41878">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7.5-19.9%</w:t>
            </w:r>
          </w:p>
        </w:tc>
        <w:tc>
          <w:tcPr>
            <w:tcW w:w="1305" w:type="dxa"/>
            <w:tcBorders>
              <w:bottom w:val="single" w:sz="18" w:space="0" w:color="auto"/>
            </w:tcBorders>
            <w:vAlign w:val="center"/>
          </w:tcPr>
          <w:p w14:paraId="7011FF43" w14:textId="77777777" w:rsidR="00477000" w:rsidRPr="002B34C6" w:rsidRDefault="00477000" w:rsidP="00E41878">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≥20.0%</w:t>
            </w:r>
          </w:p>
        </w:tc>
        <w:tc>
          <w:tcPr>
            <w:tcW w:w="1303" w:type="dxa"/>
            <w:tcBorders>
              <w:bottom w:val="single" w:sz="18" w:space="0" w:color="auto"/>
            </w:tcBorders>
            <w:vAlign w:val="center"/>
          </w:tcPr>
          <w:p w14:paraId="7D7AB0FC" w14:textId="77777777" w:rsidR="00477000" w:rsidRPr="002B34C6" w:rsidRDefault="00477000" w:rsidP="00E41878">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&lt;7.5%</w:t>
            </w:r>
          </w:p>
        </w:tc>
        <w:tc>
          <w:tcPr>
            <w:tcW w:w="1303" w:type="dxa"/>
            <w:tcBorders>
              <w:bottom w:val="single" w:sz="18" w:space="0" w:color="auto"/>
            </w:tcBorders>
            <w:vAlign w:val="center"/>
          </w:tcPr>
          <w:p w14:paraId="66E4B94B" w14:textId="77777777" w:rsidR="00477000" w:rsidRPr="002B34C6" w:rsidRDefault="00477000" w:rsidP="00E41878">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7.5-19.9%</w:t>
            </w:r>
          </w:p>
        </w:tc>
        <w:tc>
          <w:tcPr>
            <w:tcW w:w="1305" w:type="dxa"/>
            <w:tcBorders>
              <w:bottom w:val="single" w:sz="18" w:space="0" w:color="auto"/>
            </w:tcBorders>
            <w:vAlign w:val="center"/>
          </w:tcPr>
          <w:p w14:paraId="6FA554ED" w14:textId="77777777" w:rsidR="00477000" w:rsidRPr="002B34C6" w:rsidRDefault="00477000" w:rsidP="00E41878">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≥20.0%</w:t>
            </w:r>
          </w:p>
        </w:tc>
        <w:tc>
          <w:tcPr>
            <w:tcW w:w="1303" w:type="dxa"/>
            <w:tcBorders>
              <w:bottom w:val="single" w:sz="18" w:space="0" w:color="auto"/>
            </w:tcBorders>
            <w:vAlign w:val="center"/>
          </w:tcPr>
          <w:p w14:paraId="34B7EA68" w14:textId="77777777" w:rsidR="00477000" w:rsidRPr="002B34C6" w:rsidRDefault="00477000" w:rsidP="00E41878">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&lt;7.5%</w:t>
            </w:r>
          </w:p>
        </w:tc>
        <w:tc>
          <w:tcPr>
            <w:tcW w:w="1303" w:type="dxa"/>
            <w:tcBorders>
              <w:bottom w:val="single" w:sz="18" w:space="0" w:color="auto"/>
            </w:tcBorders>
            <w:vAlign w:val="center"/>
          </w:tcPr>
          <w:p w14:paraId="0EA85740" w14:textId="77777777" w:rsidR="00477000" w:rsidRPr="002B34C6" w:rsidRDefault="00477000" w:rsidP="00E41878">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7.5-19.9%</w:t>
            </w:r>
          </w:p>
        </w:tc>
        <w:tc>
          <w:tcPr>
            <w:tcW w:w="1305" w:type="dxa"/>
            <w:tcBorders>
              <w:bottom w:val="single" w:sz="18" w:space="0" w:color="auto"/>
            </w:tcBorders>
            <w:vAlign w:val="center"/>
          </w:tcPr>
          <w:p w14:paraId="6B27DFF4" w14:textId="77777777" w:rsidR="00477000" w:rsidRPr="002B34C6" w:rsidRDefault="00477000" w:rsidP="00E41878">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≥20.0%</w:t>
            </w:r>
          </w:p>
        </w:tc>
      </w:tr>
      <w:tr w:rsidR="007A620C" w14:paraId="35226675" w14:textId="77777777" w:rsidTr="00E41878">
        <w:tc>
          <w:tcPr>
            <w:tcW w:w="1298" w:type="dxa"/>
            <w:vMerge w:val="restart"/>
            <w:vAlign w:val="center"/>
          </w:tcPr>
          <w:p w14:paraId="495A6468" w14:textId="77777777" w:rsidR="007A620C" w:rsidRPr="002B34C6" w:rsidRDefault="007A620C" w:rsidP="007A620C">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ACC/AHA</w:t>
            </w:r>
            <w:r w:rsidRPr="002B34C6">
              <w:rPr>
                <w:rFonts w:ascii="Arial" w:eastAsia="+mn-ea" w:hAnsi="Arial" w:cs="Arial"/>
                <w:b/>
                <w:bCs/>
                <w:color w:val="000000"/>
                <w:kern w:val="24"/>
                <w:sz w:val="22"/>
              </w:rPr>
              <w:br/>
              <w:t>PCEs</w:t>
            </w:r>
          </w:p>
        </w:tc>
        <w:tc>
          <w:tcPr>
            <w:tcW w:w="1439" w:type="dxa"/>
            <w:tcBorders>
              <w:right w:val="single" w:sz="18" w:space="0" w:color="auto"/>
            </w:tcBorders>
            <w:vAlign w:val="center"/>
          </w:tcPr>
          <w:p w14:paraId="2BCAC891" w14:textId="77777777"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&lt;7.5%</w:t>
            </w:r>
          </w:p>
        </w:tc>
        <w:tc>
          <w:tcPr>
            <w:tcW w:w="1366" w:type="dxa"/>
            <w:tcBorders>
              <w:top w:val="single" w:sz="18" w:space="0" w:color="auto"/>
              <w:left w:val="single" w:sz="18" w:space="0" w:color="auto"/>
            </w:tcBorders>
            <w:vAlign w:val="center"/>
          </w:tcPr>
          <w:p w14:paraId="1D7D33E7" w14:textId="516D4734"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621</w:t>
            </w:r>
          </w:p>
        </w:tc>
        <w:tc>
          <w:tcPr>
            <w:tcW w:w="1304" w:type="dxa"/>
            <w:tcBorders>
              <w:top w:val="single" w:sz="18" w:space="0" w:color="auto"/>
            </w:tcBorders>
            <w:vAlign w:val="center"/>
          </w:tcPr>
          <w:p w14:paraId="673CD47F" w14:textId="68516EFA"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159</w:t>
            </w:r>
          </w:p>
        </w:tc>
        <w:tc>
          <w:tcPr>
            <w:tcW w:w="1305" w:type="dxa"/>
            <w:tcBorders>
              <w:top w:val="single" w:sz="18" w:space="0" w:color="auto"/>
              <w:right w:val="single" w:sz="18" w:space="0" w:color="auto"/>
            </w:tcBorders>
            <w:vAlign w:val="center"/>
          </w:tcPr>
          <w:p w14:paraId="23B0F317" w14:textId="171B6BE7"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0</w:t>
            </w:r>
          </w:p>
        </w:tc>
        <w:tc>
          <w:tcPr>
            <w:tcW w:w="1303" w:type="dxa"/>
            <w:tcBorders>
              <w:top w:val="single" w:sz="18" w:space="0" w:color="auto"/>
              <w:left w:val="single" w:sz="18" w:space="0" w:color="auto"/>
            </w:tcBorders>
            <w:vAlign w:val="center"/>
          </w:tcPr>
          <w:p w14:paraId="566A82DC" w14:textId="120732CB"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614</w:t>
            </w:r>
          </w:p>
        </w:tc>
        <w:tc>
          <w:tcPr>
            <w:tcW w:w="1303" w:type="dxa"/>
            <w:tcBorders>
              <w:top w:val="single" w:sz="18" w:space="0" w:color="auto"/>
            </w:tcBorders>
            <w:vAlign w:val="center"/>
          </w:tcPr>
          <w:p w14:paraId="4F2B1307" w14:textId="3934603A"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161</w:t>
            </w:r>
          </w:p>
        </w:tc>
        <w:tc>
          <w:tcPr>
            <w:tcW w:w="1305" w:type="dxa"/>
            <w:tcBorders>
              <w:top w:val="single" w:sz="18" w:space="0" w:color="auto"/>
              <w:right w:val="single" w:sz="18" w:space="0" w:color="auto"/>
            </w:tcBorders>
            <w:vAlign w:val="center"/>
          </w:tcPr>
          <w:p w14:paraId="4285DCF8" w14:textId="295C59AD"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5</w:t>
            </w:r>
          </w:p>
        </w:tc>
        <w:tc>
          <w:tcPr>
            <w:tcW w:w="1303" w:type="dxa"/>
            <w:tcBorders>
              <w:top w:val="single" w:sz="18" w:space="0" w:color="auto"/>
              <w:left w:val="single" w:sz="18" w:space="0" w:color="auto"/>
            </w:tcBorders>
            <w:vAlign w:val="center"/>
          </w:tcPr>
          <w:p w14:paraId="247ADF60" w14:textId="56E91C0F"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610</w:t>
            </w:r>
          </w:p>
        </w:tc>
        <w:tc>
          <w:tcPr>
            <w:tcW w:w="1303" w:type="dxa"/>
            <w:tcBorders>
              <w:top w:val="single" w:sz="18" w:space="0" w:color="auto"/>
            </w:tcBorders>
            <w:vAlign w:val="center"/>
          </w:tcPr>
          <w:p w14:paraId="18D83214" w14:textId="47E65FF6"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159</w:t>
            </w:r>
          </w:p>
        </w:tc>
        <w:tc>
          <w:tcPr>
            <w:tcW w:w="1305" w:type="dxa"/>
            <w:tcBorders>
              <w:top w:val="single" w:sz="18" w:space="0" w:color="auto"/>
              <w:right w:val="single" w:sz="18" w:space="0" w:color="auto"/>
            </w:tcBorders>
            <w:vAlign w:val="center"/>
          </w:tcPr>
          <w:p w14:paraId="3905F8B1" w14:textId="6BFC4B83"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11</w:t>
            </w:r>
          </w:p>
        </w:tc>
      </w:tr>
      <w:tr w:rsidR="007A620C" w14:paraId="70ECF3D1" w14:textId="77777777" w:rsidTr="00E41878">
        <w:tc>
          <w:tcPr>
            <w:tcW w:w="1298" w:type="dxa"/>
            <w:vMerge/>
            <w:vAlign w:val="center"/>
          </w:tcPr>
          <w:p w14:paraId="03C16D46" w14:textId="77777777" w:rsidR="007A620C" w:rsidRPr="002B34C6" w:rsidRDefault="007A620C" w:rsidP="007A620C">
            <w:pPr>
              <w:spacing w:before="40" w:after="40"/>
              <w:contextualSpacing w:val="0"/>
              <w:jc w:val="center"/>
              <w:rPr>
                <w:rFonts w:ascii="Arial" w:eastAsia="+mn-ea" w:hAnsi="Arial" w:cs="Arial"/>
                <w:b/>
                <w:bCs/>
                <w:color w:val="000000"/>
                <w:kern w:val="24"/>
                <w:sz w:val="22"/>
              </w:rPr>
            </w:pPr>
          </w:p>
        </w:tc>
        <w:tc>
          <w:tcPr>
            <w:tcW w:w="1439" w:type="dxa"/>
            <w:tcBorders>
              <w:right w:val="single" w:sz="18" w:space="0" w:color="auto"/>
            </w:tcBorders>
            <w:vAlign w:val="center"/>
          </w:tcPr>
          <w:p w14:paraId="2E89D6F2" w14:textId="77777777"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7.5-19.9%</w:t>
            </w:r>
          </w:p>
        </w:tc>
        <w:tc>
          <w:tcPr>
            <w:tcW w:w="1366" w:type="dxa"/>
            <w:tcBorders>
              <w:left w:val="single" w:sz="18" w:space="0" w:color="auto"/>
            </w:tcBorders>
            <w:vAlign w:val="center"/>
          </w:tcPr>
          <w:p w14:paraId="7907C472" w14:textId="48E9D70D"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74</w:t>
            </w:r>
          </w:p>
        </w:tc>
        <w:tc>
          <w:tcPr>
            <w:tcW w:w="1304" w:type="dxa"/>
            <w:vAlign w:val="center"/>
          </w:tcPr>
          <w:p w14:paraId="3A085502" w14:textId="4DEBEE4E"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462</w:t>
            </w:r>
          </w:p>
        </w:tc>
        <w:tc>
          <w:tcPr>
            <w:tcW w:w="1305" w:type="dxa"/>
            <w:tcBorders>
              <w:right w:val="single" w:sz="18" w:space="0" w:color="auto"/>
            </w:tcBorders>
            <w:vAlign w:val="center"/>
          </w:tcPr>
          <w:p w14:paraId="6CB1F07C" w14:textId="6F220558"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13</w:t>
            </w:r>
          </w:p>
        </w:tc>
        <w:tc>
          <w:tcPr>
            <w:tcW w:w="1303" w:type="dxa"/>
            <w:tcBorders>
              <w:left w:val="single" w:sz="18" w:space="0" w:color="auto"/>
            </w:tcBorders>
            <w:vAlign w:val="center"/>
          </w:tcPr>
          <w:p w14:paraId="0163BF2F" w14:textId="0733E71A"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169</w:t>
            </w:r>
          </w:p>
        </w:tc>
        <w:tc>
          <w:tcPr>
            <w:tcW w:w="1303" w:type="dxa"/>
            <w:vAlign w:val="center"/>
          </w:tcPr>
          <w:p w14:paraId="6AAA248B" w14:textId="6D3573BC"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334</w:t>
            </w:r>
          </w:p>
        </w:tc>
        <w:tc>
          <w:tcPr>
            <w:tcW w:w="1305" w:type="dxa"/>
            <w:tcBorders>
              <w:right w:val="single" w:sz="18" w:space="0" w:color="auto"/>
            </w:tcBorders>
            <w:vAlign w:val="center"/>
          </w:tcPr>
          <w:p w14:paraId="1C48EABA" w14:textId="36A5E257"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46</w:t>
            </w:r>
          </w:p>
        </w:tc>
        <w:tc>
          <w:tcPr>
            <w:tcW w:w="1303" w:type="dxa"/>
            <w:tcBorders>
              <w:left w:val="single" w:sz="18" w:space="0" w:color="auto"/>
            </w:tcBorders>
            <w:vAlign w:val="center"/>
          </w:tcPr>
          <w:p w14:paraId="346194AC" w14:textId="14E904F1"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205</w:t>
            </w:r>
          </w:p>
        </w:tc>
        <w:tc>
          <w:tcPr>
            <w:tcW w:w="1303" w:type="dxa"/>
            <w:vAlign w:val="center"/>
          </w:tcPr>
          <w:p w14:paraId="1E915FAE" w14:textId="4A6F4327"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296</w:t>
            </w:r>
          </w:p>
        </w:tc>
        <w:tc>
          <w:tcPr>
            <w:tcW w:w="1305" w:type="dxa"/>
            <w:tcBorders>
              <w:right w:val="single" w:sz="18" w:space="0" w:color="auto"/>
            </w:tcBorders>
            <w:vAlign w:val="center"/>
          </w:tcPr>
          <w:p w14:paraId="4A105DD8" w14:textId="29701273"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48</w:t>
            </w:r>
          </w:p>
        </w:tc>
      </w:tr>
      <w:tr w:rsidR="007A620C" w14:paraId="4EF683A4" w14:textId="77777777" w:rsidTr="00E41878">
        <w:tc>
          <w:tcPr>
            <w:tcW w:w="1298" w:type="dxa"/>
            <w:vMerge/>
            <w:vAlign w:val="center"/>
          </w:tcPr>
          <w:p w14:paraId="4D529CA6" w14:textId="77777777" w:rsidR="007A620C" w:rsidRPr="002B34C6" w:rsidRDefault="007A620C" w:rsidP="007A620C">
            <w:pPr>
              <w:spacing w:before="40" w:after="40"/>
              <w:contextualSpacing w:val="0"/>
              <w:jc w:val="center"/>
              <w:rPr>
                <w:rFonts w:ascii="Arial" w:eastAsia="+mn-ea" w:hAnsi="Arial" w:cs="Arial"/>
                <w:b/>
                <w:bCs/>
                <w:color w:val="000000"/>
                <w:kern w:val="24"/>
                <w:sz w:val="22"/>
              </w:rPr>
            </w:pPr>
          </w:p>
        </w:tc>
        <w:tc>
          <w:tcPr>
            <w:tcW w:w="1439" w:type="dxa"/>
            <w:tcBorders>
              <w:right w:val="single" w:sz="18" w:space="0" w:color="auto"/>
            </w:tcBorders>
            <w:vAlign w:val="center"/>
          </w:tcPr>
          <w:p w14:paraId="755072BB" w14:textId="77777777"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≥20.0%</w:t>
            </w:r>
          </w:p>
        </w:tc>
        <w:tc>
          <w:tcPr>
            <w:tcW w:w="1366" w:type="dxa"/>
            <w:tcBorders>
              <w:left w:val="single" w:sz="18" w:space="0" w:color="auto"/>
              <w:bottom w:val="single" w:sz="18" w:space="0" w:color="auto"/>
            </w:tcBorders>
            <w:vAlign w:val="center"/>
          </w:tcPr>
          <w:p w14:paraId="2A4E5563" w14:textId="4B80931A"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0</w:t>
            </w:r>
          </w:p>
        </w:tc>
        <w:tc>
          <w:tcPr>
            <w:tcW w:w="1304" w:type="dxa"/>
            <w:tcBorders>
              <w:bottom w:val="single" w:sz="18" w:space="0" w:color="auto"/>
            </w:tcBorders>
            <w:vAlign w:val="center"/>
          </w:tcPr>
          <w:p w14:paraId="1A2E8EB5" w14:textId="1E9837AC"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122</w:t>
            </w:r>
          </w:p>
        </w:tc>
        <w:tc>
          <w:tcPr>
            <w:tcW w:w="1305" w:type="dxa"/>
            <w:tcBorders>
              <w:bottom w:val="single" w:sz="18" w:space="0" w:color="auto"/>
              <w:right w:val="single" w:sz="18" w:space="0" w:color="auto"/>
            </w:tcBorders>
            <w:vAlign w:val="center"/>
          </w:tcPr>
          <w:p w14:paraId="07258422" w14:textId="509C7230"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114</w:t>
            </w:r>
          </w:p>
        </w:tc>
        <w:tc>
          <w:tcPr>
            <w:tcW w:w="1303" w:type="dxa"/>
            <w:tcBorders>
              <w:left w:val="single" w:sz="18" w:space="0" w:color="auto"/>
              <w:bottom w:val="single" w:sz="18" w:space="0" w:color="auto"/>
            </w:tcBorders>
            <w:vAlign w:val="center"/>
          </w:tcPr>
          <w:p w14:paraId="454ABFAD" w14:textId="1CD577D4"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w:t>
            </w:r>
          </w:p>
        </w:tc>
        <w:tc>
          <w:tcPr>
            <w:tcW w:w="1303" w:type="dxa"/>
            <w:tcBorders>
              <w:bottom w:val="single" w:sz="18" w:space="0" w:color="auto"/>
            </w:tcBorders>
            <w:vAlign w:val="center"/>
          </w:tcPr>
          <w:p w14:paraId="5FA839F2" w14:textId="4462B211"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140</w:t>
            </w:r>
          </w:p>
        </w:tc>
        <w:tc>
          <w:tcPr>
            <w:tcW w:w="1305" w:type="dxa"/>
            <w:tcBorders>
              <w:bottom w:val="single" w:sz="18" w:space="0" w:color="auto"/>
              <w:right w:val="single" w:sz="18" w:space="0" w:color="auto"/>
            </w:tcBorders>
            <w:vAlign w:val="center"/>
          </w:tcPr>
          <w:p w14:paraId="53C3DA8B" w14:textId="19561CE8"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90</w:t>
            </w:r>
          </w:p>
        </w:tc>
        <w:tc>
          <w:tcPr>
            <w:tcW w:w="1303" w:type="dxa"/>
            <w:tcBorders>
              <w:left w:val="single" w:sz="18" w:space="0" w:color="auto"/>
              <w:bottom w:val="single" w:sz="18" w:space="0" w:color="auto"/>
            </w:tcBorders>
            <w:vAlign w:val="center"/>
          </w:tcPr>
          <w:p w14:paraId="1BA3FA56" w14:textId="179FA4E2"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17</w:t>
            </w:r>
          </w:p>
        </w:tc>
        <w:tc>
          <w:tcPr>
            <w:tcW w:w="1303" w:type="dxa"/>
            <w:tcBorders>
              <w:bottom w:val="single" w:sz="18" w:space="0" w:color="auto"/>
            </w:tcBorders>
            <w:vAlign w:val="center"/>
          </w:tcPr>
          <w:p w14:paraId="7CC78809" w14:textId="62853935"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152</w:t>
            </w:r>
          </w:p>
        </w:tc>
        <w:tc>
          <w:tcPr>
            <w:tcW w:w="1305" w:type="dxa"/>
            <w:tcBorders>
              <w:bottom w:val="single" w:sz="18" w:space="0" w:color="auto"/>
              <w:right w:val="single" w:sz="18" w:space="0" w:color="auto"/>
            </w:tcBorders>
            <w:vAlign w:val="center"/>
          </w:tcPr>
          <w:p w14:paraId="0DBAB676" w14:textId="2BF08E8E"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67</w:t>
            </w:r>
          </w:p>
        </w:tc>
      </w:tr>
      <w:tr w:rsidR="007A620C" w14:paraId="15B8D660" w14:textId="77777777" w:rsidTr="007A620C">
        <w:tc>
          <w:tcPr>
            <w:tcW w:w="1298" w:type="dxa"/>
            <w:vMerge w:val="restart"/>
            <w:vAlign w:val="center"/>
          </w:tcPr>
          <w:p w14:paraId="6224FBF3" w14:textId="77777777" w:rsidR="007A620C" w:rsidRPr="002B34C6" w:rsidRDefault="007A620C" w:rsidP="007A620C">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Model 1</w:t>
            </w:r>
          </w:p>
        </w:tc>
        <w:tc>
          <w:tcPr>
            <w:tcW w:w="1439" w:type="dxa"/>
            <w:vAlign w:val="center"/>
          </w:tcPr>
          <w:p w14:paraId="3FE27D28" w14:textId="77777777"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&lt;7.5%</w:t>
            </w:r>
          </w:p>
        </w:tc>
        <w:tc>
          <w:tcPr>
            <w:tcW w:w="1366" w:type="dxa"/>
            <w:tcBorders>
              <w:top w:val="single" w:sz="18" w:space="0" w:color="auto"/>
            </w:tcBorders>
            <w:shd w:val="clear" w:color="auto" w:fill="E7E6E6" w:themeFill="background2"/>
            <w:vAlign w:val="center"/>
          </w:tcPr>
          <w:p w14:paraId="6EE8463D"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4" w:type="dxa"/>
            <w:tcBorders>
              <w:top w:val="single" w:sz="18" w:space="0" w:color="auto"/>
            </w:tcBorders>
            <w:shd w:val="clear" w:color="auto" w:fill="E7E6E6" w:themeFill="background2"/>
            <w:vAlign w:val="center"/>
          </w:tcPr>
          <w:p w14:paraId="5FDB82C7"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tcBorders>
              <w:top w:val="single" w:sz="18" w:space="0" w:color="auto"/>
              <w:right w:val="single" w:sz="18" w:space="0" w:color="auto"/>
            </w:tcBorders>
            <w:shd w:val="clear" w:color="auto" w:fill="E7E6E6" w:themeFill="background2"/>
            <w:vAlign w:val="center"/>
          </w:tcPr>
          <w:p w14:paraId="0334E670"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top w:val="single" w:sz="18" w:space="0" w:color="auto"/>
              <w:left w:val="single" w:sz="18" w:space="0" w:color="auto"/>
            </w:tcBorders>
            <w:vAlign w:val="center"/>
          </w:tcPr>
          <w:p w14:paraId="1F78F782" w14:textId="4699B16E"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598</w:t>
            </w:r>
          </w:p>
        </w:tc>
        <w:tc>
          <w:tcPr>
            <w:tcW w:w="1303" w:type="dxa"/>
            <w:tcBorders>
              <w:top w:val="single" w:sz="18" w:space="0" w:color="auto"/>
            </w:tcBorders>
            <w:vAlign w:val="center"/>
          </w:tcPr>
          <w:p w14:paraId="7EBBFF21" w14:textId="1138AC9E"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96</w:t>
            </w:r>
          </w:p>
        </w:tc>
        <w:tc>
          <w:tcPr>
            <w:tcW w:w="1305" w:type="dxa"/>
            <w:tcBorders>
              <w:top w:val="single" w:sz="18" w:space="0" w:color="auto"/>
              <w:right w:val="single" w:sz="18" w:space="0" w:color="auto"/>
            </w:tcBorders>
            <w:vAlign w:val="center"/>
          </w:tcPr>
          <w:p w14:paraId="0D37A215" w14:textId="4642F334"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w:t>
            </w:r>
          </w:p>
        </w:tc>
        <w:tc>
          <w:tcPr>
            <w:tcW w:w="1303" w:type="dxa"/>
            <w:tcBorders>
              <w:top w:val="single" w:sz="18" w:space="0" w:color="auto"/>
              <w:left w:val="single" w:sz="18" w:space="0" w:color="auto"/>
            </w:tcBorders>
            <w:shd w:val="clear" w:color="auto" w:fill="auto"/>
            <w:vAlign w:val="center"/>
          </w:tcPr>
          <w:p w14:paraId="2A51B44E" w14:textId="2545E0D6"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584</w:t>
            </w:r>
          </w:p>
        </w:tc>
        <w:tc>
          <w:tcPr>
            <w:tcW w:w="1303" w:type="dxa"/>
            <w:tcBorders>
              <w:top w:val="single" w:sz="18" w:space="0" w:color="auto"/>
            </w:tcBorders>
            <w:shd w:val="clear" w:color="auto" w:fill="auto"/>
            <w:vAlign w:val="center"/>
          </w:tcPr>
          <w:p w14:paraId="1B7EE26A" w14:textId="04CF25D2"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109</w:t>
            </w:r>
          </w:p>
        </w:tc>
        <w:tc>
          <w:tcPr>
            <w:tcW w:w="1305" w:type="dxa"/>
            <w:tcBorders>
              <w:top w:val="single" w:sz="18" w:space="0" w:color="auto"/>
              <w:right w:val="single" w:sz="18" w:space="0" w:color="auto"/>
            </w:tcBorders>
            <w:shd w:val="clear" w:color="auto" w:fill="auto"/>
            <w:vAlign w:val="center"/>
          </w:tcPr>
          <w:p w14:paraId="6DC0BA52" w14:textId="19EAA5FC"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2</w:t>
            </w:r>
          </w:p>
        </w:tc>
      </w:tr>
      <w:tr w:rsidR="007A620C" w14:paraId="72C933CE" w14:textId="77777777" w:rsidTr="007A620C">
        <w:tc>
          <w:tcPr>
            <w:tcW w:w="1298" w:type="dxa"/>
            <w:vMerge/>
            <w:vAlign w:val="center"/>
          </w:tcPr>
          <w:p w14:paraId="6F04DAA4" w14:textId="77777777" w:rsidR="007A620C" w:rsidRPr="002B34C6" w:rsidRDefault="007A620C" w:rsidP="007A620C">
            <w:pPr>
              <w:spacing w:before="40" w:after="40"/>
              <w:contextualSpacing w:val="0"/>
              <w:jc w:val="center"/>
              <w:rPr>
                <w:rFonts w:ascii="Arial" w:eastAsia="+mn-ea" w:hAnsi="Arial" w:cs="Arial"/>
                <w:b/>
                <w:bCs/>
                <w:color w:val="000000"/>
                <w:kern w:val="24"/>
                <w:sz w:val="22"/>
              </w:rPr>
            </w:pPr>
          </w:p>
        </w:tc>
        <w:tc>
          <w:tcPr>
            <w:tcW w:w="1439" w:type="dxa"/>
            <w:vAlign w:val="center"/>
          </w:tcPr>
          <w:p w14:paraId="2844C781" w14:textId="77777777"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7.5-19.9%</w:t>
            </w:r>
          </w:p>
        </w:tc>
        <w:tc>
          <w:tcPr>
            <w:tcW w:w="1366" w:type="dxa"/>
            <w:shd w:val="clear" w:color="auto" w:fill="E7E6E6" w:themeFill="background2"/>
            <w:vAlign w:val="center"/>
          </w:tcPr>
          <w:p w14:paraId="71A67880"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4" w:type="dxa"/>
            <w:shd w:val="clear" w:color="auto" w:fill="E7E6E6" w:themeFill="background2"/>
            <w:vAlign w:val="center"/>
          </w:tcPr>
          <w:p w14:paraId="1A69C222"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tcBorders>
              <w:right w:val="single" w:sz="18" w:space="0" w:color="auto"/>
            </w:tcBorders>
            <w:shd w:val="clear" w:color="auto" w:fill="E7E6E6" w:themeFill="background2"/>
            <w:vAlign w:val="center"/>
          </w:tcPr>
          <w:p w14:paraId="66496119"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left w:val="single" w:sz="18" w:space="0" w:color="auto"/>
            </w:tcBorders>
            <w:vAlign w:val="center"/>
          </w:tcPr>
          <w:p w14:paraId="281EF89D" w14:textId="1178E883"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191</w:t>
            </w:r>
          </w:p>
        </w:tc>
        <w:tc>
          <w:tcPr>
            <w:tcW w:w="1303" w:type="dxa"/>
            <w:vAlign w:val="center"/>
          </w:tcPr>
          <w:p w14:paraId="47347487" w14:textId="667C9C2A"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488</w:t>
            </w:r>
          </w:p>
        </w:tc>
        <w:tc>
          <w:tcPr>
            <w:tcW w:w="1305" w:type="dxa"/>
            <w:tcBorders>
              <w:right w:val="single" w:sz="18" w:space="0" w:color="auto"/>
            </w:tcBorders>
            <w:vAlign w:val="center"/>
          </w:tcPr>
          <w:p w14:paraId="4267428C" w14:textId="557FE866"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64</w:t>
            </w:r>
          </w:p>
        </w:tc>
        <w:tc>
          <w:tcPr>
            <w:tcW w:w="1303" w:type="dxa"/>
            <w:tcBorders>
              <w:left w:val="single" w:sz="18" w:space="0" w:color="auto"/>
            </w:tcBorders>
            <w:shd w:val="clear" w:color="auto" w:fill="auto"/>
            <w:vAlign w:val="center"/>
          </w:tcPr>
          <w:p w14:paraId="0E70D718" w14:textId="37179B07"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245</w:t>
            </w:r>
          </w:p>
        </w:tc>
        <w:tc>
          <w:tcPr>
            <w:tcW w:w="1303" w:type="dxa"/>
            <w:shd w:val="clear" w:color="auto" w:fill="auto"/>
            <w:vAlign w:val="center"/>
          </w:tcPr>
          <w:p w14:paraId="19F86C38" w14:textId="1FA324D3"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427</w:t>
            </w:r>
          </w:p>
        </w:tc>
        <w:tc>
          <w:tcPr>
            <w:tcW w:w="1305" w:type="dxa"/>
            <w:tcBorders>
              <w:right w:val="single" w:sz="18" w:space="0" w:color="auto"/>
            </w:tcBorders>
            <w:shd w:val="clear" w:color="auto" w:fill="auto"/>
            <w:vAlign w:val="center"/>
          </w:tcPr>
          <w:p w14:paraId="6A5C522B" w14:textId="50C87EDB"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71</w:t>
            </w:r>
          </w:p>
        </w:tc>
      </w:tr>
      <w:tr w:rsidR="007A620C" w14:paraId="7F9FE4AB" w14:textId="77777777" w:rsidTr="007A620C">
        <w:tc>
          <w:tcPr>
            <w:tcW w:w="1298" w:type="dxa"/>
            <w:vMerge/>
            <w:vAlign w:val="center"/>
          </w:tcPr>
          <w:p w14:paraId="2BD54D2A" w14:textId="77777777" w:rsidR="007A620C" w:rsidRPr="002B34C6" w:rsidRDefault="007A620C" w:rsidP="007A620C">
            <w:pPr>
              <w:spacing w:before="40" w:after="40"/>
              <w:contextualSpacing w:val="0"/>
              <w:jc w:val="center"/>
              <w:rPr>
                <w:rFonts w:ascii="Arial" w:eastAsia="+mn-ea" w:hAnsi="Arial" w:cs="Arial"/>
                <w:b/>
                <w:bCs/>
                <w:color w:val="000000"/>
                <w:kern w:val="24"/>
                <w:sz w:val="22"/>
              </w:rPr>
            </w:pPr>
          </w:p>
        </w:tc>
        <w:tc>
          <w:tcPr>
            <w:tcW w:w="1439" w:type="dxa"/>
            <w:vAlign w:val="center"/>
          </w:tcPr>
          <w:p w14:paraId="30FE0A51" w14:textId="77777777"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≥20.0%</w:t>
            </w:r>
          </w:p>
        </w:tc>
        <w:tc>
          <w:tcPr>
            <w:tcW w:w="1366" w:type="dxa"/>
            <w:shd w:val="clear" w:color="auto" w:fill="E7E6E6" w:themeFill="background2"/>
            <w:vAlign w:val="center"/>
          </w:tcPr>
          <w:p w14:paraId="1CDE98E6"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4" w:type="dxa"/>
            <w:shd w:val="clear" w:color="auto" w:fill="E7E6E6" w:themeFill="background2"/>
            <w:vAlign w:val="center"/>
          </w:tcPr>
          <w:p w14:paraId="229C705F"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tcBorders>
              <w:right w:val="single" w:sz="18" w:space="0" w:color="auto"/>
            </w:tcBorders>
            <w:shd w:val="clear" w:color="auto" w:fill="E7E6E6" w:themeFill="background2"/>
            <w:vAlign w:val="center"/>
          </w:tcPr>
          <w:p w14:paraId="668FA48E"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left w:val="single" w:sz="18" w:space="0" w:color="auto"/>
              <w:bottom w:val="single" w:sz="18" w:space="0" w:color="auto"/>
            </w:tcBorders>
            <w:vAlign w:val="center"/>
          </w:tcPr>
          <w:p w14:paraId="2FA8D6B2" w14:textId="27037589"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0</w:t>
            </w:r>
          </w:p>
        </w:tc>
        <w:tc>
          <w:tcPr>
            <w:tcW w:w="1303" w:type="dxa"/>
            <w:tcBorders>
              <w:bottom w:val="single" w:sz="18" w:space="0" w:color="auto"/>
            </w:tcBorders>
            <w:vAlign w:val="center"/>
          </w:tcPr>
          <w:p w14:paraId="7B412ED8" w14:textId="4AC0D280"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51</w:t>
            </w:r>
          </w:p>
        </w:tc>
        <w:tc>
          <w:tcPr>
            <w:tcW w:w="1305" w:type="dxa"/>
            <w:tcBorders>
              <w:bottom w:val="single" w:sz="18" w:space="0" w:color="auto"/>
              <w:right w:val="single" w:sz="18" w:space="0" w:color="auto"/>
            </w:tcBorders>
            <w:vAlign w:val="center"/>
          </w:tcPr>
          <w:p w14:paraId="0EAF1FEA" w14:textId="62584826"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76</w:t>
            </w:r>
          </w:p>
        </w:tc>
        <w:tc>
          <w:tcPr>
            <w:tcW w:w="1303" w:type="dxa"/>
            <w:tcBorders>
              <w:left w:val="single" w:sz="18" w:space="0" w:color="auto"/>
              <w:bottom w:val="single" w:sz="18" w:space="0" w:color="auto"/>
            </w:tcBorders>
            <w:shd w:val="clear" w:color="auto" w:fill="auto"/>
            <w:vAlign w:val="center"/>
          </w:tcPr>
          <w:p w14:paraId="6F6808D4" w14:textId="5BE00FA0"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3</w:t>
            </w:r>
          </w:p>
        </w:tc>
        <w:tc>
          <w:tcPr>
            <w:tcW w:w="1303" w:type="dxa"/>
            <w:tcBorders>
              <w:bottom w:val="single" w:sz="18" w:space="0" w:color="auto"/>
            </w:tcBorders>
            <w:shd w:val="clear" w:color="auto" w:fill="auto"/>
            <w:vAlign w:val="center"/>
          </w:tcPr>
          <w:p w14:paraId="0527AF65" w14:textId="3DC460AA"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71</w:t>
            </w:r>
          </w:p>
        </w:tc>
        <w:tc>
          <w:tcPr>
            <w:tcW w:w="1305" w:type="dxa"/>
            <w:tcBorders>
              <w:bottom w:val="single" w:sz="18" w:space="0" w:color="auto"/>
              <w:right w:val="single" w:sz="18" w:space="0" w:color="auto"/>
            </w:tcBorders>
            <w:shd w:val="clear" w:color="auto" w:fill="auto"/>
            <w:vAlign w:val="center"/>
          </w:tcPr>
          <w:p w14:paraId="5E806B43" w14:textId="31BD370B"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53</w:t>
            </w:r>
          </w:p>
        </w:tc>
      </w:tr>
      <w:tr w:rsidR="007A620C" w14:paraId="0FBECC7A" w14:textId="77777777" w:rsidTr="00E41878">
        <w:tc>
          <w:tcPr>
            <w:tcW w:w="1298" w:type="dxa"/>
            <w:vMerge w:val="restart"/>
            <w:vAlign w:val="center"/>
          </w:tcPr>
          <w:p w14:paraId="34147393" w14:textId="77777777" w:rsidR="007A620C" w:rsidRPr="002B34C6" w:rsidRDefault="007A620C" w:rsidP="007A620C">
            <w:pPr>
              <w:spacing w:before="40" w:after="40"/>
              <w:contextualSpacing w:val="0"/>
              <w:jc w:val="center"/>
              <w:rPr>
                <w:rFonts w:ascii="Arial" w:eastAsia="+mn-ea" w:hAnsi="Arial" w:cs="Arial"/>
                <w:b/>
                <w:bCs/>
                <w:color w:val="000000"/>
                <w:kern w:val="24"/>
                <w:sz w:val="22"/>
              </w:rPr>
            </w:pPr>
            <w:r w:rsidRPr="002B34C6">
              <w:rPr>
                <w:rFonts w:ascii="Arial" w:eastAsia="+mn-ea" w:hAnsi="Arial" w:cs="Arial"/>
                <w:b/>
                <w:bCs/>
                <w:color w:val="000000"/>
                <w:kern w:val="24"/>
                <w:sz w:val="22"/>
              </w:rPr>
              <w:t>Model 2</w:t>
            </w:r>
          </w:p>
        </w:tc>
        <w:tc>
          <w:tcPr>
            <w:tcW w:w="1439" w:type="dxa"/>
            <w:vAlign w:val="center"/>
          </w:tcPr>
          <w:p w14:paraId="0FA2A732" w14:textId="77777777"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&lt;7.5%</w:t>
            </w:r>
          </w:p>
        </w:tc>
        <w:tc>
          <w:tcPr>
            <w:tcW w:w="1366" w:type="dxa"/>
            <w:shd w:val="clear" w:color="auto" w:fill="E7E6E6" w:themeFill="background2"/>
            <w:vAlign w:val="center"/>
          </w:tcPr>
          <w:p w14:paraId="6DF4E601"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4" w:type="dxa"/>
            <w:shd w:val="clear" w:color="auto" w:fill="E7E6E6" w:themeFill="background2"/>
            <w:vAlign w:val="center"/>
          </w:tcPr>
          <w:p w14:paraId="6728A115"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shd w:val="clear" w:color="auto" w:fill="E7E6E6" w:themeFill="background2"/>
            <w:vAlign w:val="center"/>
          </w:tcPr>
          <w:p w14:paraId="1CB8920D"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top w:val="single" w:sz="18" w:space="0" w:color="auto"/>
            </w:tcBorders>
            <w:shd w:val="clear" w:color="auto" w:fill="E7E6E6" w:themeFill="background2"/>
            <w:vAlign w:val="center"/>
          </w:tcPr>
          <w:p w14:paraId="6FC7B404"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top w:val="single" w:sz="18" w:space="0" w:color="auto"/>
            </w:tcBorders>
            <w:shd w:val="clear" w:color="auto" w:fill="E7E6E6" w:themeFill="background2"/>
            <w:vAlign w:val="center"/>
          </w:tcPr>
          <w:p w14:paraId="5B51FF9A"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tcBorders>
              <w:top w:val="single" w:sz="18" w:space="0" w:color="auto"/>
              <w:right w:val="single" w:sz="18" w:space="0" w:color="auto"/>
            </w:tcBorders>
            <w:shd w:val="clear" w:color="auto" w:fill="E7E6E6" w:themeFill="background2"/>
            <w:vAlign w:val="center"/>
          </w:tcPr>
          <w:p w14:paraId="73C7A46A"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top w:val="single" w:sz="18" w:space="0" w:color="auto"/>
              <w:left w:val="single" w:sz="18" w:space="0" w:color="auto"/>
            </w:tcBorders>
            <w:vAlign w:val="center"/>
          </w:tcPr>
          <w:p w14:paraId="4CFB5ECF" w14:textId="6FD4B6DD"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697</w:t>
            </w:r>
          </w:p>
        </w:tc>
        <w:tc>
          <w:tcPr>
            <w:tcW w:w="1303" w:type="dxa"/>
            <w:tcBorders>
              <w:top w:val="single" w:sz="18" w:space="0" w:color="auto"/>
            </w:tcBorders>
            <w:vAlign w:val="center"/>
          </w:tcPr>
          <w:p w14:paraId="6270FF0B" w14:textId="4E782D0D"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92</w:t>
            </w:r>
          </w:p>
        </w:tc>
        <w:tc>
          <w:tcPr>
            <w:tcW w:w="1305" w:type="dxa"/>
            <w:tcBorders>
              <w:top w:val="single" w:sz="18" w:space="0" w:color="auto"/>
              <w:right w:val="single" w:sz="18" w:space="0" w:color="auto"/>
            </w:tcBorders>
            <w:vAlign w:val="center"/>
          </w:tcPr>
          <w:p w14:paraId="23F52CA7" w14:textId="736533CC"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0</w:t>
            </w:r>
          </w:p>
        </w:tc>
      </w:tr>
      <w:tr w:rsidR="007A620C" w14:paraId="3A3FB796" w14:textId="77777777" w:rsidTr="00E41878">
        <w:tc>
          <w:tcPr>
            <w:tcW w:w="1298" w:type="dxa"/>
            <w:vMerge/>
            <w:vAlign w:val="center"/>
          </w:tcPr>
          <w:p w14:paraId="25B71493"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439" w:type="dxa"/>
            <w:vAlign w:val="center"/>
          </w:tcPr>
          <w:p w14:paraId="7B9D2457" w14:textId="77777777"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7.5-19.9%</w:t>
            </w:r>
          </w:p>
        </w:tc>
        <w:tc>
          <w:tcPr>
            <w:tcW w:w="1366" w:type="dxa"/>
            <w:shd w:val="clear" w:color="auto" w:fill="E7E6E6" w:themeFill="background2"/>
            <w:vAlign w:val="center"/>
          </w:tcPr>
          <w:p w14:paraId="56880EBF"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4" w:type="dxa"/>
            <w:shd w:val="clear" w:color="auto" w:fill="E7E6E6" w:themeFill="background2"/>
            <w:vAlign w:val="center"/>
          </w:tcPr>
          <w:p w14:paraId="3CAA9A04"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shd w:val="clear" w:color="auto" w:fill="E7E6E6" w:themeFill="background2"/>
            <w:vAlign w:val="center"/>
          </w:tcPr>
          <w:p w14:paraId="77E3631E"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shd w:val="clear" w:color="auto" w:fill="E7E6E6" w:themeFill="background2"/>
            <w:vAlign w:val="center"/>
          </w:tcPr>
          <w:p w14:paraId="695E63AB"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shd w:val="clear" w:color="auto" w:fill="E7E6E6" w:themeFill="background2"/>
            <w:vAlign w:val="center"/>
          </w:tcPr>
          <w:p w14:paraId="65227501"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tcBorders>
              <w:right w:val="single" w:sz="18" w:space="0" w:color="auto"/>
            </w:tcBorders>
            <w:shd w:val="clear" w:color="auto" w:fill="E7E6E6" w:themeFill="background2"/>
            <w:vAlign w:val="center"/>
          </w:tcPr>
          <w:p w14:paraId="75EF980D"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left w:val="single" w:sz="18" w:space="0" w:color="auto"/>
            </w:tcBorders>
            <w:vAlign w:val="center"/>
          </w:tcPr>
          <w:p w14:paraId="03A9321F" w14:textId="0C80FE6A"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135</w:t>
            </w:r>
          </w:p>
        </w:tc>
        <w:tc>
          <w:tcPr>
            <w:tcW w:w="1303" w:type="dxa"/>
            <w:vAlign w:val="center"/>
          </w:tcPr>
          <w:p w14:paraId="0CF48B6F" w14:textId="4BACF229"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464</w:t>
            </w:r>
          </w:p>
        </w:tc>
        <w:tc>
          <w:tcPr>
            <w:tcW w:w="1305" w:type="dxa"/>
            <w:tcBorders>
              <w:right w:val="single" w:sz="18" w:space="0" w:color="auto"/>
            </w:tcBorders>
            <w:vAlign w:val="center"/>
          </w:tcPr>
          <w:p w14:paraId="1C95CF55" w14:textId="44D2FDF0"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36</w:t>
            </w:r>
          </w:p>
        </w:tc>
      </w:tr>
      <w:tr w:rsidR="007A620C" w14:paraId="1D4E6709" w14:textId="77777777" w:rsidTr="00E41878">
        <w:tc>
          <w:tcPr>
            <w:tcW w:w="1298" w:type="dxa"/>
            <w:vMerge/>
            <w:vAlign w:val="center"/>
          </w:tcPr>
          <w:p w14:paraId="3972C8D0"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439" w:type="dxa"/>
            <w:vAlign w:val="center"/>
          </w:tcPr>
          <w:p w14:paraId="038EACCE" w14:textId="77777777" w:rsidR="007A620C" w:rsidRPr="002B34C6" w:rsidRDefault="007A620C" w:rsidP="007A620C">
            <w:pPr>
              <w:spacing w:before="40" w:after="40"/>
              <w:contextualSpacing w:val="0"/>
              <w:jc w:val="center"/>
              <w:rPr>
                <w:rFonts w:ascii="Arial" w:eastAsia="+mn-ea" w:hAnsi="Arial" w:cs="Arial"/>
                <w:i/>
                <w:iCs/>
                <w:color w:val="000000"/>
                <w:kern w:val="24"/>
                <w:sz w:val="22"/>
              </w:rPr>
            </w:pPr>
            <w:r w:rsidRPr="002B34C6">
              <w:rPr>
                <w:rFonts w:ascii="Arial" w:eastAsia="+mn-ea" w:hAnsi="Arial" w:cs="Arial"/>
                <w:i/>
                <w:iCs/>
                <w:color w:val="000000"/>
                <w:kern w:val="24"/>
                <w:sz w:val="22"/>
              </w:rPr>
              <w:t>≥20.0%</w:t>
            </w:r>
          </w:p>
        </w:tc>
        <w:tc>
          <w:tcPr>
            <w:tcW w:w="1366" w:type="dxa"/>
            <w:shd w:val="clear" w:color="auto" w:fill="E7E6E6" w:themeFill="background2"/>
            <w:vAlign w:val="center"/>
          </w:tcPr>
          <w:p w14:paraId="13881B21"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4" w:type="dxa"/>
            <w:shd w:val="clear" w:color="auto" w:fill="E7E6E6" w:themeFill="background2"/>
            <w:vAlign w:val="center"/>
          </w:tcPr>
          <w:p w14:paraId="67856E9E"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shd w:val="clear" w:color="auto" w:fill="E7E6E6" w:themeFill="background2"/>
            <w:vAlign w:val="center"/>
          </w:tcPr>
          <w:p w14:paraId="04F194FE"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shd w:val="clear" w:color="auto" w:fill="E7E6E6" w:themeFill="background2"/>
            <w:vAlign w:val="center"/>
          </w:tcPr>
          <w:p w14:paraId="42ED95D6"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shd w:val="clear" w:color="auto" w:fill="E7E6E6" w:themeFill="background2"/>
            <w:vAlign w:val="center"/>
          </w:tcPr>
          <w:p w14:paraId="2F9A0A1C"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5" w:type="dxa"/>
            <w:tcBorders>
              <w:right w:val="single" w:sz="18" w:space="0" w:color="auto"/>
            </w:tcBorders>
            <w:shd w:val="clear" w:color="auto" w:fill="E7E6E6" w:themeFill="background2"/>
            <w:vAlign w:val="center"/>
          </w:tcPr>
          <w:p w14:paraId="4382A612" w14:textId="77777777" w:rsidR="007A620C" w:rsidRDefault="007A620C" w:rsidP="007A620C">
            <w:pPr>
              <w:spacing w:before="40" w:after="40"/>
              <w:contextualSpacing w:val="0"/>
              <w:jc w:val="center"/>
              <w:rPr>
                <w:rFonts w:ascii="Arial" w:eastAsia="+mn-ea" w:hAnsi="Arial" w:cs="Arial"/>
                <w:color w:val="000000"/>
                <w:kern w:val="24"/>
                <w:sz w:val="22"/>
              </w:rPr>
            </w:pPr>
          </w:p>
        </w:tc>
        <w:tc>
          <w:tcPr>
            <w:tcW w:w="1303" w:type="dxa"/>
            <w:tcBorders>
              <w:left w:val="single" w:sz="18" w:space="0" w:color="auto"/>
              <w:bottom w:val="single" w:sz="18" w:space="0" w:color="auto"/>
            </w:tcBorders>
            <w:vAlign w:val="center"/>
          </w:tcPr>
          <w:p w14:paraId="0629C879" w14:textId="6D64C15E"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0</w:t>
            </w:r>
          </w:p>
        </w:tc>
        <w:tc>
          <w:tcPr>
            <w:tcW w:w="1303" w:type="dxa"/>
            <w:tcBorders>
              <w:bottom w:val="single" w:sz="18" w:space="0" w:color="auto"/>
            </w:tcBorders>
            <w:vAlign w:val="center"/>
          </w:tcPr>
          <w:p w14:paraId="0BFC8BD3" w14:textId="4D5B238A"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51</w:t>
            </w:r>
          </w:p>
        </w:tc>
        <w:tc>
          <w:tcPr>
            <w:tcW w:w="1305" w:type="dxa"/>
            <w:tcBorders>
              <w:bottom w:val="single" w:sz="18" w:space="0" w:color="auto"/>
              <w:right w:val="single" w:sz="18" w:space="0" w:color="auto"/>
            </w:tcBorders>
            <w:vAlign w:val="center"/>
          </w:tcPr>
          <w:p w14:paraId="728CC42A" w14:textId="3C6F50A8" w:rsidR="007A620C" w:rsidRDefault="007A620C" w:rsidP="007A620C">
            <w:pPr>
              <w:spacing w:before="40" w:after="40"/>
              <w:contextualSpacing w:val="0"/>
              <w:jc w:val="center"/>
              <w:rPr>
                <w:rFonts w:ascii="Arial" w:eastAsia="+mn-ea" w:hAnsi="Arial" w:cs="Arial"/>
                <w:color w:val="000000"/>
                <w:kern w:val="24"/>
                <w:sz w:val="22"/>
              </w:rPr>
            </w:pPr>
            <w:r>
              <w:rPr>
                <w:rFonts w:ascii="Arial" w:eastAsia="+mn-ea" w:hAnsi="Arial" w:cs="Arial"/>
                <w:color w:val="000000"/>
                <w:kern w:val="24"/>
                <w:sz w:val="22"/>
              </w:rPr>
              <w:t>90</w:t>
            </w:r>
          </w:p>
        </w:tc>
      </w:tr>
    </w:tbl>
    <w:p w14:paraId="63D38DC6" w14:textId="58034D0A" w:rsidR="00477000" w:rsidRDefault="00477000" w:rsidP="00477000">
      <w:pPr>
        <w:spacing w:before="120"/>
        <w:contextualSpacing w:val="0"/>
        <w:rPr>
          <w:rFonts w:ascii="Arial" w:hAnsi="Arial" w:cs="Arial"/>
          <w:sz w:val="22"/>
        </w:rPr>
      </w:pPr>
      <w:r>
        <w:rPr>
          <w:rFonts w:ascii="Arial" w:hAnsi="Arial" w:cs="Arial"/>
          <w:sz w:val="22"/>
        </w:rPr>
        <w:t>Models specified in the columns are compared to models specified in the rows for reclassification of non-events using cut points of 7.5% and 20%.</w:t>
      </w:r>
    </w:p>
    <w:p w14:paraId="05256A8C" w14:textId="0DA430B2" w:rsidR="00380CEF" w:rsidRPr="00380CEF" w:rsidRDefault="00477000" w:rsidP="00477000">
      <w:pPr>
        <w:spacing w:before="120"/>
        <w:contextualSpacing w:val="0"/>
        <w:rPr>
          <w:rFonts w:ascii="Arial" w:hAnsi="Arial" w:cs="Arial"/>
          <w:sz w:val="22"/>
        </w:rPr>
      </w:pPr>
      <w:r w:rsidRPr="00380CEF">
        <w:rPr>
          <w:rFonts w:ascii="Arial" w:hAnsi="Arial" w:cs="Arial"/>
          <w:sz w:val="22"/>
        </w:rPr>
        <w:t>Abbreviations: ACC/AHA PCEs = American College of Cardiology/American Heart Association Pooled Cohort Equations; ASCVD = atherosclerotic cardiovascular disease; CKD = chronic kidney disease</w:t>
      </w:r>
    </w:p>
    <w:sectPr w:rsidR="00380CEF" w:rsidRPr="00380CEF" w:rsidSect="00940A9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E1B0" w14:textId="77777777" w:rsidR="00483D9F" w:rsidRDefault="00483D9F" w:rsidP="00165260">
      <w:r>
        <w:separator/>
      </w:r>
    </w:p>
  </w:endnote>
  <w:endnote w:type="continuationSeparator" w:id="0">
    <w:p w14:paraId="19F9E0D0" w14:textId="77777777" w:rsidR="00483D9F" w:rsidRDefault="00483D9F" w:rsidP="0016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110331"/>
      <w:docPartObj>
        <w:docPartGallery w:val="Page Numbers (Bottom of Page)"/>
        <w:docPartUnique/>
      </w:docPartObj>
    </w:sdtPr>
    <w:sdtEndPr>
      <w:rPr>
        <w:noProof/>
      </w:rPr>
    </w:sdtEndPr>
    <w:sdtContent>
      <w:p w14:paraId="6772ECE0" w14:textId="0A3336A1" w:rsidR="00165260" w:rsidRDefault="001652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448BC" w14:textId="77777777" w:rsidR="00165260" w:rsidRDefault="0016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CFCE" w14:textId="77777777" w:rsidR="00483D9F" w:rsidRDefault="00483D9F" w:rsidP="00165260">
      <w:r>
        <w:separator/>
      </w:r>
    </w:p>
  </w:footnote>
  <w:footnote w:type="continuationSeparator" w:id="0">
    <w:p w14:paraId="7F191C8A" w14:textId="77777777" w:rsidR="00483D9F" w:rsidRDefault="00483D9F" w:rsidP="0016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0E"/>
    <w:rsid w:val="0000392F"/>
    <w:rsid w:val="000547D6"/>
    <w:rsid w:val="00060D18"/>
    <w:rsid w:val="00065322"/>
    <w:rsid w:val="0007624D"/>
    <w:rsid w:val="0008130E"/>
    <w:rsid w:val="00092A5E"/>
    <w:rsid w:val="000A1840"/>
    <w:rsid w:val="000C7FBF"/>
    <w:rsid w:val="000D06B3"/>
    <w:rsid w:val="000E48FB"/>
    <w:rsid w:val="000F481F"/>
    <w:rsid w:val="001054AC"/>
    <w:rsid w:val="001516F2"/>
    <w:rsid w:val="00165260"/>
    <w:rsid w:val="00167961"/>
    <w:rsid w:val="0017576E"/>
    <w:rsid w:val="001830C3"/>
    <w:rsid w:val="001968CC"/>
    <w:rsid w:val="001D6C5B"/>
    <w:rsid w:val="001E26F7"/>
    <w:rsid w:val="001E6CED"/>
    <w:rsid w:val="001F6413"/>
    <w:rsid w:val="001F7F97"/>
    <w:rsid w:val="0021679A"/>
    <w:rsid w:val="002362BE"/>
    <w:rsid w:val="002459FA"/>
    <w:rsid w:val="002807D6"/>
    <w:rsid w:val="002861F5"/>
    <w:rsid w:val="002B34C6"/>
    <w:rsid w:val="002B6951"/>
    <w:rsid w:val="002C5EE7"/>
    <w:rsid w:val="00301165"/>
    <w:rsid w:val="00314BA4"/>
    <w:rsid w:val="003476ED"/>
    <w:rsid w:val="00365867"/>
    <w:rsid w:val="00373869"/>
    <w:rsid w:val="00380CEF"/>
    <w:rsid w:val="00385239"/>
    <w:rsid w:val="003D3592"/>
    <w:rsid w:val="003E37FA"/>
    <w:rsid w:val="003F1D70"/>
    <w:rsid w:val="00413EDC"/>
    <w:rsid w:val="00424DBA"/>
    <w:rsid w:val="00447C0F"/>
    <w:rsid w:val="00476045"/>
    <w:rsid w:val="00477000"/>
    <w:rsid w:val="00483D9F"/>
    <w:rsid w:val="004935C2"/>
    <w:rsid w:val="004A00FD"/>
    <w:rsid w:val="004D45D7"/>
    <w:rsid w:val="004D4CDC"/>
    <w:rsid w:val="0050443E"/>
    <w:rsid w:val="0051034E"/>
    <w:rsid w:val="005233FB"/>
    <w:rsid w:val="0052420E"/>
    <w:rsid w:val="00534FC1"/>
    <w:rsid w:val="005602B8"/>
    <w:rsid w:val="0056267F"/>
    <w:rsid w:val="00597EAF"/>
    <w:rsid w:val="005A2C72"/>
    <w:rsid w:val="005A31FF"/>
    <w:rsid w:val="005A4E7A"/>
    <w:rsid w:val="005A5B10"/>
    <w:rsid w:val="005B0D48"/>
    <w:rsid w:val="005B22E8"/>
    <w:rsid w:val="005C1232"/>
    <w:rsid w:val="005D0706"/>
    <w:rsid w:val="005F6B39"/>
    <w:rsid w:val="00604CF6"/>
    <w:rsid w:val="00612749"/>
    <w:rsid w:val="006224BC"/>
    <w:rsid w:val="00672C0F"/>
    <w:rsid w:val="00672C2F"/>
    <w:rsid w:val="0067550E"/>
    <w:rsid w:val="006808B2"/>
    <w:rsid w:val="00683D6A"/>
    <w:rsid w:val="006851D1"/>
    <w:rsid w:val="00686E2E"/>
    <w:rsid w:val="00712C42"/>
    <w:rsid w:val="0071781A"/>
    <w:rsid w:val="0072259C"/>
    <w:rsid w:val="00734B3E"/>
    <w:rsid w:val="00737BC1"/>
    <w:rsid w:val="00737BE0"/>
    <w:rsid w:val="007441A6"/>
    <w:rsid w:val="00750D9A"/>
    <w:rsid w:val="00756C5A"/>
    <w:rsid w:val="007570C4"/>
    <w:rsid w:val="00761CBD"/>
    <w:rsid w:val="00767C80"/>
    <w:rsid w:val="0077332A"/>
    <w:rsid w:val="00782058"/>
    <w:rsid w:val="007A620C"/>
    <w:rsid w:val="007F0EE3"/>
    <w:rsid w:val="007F0F14"/>
    <w:rsid w:val="00803D2B"/>
    <w:rsid w:val="008750D6"/>
    <w:rsid w:val="00893458"/>
    <w:rsid w:val="008A36C0"/>
    <w:rsid w:val="008A7848"/>
    <w:rsid w:val="008B7E80"/>
    <w:rsid w:val="008E23C1"/>
    <w:rsid w:val="00926F6C"/>
    <w:rsid w:val="009342C2"/>
    <w:rsid w:val="00940A9E"/>
    <w:rsid w:val="009577D9"/>
    <w:rsid w:val="009723AA"/>
    <w:rsid w:val="00982623"/>
    <w:rsid w:val="009826D3"/>
    <w:rsid w:val="00990405"/>
    <w:rsid w:val="009C1F6A"/>
    <w:rsid w:val="009D0E7A"/>
    <w:rsid w:val="009D2E29"/>
    <w:rsid w:val="009E406F"/>
    <w:rsid w:val="00A13991"/>
    <w:rsid w:val="00A15565"/>
    <w:rsid w:val="00A167E3"/>
    <w:rsid w:val="00A240CA"/>
    <w:rsid w:val="00A26A86"/>
    <w:rsid w:val="00A93CF9"/>
    <w:rsid w:val="00A9691C"/>
    <w:rsid w:val="00AA1AFF"/>
    <w:rsid w:val="00AC262D"/>
    <w:rsid w:val="00AC75C9"/>
    <w:rsid w:val="00AE0874"/>
    <w:rsid w:val="00B14EA9"/>
    <w:rsid w:val="00B37E00"/>
    <w:rsid w:val="00B5272B"/>
    <w:rsid w:val="00B57846"/>
    <w:rsid w:val="00B6472A"/>
    <w:rsid w:val="00B8231B"/>
    <w:rsid w:val="00B937A9"/>
    <w:rsid w:val="00B94F0B"/>
    <w:rsid w:val="00BC261E"/>
    <w:rsid w:val="00BD0C2F"/>
    <w:rsid w:val="00BF08F1"/>
    <w:rsid w:val="00BF7A75"/>
    <w:rsid w:val="00C11213"/>
    <w:rsid w:val="00C46A01"/>
    <w:rsid w:val="00C47677"/>
    <w:rsid w:val="00C64FBD"/>
    <w:rsid w:val="00C77A2C"/>
    <w:rsid w:val="00C8539B"/>
    <w:rsid w:val="00CC0569"/>
    <w:rsid w:val="00CD7BBF"/>
    <w:rsid w:val="00CE31A0"/>
    <w:rsid w:val="00D06DA6"/>
    <w:rsid w:val="00D124F4"/>
    <w:rsid w:val="00D17019"/>
    <w:rsid w:val="00D5454A"/>
    <w:rsid w:val="00D738A2"/>
    <w:rsid w:val="00D9581E"/>
    <w:rsid w:val="00DA3FCB"/>
    <w:rsid w:val="00DB38C4"/>
    <w:rsid w:val="00DB66C0"/>
    <w:rsid w:val="00DC1323"/>
    <w:rsid w:val="00DD4C66"/>
    <w:rsid w:val="00DE0F81"/>
    <w:rsid w:val="00DE5855"/>
    <w:rsid w:val="00E007BA"/>
    <w:rsid w:val="00E11363"/>
    <w:rsid w:val="00E33D20"/>
    <w:rsid w:val="00E41878"/>
    <w:rsid w:val="00E720E4"/>
    <w:rsid w:val="00E72F21"/>
    <w:rsid w:val="00EA3792"/>
    <w:rsid w:val="00EA3D86"/>
    <w:rsid w:val="00EB4BA9"/>
    <w:rsid w:val="00ED215B"/>
    <w:rsid w:val="00EE2FC4"/>
    <w:rsid w:val="00EF7A89"/>
    <w:rsid w:val="00F11EDD"/>
    <w:rsid w:val="00F2663A"/>
    <w:rsid w:val="00F448CD"/>
    <w:rsid w:val="00F46834"/>
    <w:rsid w:val="00F46D8E"/>
    <w:rsid w:val="00F65F74"/>
    <w:rsid w:val="00F90BB9"/>
    <w:rsid w:val="00F93418"/>
    <w:rsid w:val="00FB3A85"/>
    <w:rsid w:val="00FF5016"/>
    <w:rsid w:val="00FF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1CCC"/>
  <w15:chartTrackingRefBased/>
  <w15:docId w15:val="{DEAE4AD2-25E0-4280-B871-B21DB316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81A"/>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14"/>
    <w:rPr>
      <w:rFonts w:ascii="Segoe UI" w:hAnsi="Segoe UI" w:cs="Segoe UI"/>
      <w:sz w:val="18"/>
      <w:szCs w:val="18"/>
    </w:rPr>
  </w:style>
  <w:style w:type="character" w:styleId="PlaceholderText">
    <w:name w:val="Placeholder Text"/>
    <w:basedOn w:val="DefaultParagraphFont"/>
    <w:uiPriority w:val="99"/>
    <w:semiHidden/>
    <w:rsid w:val="00A15565"/>
    <w:rPr>
      <w:color w:val="808080"/>
    </w:rPr>
  </w:style>
  <w:style w:type="paragraph" w:styleId="Revision">
    <w:name w:val="Revision"/>
    <w:hidden/>
    <w:uiPriority w:val="99"/>
    <w:semiHidden/>
    <w:rsid w:val="003D3592"/>
    <w:pPr>
      <w:spacing w:after="0" w:line="240" w:lineRule="auto"/>
    </w:pPr>
    <w:rPr>
      <w:rFonts w:ascii="Times New Roman" w:hAnsi="Times New Roman"/>
      <w:sz w:val="24"/>
    </w:rPr>
  </w:style>
  <w:style w:type="paragraph" w:styleId="Header">
    <w:name w:val="header"/>
    <w:basedOn w:val="Normal"/>
    <w:link w:val="HeaderChar"/>
    <w:uiPriority w:val="99"/>
    <w:unhideWhenUsed/>
    <w:rsid w:val="00165260"/>
    <w:pPr>
      <w:tabs>
        <w:tab w:val="center" w:pos="4680"/>
        <w:tab w:val="right" w:pos="9360"/>
      </w:tabs>
    </w:pPr>
  </w:style>
  <w:style w:type="character" w:customStyle="1" w:styleId="HeaderChar">
    <w:name w:val="Header Char"/>
    <w:basedOn w:val="DefaultParagraphFont"/>
    <w:link w:val="Header"/>
    <w:uiPriority w:val="99"/>
    <w:rsid w:val="00165260"/>
    <w:rPr>
      <w:rFonts w:ascii="Times New Roman" w:hAnsi="Times New Roman"/>
      <w:sz w:val="24"/>
    </w:rPr>
  </w:style>
  <w:style w:type="paragraph" w:styleId="Footer">
    <w:name w:val="footer"/>
    <w:basedOn w:val="Normal"/>
    <w:link w:val="FooterChar"/>
    <w:uiPriority w:val="99"/>
    <w:unhideWhenUsed/>
    <w:rsid w:val="00165260"/>
    <w:pPr>
      <w:tabs>
        <w:tab w:val="center" w:pos="4680"/>
        <w:tab w:val="right" w:pos="9360"/>
      </w:tabs>
    </w:pPr>
  </w:style>
  <w:style w:type="character" w:customStyle="1" w:styleId="FooterChar">
    <w:name w:val="Footer Char"/>
    <w:basedOn w:val="DefaultParagraphFont"/>
    <w:link w:val="Footer"/>
    <w:uiPriority w:val="99"/>
    <w:rsid w:val="001652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13" Type="http://schemas.openxmlformats.org/officeDocument/2006/relationships/package" Target="embeddings/Microsoft_PowerPoint_Presentation2.pptx"/><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package" Target="embeddings/Microsoft_PowerPoint_Presentation4.ppt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PowerPoint_Presentation1.pptx"/><Relationship Id="rId5" Type="http://schemas.openxmlformats.org/officeDocument/2006/relationships/footnotes" Target="footnotes.xml"/><Relationship Id="rId15" Type="http://schemas.openxmlformats.org/officeDocument/2006/relationships/package" Target="embeddings/Microsoft_PowerPoint_Presentation3.pptx"/><Relationship Id="rId10" Type="http://schemas.openxmlformats.org/officeDocument/2006/relationships/image" Target="media/image2.emf"/><Relationship Id="rId19" Type="http://schemas.openxmlformats.org/officeDocument/2006/relationships/package" Target="embeddings/Microsoft_PowerPoint_Presentation5.ppt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6B58-52F2-45F3-9AAE-0CBE4DC0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13545</Words>
  <Characters>77208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Bundy</dc:creator>
  <cp:keywords/>
  <dc:description/>
  <cp:lastModifiedBy>Bundy, Joshua D</cp:lastModifiedBy>
  <cp:revision>4</cp:revision>
  <dcterms:created xsi:type="dcterms:W3CDTF">2021-12-10T18:21:00Z</dcterms:created>
  <dcterms:modified xsi:type="dcterms:W3CDTF">2021-12-10T18:43:00Z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8183c222-a18e-35a1-985d-1f2efb009541</vt:lpwstr>
  </property>
  <property fmtid="{D5CDD505-2E9C-101B-9397-08002B2CF9AE}" pid="4" name="Mendeley Citation Style_1">
    <vt:lpwstr>http://csl.mendeley.com/styles/22586271/american-medical-association-nodoi</vt:lpwstr>
  </property>
  <property fmtid="{D5CDD505-2E9C-101B-9397-08002B2CF9AE}" pid="5" name="Mendeley Recent Style Id 0_1">
    <vt:lpwstr>http://csl.mendeley.com/styles/22586271/american-journal-of-hypertension</vt:lpwstr>
  </property>
  <property fmtid="{D5CDD505-2E9C-101B-9397-08002B2CF9AE}" pid="6" name="Mendeley Recent Style Name 0_1">
    <vt:lpwstr>American Journal of Hypertension - Josh Bundy</vt:lpwstr>
  </property>
  <property fmtid="{D5CDD505-2E9C-101B-9397-08002B2CF9AE}" pid="7" name="Mendeley Recent Style Id 1_1">
    <vt:lpwstr>http://csl.mendeley.com/styles/22586271/american-medical-association-nodoi</vt:lpwstr>
  </property>
  <property fmtid="{D5CDD505-2E9C-101B-9397-08002B2CF9AE}" pid="8" name="Mendeley Recent Style Name 1_1">
    <vt:lpwstr>American Medical Association - Josh Bundy</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http://www.zotero.org/styles/annals-of-internal-medicine</vt:lpwstr>
  </property>
  <property fmtid="{D5CDD505-2E9C-101B-9397-08002B2CF9AE}" pid="14" name="Mendeley Recent Style Name 4_1">
    <vt:lpwstr>Annals of Internal Medicine</vt:lpwstr>
  </property>
  <property fmtid="{D5CDD505-2E9C-101B-9397-08002B2CF9AE}" pid="15" name="Mendeley Recent Style Id 5_1">
    <vt:lpwstr>http://csl.mendeley.com/styles/22586271/vancouver</vt:lpwstr>
  </property>
  <property fmtid="{D5CDD505-2E9C-101B-9397-08002B2CF9AE}" pid="16" name="Mendeley Recent Style Name 5_1">
    <vt:lpwstr>Annals of Internal Medicine - Josh Bundy</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17th edition (author-date)</vt:lpwstr>
  </property>
  <property fmtid="{D5CDD505-2E9C-101B-9397-08002B2CF9AE}" pid="19" name="Mendeley Recent Style Id 7_1">
    <vt:lpwstr>http://www.zotero.org/styles/harvard-cite-them-right</vt:lpwstr>
  </property>
  <property fmtid="{D5CDD505-2E9C-101B-9397-08002B2CF9AE}" pid="20" name="Mendeley Recent Style Name 7_1">
    <vt:lpwstr>Cite Them Right 10th edition - Harvard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https://csl.mendeley.com/styles/22586271/journal-of-the-american-society-of-nephrology</vt:lpwstr>
  </property>
  <property fmtid="{D5CDD505-2E9C-101B-9397-08002B2CF9AE}" pid="24" name="Mendeley Recent Style Name 9_1">
    <vt:lpwstr>Journal of the American Society of Nephrology - Josh Bundy</vt:lpwstr>
  </property>
</Properties>
</file>