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F" w:rsidRPr="006D4691" w:rsidRDefault="006C2AF1" w:rsidP="00007D94">
      <w:pPr>
        <w:spacing w:line="480" w:lineRule="auto"/>
        <w:jc w:val="center"/>
        <w:rPr>
          <w:rFonts w:ascii="Verdana" w:hAnsi="Verdana" w:cs="Times New Roman"/>
          <w:sz w:val="20"/>
          <w:szCs w:val="20"/>
        </w:rPr>
      </w:pPr>
      <w:r w:rsidRPr="006D4691">
        <w:rPr>
          <w:rFonts w:ascii="Verdana" w:hAnsi="Verdana" w:cs="Times New Roman"/>
          <w:sz w:val="20"/>
          <w:szCs w:val="20"/>
        </w:rPr>
        <w:t xml:space="preserve">Supplementary Table </w:t>
      </w:r>
      <w:r w:rsidR="001A6EEA">
        <w:rPr>
          <w:rFonts w:ascii="Verdana" w:hAnsi="Verdana" w:cs="Times New Roman"/>
          <w:sz w:val="20"/>
          <w:szCs w:val="20"/>
        </w:rPr>
        <w:t>1</w:t>
      </w:r>
      <w:r w:rsidR="00E54F4D" w:rsidRPr="006D4691">
        <w:rPr>
          <w:rFonts w:ascii="Verdana" w:hAnsi="Verdana" w:cs="Times New Roman"/>
          <w:sz w:val="20"/>
          <w:szCs w:val="20"/>
        </w:rPr>
        <w:t xml:space="preserve"> </w:t>
      </w:r>
      <w:r w:rsidRPr="006D4691">
        <w:rPr>
          <w:rFonts w:ascii="Verdana" w:hAnsi="Verdana" w:cs="Times New Roman"/>
          <w:sz w:val="20"/>
          <w:szCs w:val="20"/>
        </w:rPr>
        <w:t>D</w:t>
      </w:r>
      <w:r w:rsidR="00475F0E" w:rsidRPr="006D4691">
        <w:rPr>
          <w:rFonts w:ascii="Verdana" w:hAnsi="Verdana" w:cs="Times New Roman"/>
          <w:sz w:val="20"/>
          <w:szCs w:val="20"/>
        </w:rPr>
        <w:t>efinitions of poor, intermediate, and ideal cardio</w:t>
      </w:r>
      <w:r w:rsidR="002204F0" w:rsidRPr="006D4691">
        <w:rPr>
          <w:rFonts w:ascii="Verdana" w:hAnsi="Verdana" w:cs="Times New Roman"/>
          <w:sz w:val="20"/>
          <w:szCs w:val="20"/>
        </w:rPr>
        <w:t>vascular health for each metric</w:t>
      </w:r>
      <w:r w:rsidR="009E4AD4">
        <w:rPr>
          <w:rFonts w:ascii="Verdana" w:hAnsi="Verdana" w:cs="Times New Roman" w:hint="eastAsia"/>
          <w:sz w:val="20"/>
          <w:szCs w:val="20"/>
        </w:rPr>
        <w:t>.</w:t>
      </w:r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95"/>
        <w:gridCol w:w="2096"/>
        <w:gridCol w:w="2096"/>
      </w:tblGrid>
      <w:tr w:rsidR="00C2193F" w:rsidRPr="0009013A" w:rsidTr="006D0A5A">
        <w:tc>
          <w:tcPr>
            <w:tcW w:w="2235" w:type="dxa"/>
            <w:tcBorders>
              <w:bottom w:val="single" w:sz="4" w:space="0" w:color="auto"/>
            </w:tcBorders>
          </w:tcPr>
          <w:p w:rsidR="00C2193F" w:rsidRPr="0009013A" w:rsidRDefault="00C2193F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Metric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Poor Health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Intermediate Health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Ideal Health</w:t>
            </w:r>
          </w:p>
        </w:tc>
      </w:tr>
      <w:tr w:rsidR="00C2193F" w:rsidRPr="0009013A" w:rsidTr="006D0A5A">
        <w:tc>
          <w:tcPr>
            <w:tcW w:w="2235" w:type="dxa"/>
            <w:tcBorders>
              <w:top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Current smoking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Yes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Former </w:t>
            </w:r>
            <w:r w:rsidRPr="0009013A">
              <w:rPr>
                <w:rFonts w:ascii="Verdana" w:eastAsia="宋体" w:hAnsi="Verdana" w:cs="Times New Roman"/>
                <w:sz w:val="16"/>
                <w:szCs w:val="16"/>
              </w:rPr>
              <w:t>≤</w:t>
            </w:r>
            <w:r w:rsidRPr="0009013A">
              <w:rPr>
                <w:rFonts w:ascii="Verdana" w:hAnsi="Verdana" w:cs="Times New Roman"/>
                <w:sz w:val="16"/>
                <w:szCs w:val="16"/>
              </w:rPr>
              <w:t>12 months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Never or quit </w:t>
            </w:r>
            <w:r w:rsidR="0009013A">
              <w:rPr>
                <w:rFonts w:ascii="Verdana" w:hAnsi="Verdana" w:cs="Times New Roman"/>
                <w:sz w:val="16"/>
                <w:szCs w:val="16"/>
              </w:rPr>
              <w:t>&gt;</w:t>
            </w:r>
            <w:r w:rsidRPr="0009013A">
              <w:rPr>
                <w:rFonts w:ascii="Verdana" w:eastAsia="宋体" w:hAnsi="Verdana" w:cs="Times New Roman"/>
                <w:sz w:val="16"/>
                <w:szCs w:val="16"/>
              </w:rPr>
              <w:t>12 months</w:t>
            </w:r>
          </w:p>
        </w:tc>
      </w:tr>
      <w:tr w:rsidR="00C2193F" w:rsidRPr="0009013A" w:rsidTr="006D0A5A">
        <w:tc>
          <w:tcPr>
            <w:tcW w:w="2235" w:type="dxa"/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Body mass index</w:t>
            </w:r>
          </w:p>
        </w:tc>
        <w:tc>
          <w:tcPr>
            <w:tcW w:w="2095" w:type="dxa"/>
          </w:tcPr>
          <w:p w:rsidR="00C2193F" w:rsidRPr="0009013A" w:rsidRDefault="0021274E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≥30 kg/m</w:t>
            </w:r>
            <w:r w:rsidRPr="0009013A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6" w:type="dxa"/>
          </w:tcPr>
          <w:p w:rsidR="00C2193F" w:rsidRPr="0009013A" w:rsidRDefault="000A6498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25-29.9 kg/m</w:t>
            </w:r>
            <w:r w:rsidRPr="0009013A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6" w:type="dxa"/>
          </w:tcPr>
          <w:p w:rsidR="00C2193F" w:rsidRPr="0009013A" w:rsidRDefault="0009013A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&lt;</w:t>
            </w:r>
            <w:r w:rsidR="000A6498" w:rsidRPr="0009013A">
              <w:rPr>
                <w:rFonts w:ascii="Verdana" w:hAnsi="Verdana" w:cs="Times New Roman"/>
                <w:sz w:val="16"/>
                <w:szCs w:val="16"/>
              </w:rPr>
              <w:t>25 kg/m</w:t>
            </w:r>
            <w:r w:rsidR="000A6498" w:rsidRPr="0009013A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C2193F" w:rsidRPr="0009013A" w:rsidTr="006D0A5A">
        <w:tc>
          <w:tcPr>
            <w:tcW w:w="2235" w:type="dxa"/>
          </w:tcPr>
          <w:p w:rsidR="00C2193F" w:rsidRPr="0009013A" w:rsidRDefault="000A6498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Physical activity</w:t>
            </w:r>
          </w:p>
        </w:tc>
        <w:tc>
          <w:tcPr>
            <w:tcW w:w="2095" w:type="dxa"/>
          </w:tcPr>
          <w:p w:rsidR="00C2193F" w:rsidRPr="0009013A" w:rsidRDefault="000A6498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None</w:t>
            </w:r>
          </w:p>
        </w:tc>
        <w:tc>
          <w:tcPr>
            <w:tcW w:w="2096" w:type="dxa"/>
          </w:tcPr>
          <w:p w:rsidR="00C2193F" w:rsidRPr="0009013A" w:rsidRDefault="000A6498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1-149 min/week moderate intensity or 1-74 min/week vigorous intensity </w:t>
            </w:r>
            <w:r w:rsidR="00886D49" w:rsidRPr="0009013A">
              <w:rPr>
                <w:rFonts w:ascii="Verdana" w:hAnsi="Verdana" w:cs="Times New Roman"/>
                <w:sz w:val="16"/>
                <w:szCs w:val="16"/>
              </w:rPr>
              <w:t>or 1-149 min/week moderate and vigorous</w:t>
            </w:r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≥150 min/week moderate intensity or ≥75 min/week vigorous intensity or ≥150 min/week moderate and vigorous</w:t>
            </w:r>
          </w:p>
        </w:tc>
      </w:tr>
      <w:tr w:rsidR="00C2193F" w:rsidRPr="0009013A" w:rsidTr="006D0A5A">
        <w:tc>
          <w:tcPr>
            <w:tcW w:w="223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Healthy diet score</w:t>
            </w:r>
          </w:p>
        </w:tc>
        <w:tc>
          <w:tcPr>
            <w:tcW w:w="209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0-1 Components</w:t>
            </w:r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2-3 Components</w:t>
            </w:r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4-5 Components</w:t>
            </w:r>
          </w:p>
        </w:tc>
      </w:tr>
      <w:tr w:rsidR="00C2193F" w:rsidRPr="0009013A" w:rsidTr="006D0A5A">
        <w:tc>
          <w:tcPr>
            <w:tcW w:w="223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Total cholesterol</w:t>
            </w:r>
          </w:p>
        </w:tc>
        <w:tc>
          <w:tcPr>
            <w:tcW w:w="209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≥240 mg/</w:t>
            </w:r>
            <w:proofErr w:type="spellStart"/>
            <w:r w:rsidRPr="0009013A">
              <w:rPr>
                <w:rFonts w:ascii="Verdana" w:hAnsi="Verdana" w:cs="Times New Roman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200-239 mg/</w:t>
            </w:r>
            <w:proofErr w:type="spellStart"/>
            <w:r w:rsidRPr="0009013A">
              <w:rPr>
                <w:rFonts w:ascii="Verdana" w:hAnsi="Verdana" w:cs="Times New Roman"/>
                <w:sz w:val="16"/>
                <w:szCs w:val="16"/>
              </w:rPr>
              <w:t>dL</w:t>
            </w:r>
            <w:proofErr w:type="spellEnd"/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 or treated to goal</w:t>
            </w:r>
          </w:p>
        </w:tc>
        <w:tc>
          <w:tcPr>
            <w:tcW w:w="2096" w:type="dxa"/>
          </w:tcPr>
          <w:p w:rsidR="00C2193F" w:rsidRPr="0009013A" w:rsidRDefault="0009013A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&lt;</w:t>
            </w:r>
            <w:r w:rsidR="00886D49" w:rsidRPr="0009013A">
              <w:rPr>
                <w:rFonts w:ascii="Verdana" w:hAnsi="Verdana" w:cs="Times New Roman"/>
                <w:sz w:val="16"/>
                <w:szCs w:val="16"/>
              </w:rPr>
              <w:t>200 mg/</w:t>
            </w:r>
            <w:proofErr w:type="spellStart"/>
            <w:r w:rsidR="00886D49" w:rsidRPr="0009013A">
              <w:rPr>
                <w:rFonts w:ascii="Verdana" w:hAnsi="Verdana" w:cs="Times New Roman"/>
                <w:sz w:val="16"/>
                <w:szCs w:val="16"/>
              </w:rPr>
              <w:t>dL</w:t>
            </w:r>
            <w:proofErr w:type="spellEnd"/>
          </w:p>
        </w:tc>
      </w:tr>
      <w:tr w:rsidR="00C2193F" w:rsidRPr="0009013A" w:rsidTr="006D0A5A">
        <w:tc>
          <w:tcPr>
            <w:tcW w:w="223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Blood pressure</w:t>
            </w:r>
          </w:p>
        </w:tc>
        <w:tc>
          <w:tcPr>
            <w:tcW w:w="209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SBP ≥140 or DBP ≥90 mmHg</w:t>
            </w:r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SBP 120-139 or DBP 80-90 mmHg or treated to goal</w:t>
            </w:r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SBP </w:t>
            </w:r>
            <w:r w:rsidR="0009013A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120 and DBP </w:t>
            </w:r>
            <w:r w:rsidR="0009013A">
              <w:rPr>
                <w:rFonts w:ascii="Verdana" w:hAnsi="Verdana" w:cs="Times New Roman"/>
                <w:sz w:val="16"/>
                <w:szCs w:val="16"/>
              </w:rPr>
              <w:t>&lt;</w:t>
            </w:r>
            <w:r w:rsidRPr="0009013A">
              <w:rPr>
                <w:rFonts w:ascii="Verdana" w:hAnsi="Verdana" w:cs="Times New Roman"/>
                <w:sz w:val="16"/>
                <w:szCs w:val="16"/>
              </w:rPr>
              <w:t>80 mmHg</w:t>
            </w:r>
          </w:p>
        </w:tc>
      </w:tr>
      <w:tr w:rsidR="00C2193F" w:rsidRPr="0009013A" w:rsidTr="006D0A5A">
        <w:tc>
          <w:tcPr>
            <w:tcW w:w="223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Fasting plasma glucose</w:t>
            </w:r>
          </w:p>
        </w:tc>
        <w:tc>
          <w:tcPr>
            <w:tcW w:w="2095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≥126 mg/</w:t>
            </w:r>
            <w:proofErr w:type="spellStart"/>
            <w:r w:rsidRPr="0009013A">
              <w:rPr>
                <w:rFonts w:ascii="Verdana" w:hAnsi="Verdana" w:cs="Times New Roman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2096" w:type="dxa"/>
          </w:tcPr>
          <w:p w:rsidR="00C2193F" w:rsidRPr="0009013A" w:rsidRDefault="00886D49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09013A">
              <w:rPr>
                <w:rFonts w:ascii="Verdana" w:hAnsi="Verdana" w:cs="Times New Roman"/>
                <w:sz w:val="16"/>
                <w:szCs w:val="16"/>
              </w:rPr>
              <w:t>100-125 mg/</w:t>
            </w:r>
            <w:proofErr w:type="spellStart"/>
            <w:r w:rsidRPr="0009013A">
              <w:rPr>
                <w:rFonts w:ascii="Verdana" w:hAnsi="Verdana" w:cs="Times New Roman"/>
                <w:sz w:val="16"/>
                <w:szCs w:val="16"/>
              </w:rPr>
              <w:t>dL</w:t>
            </w:r>
            <w:proofErr w:type="spellEnd"/>
            <w:r w:rsidRPr="0009013A">
              <w:rPr>
                <w:rFonts w:ascii="Verdana" w:hAnsi="Verdana" w:cs="Times New Roman"/>
                <w:sz w:val="16"/>
                <w:szCs w:val="16"/>
              </w:rPr>
              <w:t xml:space="preserve"> or treated to goal</w:t>
            </w:r>
          </w:p>
        </w:tc>
        <w:tc>
          <w:tcPr>
            <w:tcW w:w="2096" w:type="dxa"/>
          </w:tcPr>
          <w:p w:rsidR="00C2193F" w:rsidRPr="0009013A" w:rsidRDefault="0009013A" w:rsidP="001A6EEA">
            <w:pPr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&lt;</w:t>
            </w:r>
            <w:r w:rsidR="00886D49" w:rsidRPr="0009013A">
              <w:rPr>
                <w:rFonts w:ascii="Verdana" w:hAnsi="Verdana" w:cs="Times New Roman"/>
                <w:sz w:val="16"/>
                <w:szCs w:val="16"/>
              </w:rPr>
              <w:t>100</w:t>
            </w:r>
            <w:r>
              <w:rPr>
                <w:rFonts w:ascii="Verdana" w:hAnsi="Verdana" w:cs="Times New Roman" w:hint="eastAsia"/>
                <w:sz w:val="16"/>
                <w:szCs w:val="16"/>
              </w:rPr>
              <w:t xml:space="preserve"> </w:t>
            </w:r>
            <w:r w:rsidR="00886D49" w:rsidRPr="0009013A">
              <w:rPr>
                <w:rFonts w:ascii="Verdana" w:hAnsi="Verdana" w:cs="Times New Roman"/>
                <w:sz w:val="16"/>
                <w:szCs w:val="16"/>
              </w:rPr>
              <w:t>mg/</w:t>
            </w:r>
            <w:proofErr w:type="spellStart"/>
            <w:r w:rsidR="00886D49" w:rsidRPr="0009013A">
              <w:rPr>
                <w:rFonts w:ascii="Verdana" w:hAnsi="Verdana" w:cs="Times New Roman"/>
                <w:sz w:val="16"/>
                <w:szCs w:val="16"/>
              </w:rPr>
              <w:t>dL</w:t>
            </w:r>
            <w:proofErr w:type="spellEnd"/>
          </w:p>
        </w:tc>
      </w:tr>
    </w:tbl>
    <w:p w:rsidR="00C2193F" w:rsidRPr="006D4691" w:rsidRDefault="00DC29E3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6D4691">
        <w:rPr>
          <w:rFonts w:ascii="Verdana" w:hAnsi="Verdana" w:cs="Times New Roman"/>
          <w:sz w:val="20"/>
          <w:szCs w:val="20"/>
        </w:rPr>
        <w:t>SBP</w:t>
      </w:r>
      <w:r w:rsidR="005463C3" w:rsidRPr="006D4691">
        <w:rPr>
          <w:rFonts w:ascii="Verdana" w:hAnsi="Verdana" w:cs="Times New Roman"/>
          <w:sz w:val="20"/>
          <w:szCs w:val="20"/>
        </w:rPr>
        <w:t xml:space="preserve"> indicates</w:t>
      </w:r>
      <w:r w:rsidRPr="006D4691">
        <w:rPr>
          <w:rFonts w:ascii="Verdana" w:hAnsi="Verdana" w:cs="Times New Roman"/>
          <w:sz w:val="20"/>
          <w:szCs w:val="20"/>
        </w:rPr>
        <w:t xml:space="preserve"> systolic blood pressure; DBP, diastolic blood pressure. </w:t>
      </w:r>
      <w:r w:rsidR="005463C3" w:rsidRPr="006D4691">
        <w:rPr>
          <w:rFonts w:ascii="Verdana" w:hAnsi="Verdana" w:cs="Times New Roman"/>
          <w:sz w:val="20"/>
          <w:szCs w:val="20"/>
        </w:rPr>
        <w:t xml:space="preserve">The recommendation for the definition of the dietary goals and </w:t>
      </w:r>
      <w:r w:rsidR="00DC1F25" w:rsidRPr="006D4691">
        <w:rPr>
          <w:rFonts w:ascii="Verdana" w:hAnsi="Verdana" w:cs="Times New Roman"/>
          <w:sz w:val="20"/>
          <w:szCs w:val="20"/>
        </w:rPr>
        <w:t>metric</w:t>
      </w:r>
      <w:r w:rsidR="00550CFE">
        <w:rPr>
          <w:rFonts w:ascii="Verdana" w:hAnsi="Verdana" w:cs="Times New Roman" w:hint="eastAsia"/>
          <w:sz w:val="20"/>
          <w:szCs w:val="20"/>
        </w:rPr>
        <w:t>s</w:t>
      </w:r>
      <w:r w:rsidR="00550CFE">
        <w:rPr>
          <w:rFonts w:ascii="Verdana" w:hAnsi="Verdana" w:cs="Times New Roman"/>
          <w:sz w:val="20"/>
          <w:szCs w:val="20"/>
        </w:rPr>
        <w:t xml:space="preserve"> include</w:t>
      </w:r>
      <w:r w:rsidR="00DC1F25" w:rsidRPr="006D4691">
        <w:rPr>
          <w:rFonts w:ascii="Verdana" w:hAnsi="Verdana" w:cs="Times New Roman"/>
          <w:sz w:val="20"/>
          <w:szCs w:val="20"/>
        </w:rPr>
        <w:t xml:space="preserve"> but not limited to </w:t>
      </w:r>
      <w:r w:rsidR="00145855" w:rsidRPr="006D4691">
        <w:rPr>
          <w:rFonts w:ascii="Verdana" w:hAnsi="Verdana" w:cs="Times New Roman"/>
          <w:sz w:val="20"/>
          <w:szCs w:val="20"/>
        </w:rPr>
        <w:t xml:space="preserve">enough </w:t>
      </w:r>
      <w:r w:rsidR="00DC1F25" w:rsidRPr="006D4691">
        <w:rPr>
          <w:rFonts w:ascii="Verdana" w:hAnsi="Verdana" w:cs="Times New Roman"/>
          <w:sz w:val="20"/>
          <w:szCs w:val="20"/>
        </w:rPr>
        <w:t>fruits and vegetables, fish</w:t>
      </w:r>
      <w:r w:rsidR="00145855" w:rsidRPr="006D4691">
        <w:rPr>
          <w:rFonts w:ascii="Verdana" w:hAnsi="Verdana" w:cs="Times New Roman"/>
          <w:sz w:val="20"/>
          <w:szCs w:val="20"/>
        </w:rPr>
        <w:t xml:space="preserve"> and</w:t>
      </w:r>
      <w:r w:rsidR="00DC1F25" w:rsidRPr="006D4691">
        <w:rPr>
          <w:rFonts w:ascii="Verdana" w:hAnsi="Verdana" w:cs="Times New Roman"/>
          <w:sz w:val="20"/>
          <w:szCs w:val="20"/>
        </w:rPr>
        <w:t xml:space="preserve"> fiber-rich whole grains, moderate sodium and sugar-sweetened beverages. </w:t>
      </w:r>
      <w:r w:rsidR="00430AE9" w:rsidRPr="006D4691">
        <w:rPr>
          <w:rFonts w:ascii="Verdana" w:hAnsi="Verdana" w:cs="Times New Roman"/>
          <w:sz w:val="20"/>
          <w:szCs w:val="20"/>
        </w:rPr>
        <w:t>Data on healthy diet score were assessed via questionnaires</w:t>
      </w:r>
      <w:r w:rsidR="00DB5C88">
        <w:rPr>
          <w:rFonts w:ascii="Verdana" w:hAnsi="Verdana" w:cs="Times New Roman"/>
          <w:sz w:val="20"/>
          <w:szCs w:val="20"/>
        </w:rPr>
        <w:t xml:space="preserve"> in accordance with the</w:t>
      </w:r>
      <w:r w:rsidR="00605CC2" w:rsidRPr="006D4691">
        <w:rPr>
          <w:rFonts w:ascii="Verdana" w:hAnsi="Verdana" w:cs="Times New Roman"/>
          <w:sz w:val="20"/>
          <w:szCs w:val="20"/>
        </w:rPr>
        <w:t xml:space="preserve"> AHA</w:t>
      </w:r>
      <w:r w:rsidR="00DB5C88" w:rsidRPr="00DB5C88">
        <w:rPr>
          <w:rFonts w:ascii="Verdana" w:hAnsi="Verdana" w:cs="Times New Roman"/>
          <w:sz w:val="20"/>
          <w:szCs w:val="20"/>
        </w:rPr>
        <w:t xml:space="preserve"> </w:t>
      </w:r>
      <w:r w:rsidR="00DB5C88" w:rsidRPr="006D4691">
        <w:rPr>
          <w:rFonts w:ascii="Verdana" w:hAnsi="Verdana" w:cs="Times New Roman"/>
          <w:sz w:val="20"/>
          <w:szCs w:val="20"/>
        </w:rPr>
        <w:t>guideline</w:t>
      </w:r>
      <w:r w:rsidR="00DB5C88">
        <w:rPr>
          <w:rFonts w:ascii="Verdana" w:hAnsi="Verdana" w:cs="Times New Roman" w:hint="eastAsia"/>
          <w:sz w:val="20"/>
          <w:szCs w:val="20"/>
        </w:rPr>
        <w:t>s</w:t>
      </w:r>
      <w:r w:rsidR="002374AE" w:rsidRPr="006D4691">
        <w:rPr>
          <w:rFonts w:ascii="Verdana" w:hAnsi="Verdana" w:cs="Times New Roman"/>
          <w:sz w:val="20"/>
          <w:szCs w:val="20"/>
        </w:rPr>
        <w:t xml:space="preserve">. </w:t>
      </w:r>
    </w:p>
    <w:p w:rsidR="004C5EC7" w:rsidRPr="006D4691" w:rsidRDefault="004C5EC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p w:rsidR="004C5EC7" w:rsidRPr="006D4691" w:rsidRDefault="004C5EC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p w:rsidR="004C5EC7" w:rsidRPr="006D4691" w:rsidRDefault="004C5EC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p w:rsidR="004C5EC7" w:rsidRPr="006D4691" w:rsidRDefault="004C5EC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p w:rsidR="004C5EC7" w:rsidRPr="006D4691" w:rsidRDefault="004C5EC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p w:rsidR="00AE3990" w:rsidRPr="006D4691" w:rsidRDefault="006C2AF1" w:rsidP="00007D94">
      <w:pPr>
        <w:spacing w:line="480" w:lineRule="auto"/>
        <w:jc w:val="center"/>
        <w:rPr>
          <w:rFonts w:ascii="Verdana" w:hAnsi="Verdana" w:cs="Times New Roman"/>
          <w:sz w:val="20"/>
          <w:szCs w:val="20"/>
        </w:rPr>
      </w:pPr>
      <w:r w:rsidRPr="006D4691">
        <w:rPr>
          <w:rFonts w:ascii="Verdana" w:hAnsi="Verdana" w:cs="Times New Roman"/>
          <w:sz w:val="20"/>
          <w:szCs w:val="20"/>
        </w:rPr>
        <w:lastRenderedPageBreak/>
        <w:t xml:space="preserve">Supplementary </w:t>
      </w:r>
      <w:r w:rsidR="006D4691">
        <w:rPr>
          <w:rFonts w:ascii="Verdana" w:hAnsi="Verdana" w:cs="Times New Roman" w:hint="eastAsia"/>
          <w:sz w:val="20"/>
          <w:szCs w:val="20"/>
        </w:rPr>
        <w:t>T</w:t>
      </w:r>
      <w:r w:rsidRPr="006D4691">
        <w:rPr>
          <w:rFonts w:ascii="Verdana" w:hAnsi="Verdana" w:cs="Times New Roman"/>
          <w:sz w:val="20"/>
          <w:szCs w:val="20"/>
        </w:rPr>
        <w:t xml:space="preserve">able </w:t>
      </w:r>
      <w:r w:rsidR="00330853">
        <w:rPr>
          <w:rFonts w:ascii="Verdana" w:hAnsi="Verdana" w:cs="Times New Roman"/>
          <w:sz w:val="20"/>
          <w:szCs w:val="20"/>
        </w:rPr>
        <w:t>2</w:t>
      </w:r>
      <w:r w:rsidR="00330853">
        <w:rPr>
          <w:rFonts w:ascii="Verdana" w:hAnsi="Verdana" w:cs="Times New Roman" w:hint="eastAsia"/>
          <w:sz w:val="20"/>
          <w:szCs w:val="20"/>
        </w:rPr>
        <w:t xml:space="preserve"> </w:t>
      </w:r>
      <w:r w:rsidR="00330853" w:rsidRPr="000B251B">
        <w:rPr>
          <w:rFonts w:ascii="Verdana" w:hAnsi="Verdana" w:cs="Times New Roman"/>
          <w:sz w:val="20"/>
          <w:szCs w:val="20"/>
        </w:rPr>
        <w:t xml:space="preserve">The </w:t>
      </w:r>
      <w:proofErr w:type="spellStart"/>
      <w:r w:rsidR="00330853" w:rsidRPr="000B251B">
        <w:rPr>
          <w:rFonts w:ascii="Verdana" w:hAnsi="Verdana" w:cs="Times New Roman"/>
          <w:sz w:val="20"/>
          <w:szCs w:val="20"/>
        </w:rPr>
        <w:t>intraclass</w:t>
      </w:r>
      <w:proofErr w:type="spellEnd"/>
      <w:r w:rsidR="00330853" w:rsidRPr="000B251B">
        <w:rPr>
          <w:rFonts w:ascii="Verdana" w:hAnsi="Verdana" w:cs="Times New Roman"/>
          <w:sz w:val="20"/>
          <w:szCs w:val="20"/>
        </w:rPr>
        <w:t xml:space="preserve"> correlation coefficient (ICC) tests of both CACS and </w:t>
      </w:r>
      <w:proofErr w:type="spellStart"/>
      <w:r w:rsidR="00330853" w:rsidRPr="000B251B">
        <w:rPr>
          <w:rFonts w:ascii="Verdana" w:hAnsi="Verdana" w:cs="Times New Roman"/>
          <w:sz w:val="20"/>
          <w:szCs w:val="20"/>
        </w:rPr>
        <w:t>EATv</w:t>
      </w:r>
      <w:proofErr w:type="spellEnd"/>
      <w:r w:rsidR="00330853" w:rsidRPr="000B251B">
        <w:rPr>
          <w:rFonts w:ascii="Verdana" w:hAnsi="Verdana" w:cs="Times New Roman"/>
          <w:sz w:val="20"/>
          <w:szCs w:val="20"/>
        </w:rPr>
        <w:t xml:space="preserve"> assessment</w:t>
      </w:r>
      <w:r w:rsidR="00330853">
        <w:rPr>
          <w:rFonts w:ascii="Verdana" w:hAnsi="Verdana" w:cs="Times New Roman" w:hint="eastAsia"/>
          <w:sz w:val="20"/>
          <w:szCs w:val="20"/>
        </w:rPr>
        <w:t>.</w:t>
      </w:r>
      <w:r w:rsidR="00007D94">
        <w:rPr>
          <w:rFonts w:ascii="Verdana" w:hAnsi="Verdana" w:cs="Times New Roman" w:hint="eastAsia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630"/>
        <w:gridCol w:w="1630"/>
        <w:gridCol w:w="283"/>
        <w:gridCol w:w="1655"/>
        <w:gridCol w:w="1656"/>
      </w:tblGrid>
      <w:tr w:rsidR="00775E36" w:rsidRPr="00330853" w:rsidTr="003B0DC8">
        <w:tc>
          <w:tcPr>
            <w:tcW w:w="1668" w:type="dxa"/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CACS</w:t>
            </w:r>
          </w:p>
        </w:tc>
        <w:tc>
          <w:tcPr>
            <w:tcW w:w="283" w:type="dxa"/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30853">
              <w:rPr>
                <w:rFonts w:ascii="Verdana" w:hAnsi="Verdana" w:cs="Times New Roman"/>
                <w:sz w:val="16"/>
                <w:szCs w:val="16"/>
              </w:rPr>
              <w:t>EATv</w:t>
            </w:r>
            <w:proofErr w:type="spellEnd"/>
          </w:p>
        </w:tc>
      </w:tr>
      <w:tr w:rsidR="00775E36" w:rsidRPr="00330853" w:rsidTr="003B0DC8">
        <w:tc>
          <w:tcPr>
            <w:tcW w:w="1668" w:type="dxa"/>
            <w:tcBorders>
              <w:bottom w:val="single" w:sz="4" w:space="0" w:color="auto"/>
            </w:tcBorders>
          </w:tcPr>
          <w:p w:rsidR="00775E36" w:rsidRPr="00330853" w:rsidRDefault="003B0DC8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Parameters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ICC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ICC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775E36" w:rsidRPr="00330853" w:rsidRDefault="00775E36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95% CI</w:t>
            </w:r>
          </w:p>
        </w:tc>
      </w:tr>
      <w:tr w:rsidR="00264673" w:rsidRPr="00330853" w:rsidTr="003B0DC8">
        <w:tc>
          <w:tcPr>
            <w:tcW w:w="1668" w:type="dxa"/>
            <w:tcBorders>
              <w:top w:val="single" w:sz="4" w:space="0" w:color="auto"/>
            </w:tcBorders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30853">
              <w:rPr>
                <w:rFonts w:ascii="Verdana" w:hAnsi="Verdana" w:cs="Times New Roman"/>
                <w:sz w:val="16"/>
                <w:szCs w:val="16"/>
              </w:rPr>
              <w:t>Intraobserver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0.983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0.974-0.989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264673" w:rsidRPr="00330853" w:rsidRDefault="00E01F6D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0.967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264673" w:rsidRPr="00330853" w:rsidRDefault="00E01F6D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0.941-0.981</w:t>
            </w:r>
          </w:p>
        </w:tc>
      </w:tr>
      <w:tr w:rsidR="00264673" w:rsidRPr="00330853" w:rsidTr="003B0DC8">
        <w:tc>
          <w:tcPr>
            <w:tcW w:w="1668" w:type="dxa"/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330853">
              <w:rPr>
                <w:rFonts w:ascii="Verdana" w:hAnsi="Verdana" w:cs="Times New Roman"/>
                <w:sz w:val="16"/>
                <w:szCs w:val="16"/>
              </w:rPr>
              <w:t>Interobserver</w:t>
            </w:r>
            <w:proofErr w:type="spellEnd"/>
          </w:p>
        </w:tc>
        <w:tc>
          <w:tcPr>
            <w:tcW w:w="1630" w:type="dxa"/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0.977</w:t>
            </w:r>
          </w:p>
        </w:tc>
        <w:tc>
          <w:tcPr>
            <w:tcW w:w="1630" w:type="dxa"/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0.965-0.985</w:t>
            </w:r>
          </w:p>
        </w:tc>
        <w:tc>
          <w:tcPr>
            <w:tcW w:w="283" w:type="dxa"/>
          </w:tcPr>
          <w:p w:rsidR="00264673" w:rsidRPr="00330853" w:rsidRDefault="00264673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55" w:type="dxa"/>
          </w:tcPr>
          <w:p w:rsidR="00264673" w:rsidRPr="00330853" w:rsidRDefault="00E01F6D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0.968</w:t>
            </w:r>
          </w:p>
        </w:tc>
        <w:tc>
          <w:tcPr>
            <w:tcW w:w="1656" w:type="dxa"/>
          </w:tcPr>
          <w:p w:rsidR="00264673" w:rsidRPr="00330853" w:rsidRDefault="00E01F6D" w:rsidP="00CC6FBD">
            <w:pPr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330853">
              <w:rPr>
                <w:rFonts w:ascii="Verdana" w:hAnsi="Verdana" w:cs="Times New Roman"/>
                <w:sz w:val="16"/>
                <w:szCs w:val="16"/>
              </w:rPr>
              <w:t>0.938-0.982</w:t>
            </w:r>
          </w:p>
        </w:tc>
      </w:tr>
    </w:tbl>
    <w:p w:rsidR="004C5EC7" w:rsidRPr="006D4691" w:rsidRDefault="000B251B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B251B">
        <w:rPr>
          <w:rFonts w:ascii="Verdana" w:hAnsi="Verdana" w:cs="Times New Roman"/>
          <w:sz w:val="20"/>
          <w:szCs w:val="20"/>
        </w:rPr>
        <w:t>CACS, coronary artery calcium score</w:t>
      </w:r>
      <w:r>
        <w:rPr>
          <w:rFonts w:ascii="Verdana" w:hAnsi="Verdana" w:cs="Times New Roman" w:hint="eastAsia"/>
          <w:sz w:val="20"/>
          <w:szCs w:val="20"/>
        </w:rPr>
        <w:t xml:space="preserve">; </w:t>
      </w:r>
      <w:r w:rsidRPr="000B251B">
        <w:rPr>
          <w:rFonts w:ascii="Verdana" w:hAnsi="Verdana" w:cs="Times New Roman"/>
          <w:sz w:val="20"/>
          <w:szCs w:val="20"/>
        </w:rPr>
        <w:t>EATv</w:t>
      </w:r>
      <w:r w:rsidR="005B17CB">
        <w:rPr>
          <w:rFonts w:ascii="Verdana" w:hAnsi="Verdana" w:cs="Times New Roman" w:hint="eastAsia"/>
          <w:sz w:val="20"/>
          <w:szCs w:val="20"/>
        </w:rPr>
        <w:t>,</w:t>
      </w:r>
      <w:r w:rsidRPr="000B251B">
        <w:rPr>
          <w:rFonts w:ascii="Verdana" w:hAnsi="Verdana" w:cs="Times New Roman"/>
          <w:sz w:val="20"/>
          <w:szCs w:val="20"/>
        </w:rPr>
        <w:t xml:space="preserve"> epicardial adipose tissue volume</w:t>
      </w:r>
      <w:r w:rsidRPr="000B251B">
        <w:rPr>
          <w:rFonts w:ascii="Verdana" w:hAnsi="Verdana" w:cs="Times New Roman" w:hint="eastAsia"/>
          <w:sz w:val="20"/>
          <w:szCs w:val="20"/>
        </w:rPr>
        <w:t>.</w:t>
      </w:r>
      <w:r>
        <w:rPr>
          <w:rFonts w:ascii="Verdana" w:hAnsi="Verdana" w:cs="Times New Roman" w:hint="eastAsia"/>
          <w:sz w:val="20"/>
          <w:szCs w:val="20"/>
        </w:rPr>
        <w:t xml:space="preserve"> The </w:t>
      </w:r>
      <w:r w:rsidRPr="000B251B">
        <w:rPr>
          <w:rFonts w:ascii="Verdana" w:hAnsi="Verdana" w:cs="Times New Roman" w:hint="eastAsia"/>
          <w:sz w:val="20"/>
          <w:szCs w:val="20"/>
        </w:rPr>
        <w:t>ICC values were classified as excellent (</w:t>
      </w:r>
      <w:r>
        <w:rPr>
          <w:rFonts w:ascii="Verdana" w:hAnsi="Verdana" w:cs="Times New Roman"/>
          <w:sz w:val="16"/>
          <w:szCs w:val="16"/>
        </w:rPr>
        <w:t>&gt;</w:t>
      </w:r>
      <w:r w:rsidRPr="000B251B">
        <w:rPr>
          <w:rFonts w:ascii="Verdana" w:hAnsi="Verdana" w:cs="Times New Roman" w:hint="eastAsia"/>
          <w:sz w:val="20"/>
          <w:szCs w:val="20"/>
        </w:rPr>
        <w:t>0.90), good (0.75-0.90), moderate (0.50-0.75) and poor (</w:t>
      </w:r>
      <w:r>
        <w:rPr>
          <w:rFonts w:ascii="Verdana" w:hAnsi="Verdana" w:cs="Times New Roman"/>
          <w:sz w:val="16"/>
          <w:szCs w:val="16"/>
        </w:rPr>
        <w:t>&lt;</w:t>
      </w:r>
      <w:r w:rsidRPr="000B251B">
        <w:rPr>
          <w:rFonts w:ascii="Verdana" w:hAnsi="Verdana" w:cs="Times New Roman" w:hint="eastAsia"/>
          <w:sz w:val="20"/>
          <w:szCs w:val="20"/>
        </w:rPr>
        <w:t>0.50)</w:t>
      </w:r>
      <w:r>
        <w:rPr>
          <w:rFonts w:ascii="Verdana" w:hAnsi="Verdana" w:cs="Times New Roman" w:hint="eastAsia"/>
          <w:sz w:val="20"/>
          <w:szCs w:val="20"/>
        </w:rPr>
        <w:t xml:space="preserve">. </w:t>
      </w:r>
    </w:p>
    <w:p w:rsidR="004C5EC7" w:rsidRPr="006D4691" w:rsidRDefault="004C5EC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p w:rsidR="00460557" w:rsidRPr="006D4691" w:rsidRDefault="00460557" w:rsidP="006D4691">
      <w:pPr>
        <w:spacing w:line="480" w:lineRule="auto"/>
        <w:rPr>
          <w:rFonts w:ascii="Verdana" w:hAnsi="Verdana" w:cs="Times New Roman"/>
          <w:sz w:val="20"/>
          <w:szCs w:val="20"/>
        </w:rPr>
      </w:pPr>
    </w:p>
    <w:sectPr w:rsidR="00460557" w:rsidRPr="006D4691" w:rsidSect="00F8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31" w:rsidRDefault="005C0B31" w:rsidP="00C2193F">
      <w:r>
        <w:separator/>
      </w:r>
    </w:p>
  </w:endnote>
  <w:endnote w:type="continuationSeparator" w:id="0">
    <w:p w:rsidR="005C0B31" w:rsidRDefault="005C0B31" w:rsidP="00C2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31" w:rsidRDefault="005C0B31" w:rsidP="00C2193F">
      <w:r>
        <w:separator/>
      </w:r>
    </w:p>
  </w:footnote>
  <w:footnote w:type="continuationSeparator" w:id="0">
    <w:p w:rsidR="005C0B31" w:rsidRDefault="005C0B31" w:rsidP="00C2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93F"/>
    <w:rsid w:val="00003631"/>
    <w:rsid w:val="000064A0"/>
    <w:rsid w:val="00007D94"/>
    <w:rsid w:val="000213E2"/>
    <w:rsid w:val="000347D3"/>
    <w:rsid w:val="0005529A"/>
    <w:rsid w:val="0009013A"/>
    <w:rsid w:val="000A6498"/>
    <w:rsid w:val="000B251B"/>
    <w:rsid w:val="000E748F"/>
    <w:rsid w:val="000E76F2"/>
    <w:rsid w:val="00142482"/>
    <w:rsid w:val="00145855"/>
    <w:rsid w:val="001664CF"/>
    <w:rsid w:val="001A6EEA"/>
    <w:rsid w:val="001C46F7"/>
    <w:rsid w:val="001E3DD1"/>
    <w:rsid w:val="0021274E"/>
    <w:rsid w:val="002204F0"/>
    <w:rsid w:val="002374AE"/>
    <w:rsid w:val="00264673"/>
    <w:rsid w:val="00293AC8"/>
    <w:rsid w:val="002F26D8"/>
    <w:rsid w:val="00330853"/>
    <w:rsid w:val="003559C4"/>
    <w:rsid w:val="00391C79"/>
    <w:rsid w:val="003B0DC8"/>
    <w:rsid w:val="003C2B9F"/>
    <w:rsid w:val="00425121"/>
    <w:rsid w:val="00430AE9"/>
    <w:rsid w:val="00460557"/>
    <w:rsid w:val="00475F0E"/>
    <w:rsid w:val="004C5EC7"/>
    <w:rsid w:val="005119DF"/>
    <w:rsid w:val="005463C3"/>
    <w:rsid w:val="00550CFE"/>
    <w:rsid w:val="005B17CB"/>
    <w:rsid w:val="005C0B31"/>
    <w:rsid w:val="005D0B9F"/>
    <w:rsid w:val="005F4D3A"/>
    <w:rsid w:val="00605CC2"/>
    <w:rsid w:val="00633521"/>
    <w:rsid w:val="006412A3"/>
    <w:rsid w:val="006929E9"/>
    <w:rsid w:val="006A33A8"/>
    <w:rsid w:val="006B11C5"/>
    <w:rsid w:val="006C2AF1"/>
    <w:rsid w:val="006D0A5A"/>
    <w:rsid w:val="006D4691"/>
    <w:rsid w:val="006F1392"/>
    <w:rsid w:val="006F74A9"/>
    <w:rsid w:val="006F7FE0"/>
    <w:rsid w:val="00713F47"/>
    <w:rsid w:val="00757601"/>
    <w:rsid w:val="00775E36"/>
    <w:rsid w:val="00785FC2"/>
    <w:rsid w:val="00840DF1"/>
    <w:rsid w:val="0085126B"/>
    <w:rsid w:val="00871333"/>
    <w:rsid w:val="008735EF"/>
    <w:rsid w:val="00886D49"/>
    <w:rsid w:val="00895FAF"/>
    <w:rsid w:val="008A6F91"/>
    <w:rsid w:val="008F2CF7"/>
    <w:rsid w:val="008F5DEE"/>
    <w:rsid w:val="0094515F"/>
    <w:rsid w:val="009D5C11"/>
    <w:rsid w:val="009E4AD4"/>
    <w:rsid w:val="009F3257"/>
    <w:rsid w:val="00A5148C"/>
    <w:rsid w:val="00AD02DB"/>
    <w:rsid w:val="00AE3990"/>
    <w:rsid w:val="00AF6D30"/>
    <w:rsid w:val="00B53868"/>
    <w:rsid w:val="00B93368"/>
    <w:rsid w:val="00C00C51"/>
    <w:rsid w:val="00C2193F"/>
    <w:rsid w:val="00C75C76"/>
    <w:rsid w:val="00CC675B"/>
    <w:rsid w:val="00CC6FBD"/>
    <w:rsid w:val="00CD45F0"/>
    <w:rsid w:val="00DB5C88"/>
    <w:rsid w:val="00DC1F25"/>
    <w:rsid w:val="00DC29E3"/>
    <w:rsid w:val="00E01F6D"/>
    <w:rsid w:val="00E54F4D"/>
    <w:rsid w:val="00E5754F"/>
    <w:rsid w:val="00E577F4"/>
    <w:rsid w:val="00E66D03"/>
    <w:rsid w:val="00E76DB5"/>
    <w:rsid w:val="00E871D0"/>
    <w:rsid w:val="00EE24CA"/>
    <w:rsid w:val="00F14423"/>
    <w:rsid w:val="00F8589F"/>
    <w:rsid w:val="00F93264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93F"/>
    <w:rPr>
      <w:sz w:val="18"/>
      <w:szCs w:val="18"/>
    </w:rPr>
  </w:style>
  <w:style w:type="table" w:styleId="a5">
    <w:name w:val="Table Grid"/>
    <w:basedOn w:val="a1"/>
    <w:uiPriority w:val="59"/>
    <w:rsid w:val="00C21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5D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5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王玺</cp:lastModifiedBy>
  <cp:revision>75</cp:revision>
  <dcterms:created xsi:type="dcterms:W3CDTF">2021-12-23T02:47:00Z</dcterms:created>
  <dcterms:modified xsi:type="dcterms:W3CDTF">2022-01-08T08:18:00Z</dcterms:modified>
</cp:coreProperties>
</file>