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2190"/>
        <w:gridCol w:w="10590"/>
      </w:tblGrid>
      <w:tr w:rsidRPr="00AF57DF" w:rsidR="00AF57DF" w:rsidTr="649B920C" w14:paraId="02B05DDF" w14:textId="77777777">
        <w:trPr>
          <w:trHeight w:val="288"/>
        </w:trPr>
        <w:tc>
          <w:tcPr>
            <w:tcW w:w="12780" w:type="dxa"/>
            <w:gridSpan w:val="2"/>
            <w:tcMar>
              <w:top w:w="100" w:type="dxa"/>
              <w:left w:w="100" w:type="dxa"/>
              <w:bottom w:w="100" w:type="dxa"/>
              <w:right w:w="100" w:type="dxa"/>
            </w:tcMar>
          </w:tcPr>
          <w:p w:rsidRPr="00AF57DF" w:rsidR="00AF57DF" w:rsidP="000308EC" w:rsidRDefault="00AF57DF" w14:paraId="38572843" w14:textId="77777777">
            <w:pPr>
              <w:widowControl w:val="0"/>
              <w:pBdr>
                <w:top w:val="nil"/>
                <w:left w:val="nil"/>
                <w:bottom w:val="nil"/>
                <w:right w:val="nil"/>
                <w:between w:val="nil"/>
              </w:pBdr>
              <w:spacing w:line="276" w:lineRule="auto"/>
              <w:rPr>
                <w:rFonts w:ascii="Times" w:hAnsi="Times" w:eastAsia="Times" w:cs="Times"/>
                <w:b/>
                <w:u w:val="single"/>
              </w:rPr>
            </w:pPr>
            <w:r w:rsidRPr="00AF57DF">
              <w:rPr>
                <w:rFonts w:ascii="Times" w:hAnsi="Times" w:eastAsia="Times" w:cs="Times"/>
                <w:b/>
                <w:u w:val="single"/>
              </w:rPr>
              <w:t>Screening for readiness to run after childbirth</w:t>
            </w:r>
          </w:p>
        </w:tc>
      </w:tr>
      <w:tr w:rsidRPr="00AF57DF" w:rsidR="00AF57DF" w:rsidTr="649B920C" w14:paraId="141D88C7" w14:textId="77777777">
        <w:trPr>
          <w:trHeight w:val="288"/>
        </w:trPr>
        <w:tc>
          <w:tcPr>
            <w:tcW w:w="2190" w:type="dxa"/>
            <w:shd w:val="clear" w:color="auto" w:fill="auto"/>
            <w:tcMar>
              <w:top w:w="100" w:type="dxa"/>
              <w:left w:w="100" w:type="dxa"/>
              <w:bottom w:w="100" w:type="dxa"/>
              <w:right w:w="100" w:type="dxa"/>
            </w:tcMar>
          </w:tcPr>
          <w:p w:rsidRPr="00AF57DF" w:rsidR="00AF57DF" w:rsidP="000308EC" w:rsidRDefault="00AF57DF" w14:paraId="430DEB16" w14:textId="77777777">
            <w:pPr>
              <w:spacing w:line="480" w:lineRule="auto"/>
              <w:rPr>
                <w:rFonts w:ascii="Times" w:hAnsi="Times" w:eastAsia="Times" w:cs="Times"/>
                <w:b/>
              </w:rPr>
            </w:pPr>
            <w:r w:rsidRPr="00AF57DF">
              <w:rPr>
                <w:rFonts w:ascii="Times" w:hAnsi="Times" w:eastAsia="Times" w:cs="Times"/>
                <w:b/>
              </w:rPr>
              <w:t>Screening Topic</w:t>
            </w:r>
          </w:p>
        </w:tc>
        <w:tc>
          <w:tcPr>
            <w:tcW w:w="10590" w:type="dxa"/>
            <w:shd w:val="clear" w:color="auto" w:fill="auto"/>
            <w:tcMar>
              <w:top w:w="100" w:type="dxa"/>
              <w:left w:w="100" w:type="dxa"/>
              <w:bottom w:w="100" w:type="dxa"/>
              <w:right w:w="100" w:type="dxa"/>
            </w:tcMar>
          </w:tcPr>
          <w:p w:rsidRPr="00AF57DF" w:rsidR="00AF57DF" w:rsidP="000308EC" w:rsidRDefault="00AF57DF" w14:paraId="080071E1" w14:textId="77777777">
            <w:pPr>
              <w:spacing w:line="480" w:lineRule="auto"/>
              <w:rPr>
                <w:rFonts w:ascii="Times" w:hAnsi="Times" w:eastAsia="Times" w:cs="Times"/>
                <w:b/>
              </w:rPr>
            </w:pPr>
            <w:r w:rsidRPr="00AF57DF">
              <w:rPr>
                <w:rFonts w:ascii="Times" w:hAnsi="Times" w:eastAsia="Times" w:cs="Times"/>
                <w:b/>
              </w:rPr>
              <w:t>Screening Overview</w:t>
            </w:r>
          </w:p>
        </w:tc>
      </w:tr>
      <w:tr w:rsidRPr="00AF57DF" w:rsidR="00AF57DF" w:rsidTr="649B920C" w14:paraId="64CBA4C0" w14:textId="77777777">
        <w:trPr>
          <w:trHeight w:val="20"/>
        </w:trPr>
        <w:tc>
          <w:tcPr>
            <w:tcW w:w="2190" w:type="dxa"/>
            <w:shd w:val="clear" w:color="auto" w:fill="auto"/>
            <w:tcMar>
              <w:top w:w="100" w:type="dxa"/>
              <w:left w:w="100" w:type="dxa"/>
              <w:bottom w:w="100" w:type="dxa"/>
              <w:right w:w="100" w:type="dxa"/>
            </w:tcMar>
          </w:tcPr>
          <w:p w:rsidRPr="00AF57DF" w:rsidR="00AF57DF" w:rsidP="000308EC" w:rsidRDefault="00AF57DF" w14:paraId="4C14EB12" w14:textId="77777777">
            <w:pPr>
              <w:spacing w:line="480" w:lineRule="auto"/>
              <w:rPr>
                <w:rFonts w:ascii="Times" w:hAnsi="Times" w:eastAsia="Times" w:cs="Times"/>
                <w:b/>
              </w:rPr>
            </w:pPr>
            <w:r w:rsidRPr="00AF57DF">
              <w:rPr>
                <w:rFonts w:ascii="Times" w:hAnsi="Times" w:eastAsia="Times" w:cs="Times"/>
                <w:b/>
              </w:rPr>
              <w:t>Pelvic &amp; abdominal health</w:t>
            </w:r>
          </w:p>
        </w:tc>
        <w:tc>
          <w:tcPr>
            <w:tcW w:w="10590" w:type="dxa"/>
            <w:shd w:val="clear" w:color="auto" w:fill="auto"/>
            <w:tcMar>
              <w:top w:w="100" w:type="dxa"/>
              <w:left w:w="100" w:type="dxa"/>
              <w:bottom w:w="100" w:type="dxa"/>
              <w:right w:w="100" w:type="dxa"/>
            </w:tcMar>
          </w:tcPr>
          <w:p w:rsidRPr="00AF57DF" w:rsidR="00AF57DF" w:rsidP="000308EC" w:rsidRDefault="00AF57DF" w14:paraId="598AF4E5" w14:textId="77777777">
            <w:pPr>
              <w:spacing w:line="480" w:lineRule="auto"/>
              <w:rPr>
                <w:rFonts w:ascii="Times" w:hAnsi="Times" w:eastAsia="Times" w:cs="Times"/>
              </w:rPr>
            </w:pPr>
            <w:r w:rsidRPr="00AF57DF">
              <w:rPr>
                <w:rFonts w:ascii="Times" w:hAnsi="Times" w:eastAsia="Times" w:cs="Times"/>
              </w:rPr>
              <w:t>SUBJECTIVE:</w:t>
            </w:r>
          </w:p>
          <w:p w:rsidRPr="00AF57DF" w:rsidR="00AF57DF" w:rsidP="000308EC" w:rsidRDefault="00AF57DF" w14:paraId="42E1C97C"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Do you experience urine leakage when you cough/sneeze/laugh/ exercise?</w:t>
            </w:r>
          </w:p>
          <w:p w:rsidRPr="00AF57DF" w:rsidR="00AF57DF" w:rsidP="000308EC" w:rsidRDefault="00AF57DF" w14:paraId="6AFB8125" w14:textId="77777777">
            <w:pPr>
              <w:spacing w:line="480" w:lineRule="auto"/>
              <w:ind w:left="36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Do you have a bulge or sense something falling out of the vaginal area?</w:t>
            </w:r>
            <w:hyperlink r:id="rId4">
              <w:r w:rsidRPr="00AF57DF">
                <w:rPr>
                  <w:rFonts w:ascii="Times" w:hAnsi="Times" w:eastAsia="Times" w:cs="Times"/>
                  <w:color w:val="000000"/>
                  <w:vertAlign w:val="superscript"/>
                </w:rPr>
                <w:t>20</w:t>
              </w:r>
            </w:hyperlink>
          </w:p>
          <w:p w:rsidRPr="00AF57DF" w:rsidR="00AF57DF" w:rsidP="000308EC" w:rsidRDefault="00AF57DF" w14:paraId="4D96663F"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Do you experience accidental leakage of feces?</w:t>
            </w:r>
          </w:p>
          <w:p w:rsidRPr="00AF57DF" w:rsidR="00AF57DF" w:rsidP="000308EC" w:rsidRDefault="00AF57DF" w14:paraId="1DDD57D4"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Do you experience pain with bowel movements, tampon use, or intercourse?</w:t>
            </w:r>
          </w:p>
          <w:p w:rsidRPr="00AF57DF" w:rsidR="00AF57DF" w:rsidP="000308EC" w:rsidRDefault="00AF57DF" w14:paraId="4F7F2ACB"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Do you experience pain or bulging in the abdomen?</w:t>
            </w:r>
          </w:p>
          <w:p w:rsidRPr="00AF57DF" w:rsidR="00AF57DF" w:rsidP="000308EC" w:rsidRDefault="00AF57DF" w14:paraId="5C999239" w14:textId="77777777">
            <w:pPr>
              <w:spacing w:line="480" w:lineRule="auto"/>
              <w:rPr>
                <w:rFonts w:ascii="Times" w:hAnsi="Times" w:eastAsia="Times" w:cs="Times"/>
              </w:rPr>
            </w:pPr>
            <w:r w:rsidRPr="00AF57DF">
              <w:rPr>
                <w:rFonts w:ascii="Times" w:hAnsi="Times" w:eastAsia="Times" w:cs="Times"/>
              </w:rPr>
              <w:t>OBJECTIVE:</w:t>
            </w:r>
          </w:p>
          <w:p w:rsidRPr="00AF57DF" w:rsidR="00AF57DF" w:rsidP="000308EC" w:rsidRDefault="00AF57DF" w14:paraId="0A8B84CE" w14:textId="77777777">
            <w:pPr>
              <w:spacing w:line="480" w:lineRule="auto"/>
              <w:ind w:left="36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Can use the Pelvic Floor Disability Inventory- 20 (PFDI-20)</w:t>
            </w:r>
            <w:hyperlink r:id="rId5">
              <w:r w:rsidRPr="00AF57DF">
                <w:rPr>
                  <w:rFonts w:ascii="Times" w:hAnsi="Times" w:eastAsia="Times" w:cs="Times"/>
                  <w:color w:val="000000"/>
                  <w:vertAlign w:val="superscript"/>
                </w:rPr>
                <w:t>21</w:t>
              </w:r>
            </w:hyperlink>
          </w:p>
          <w:p w:rsidRPr="00AF57DF" w:rsidR="00AF57DF" w:rsidP="000308EC" w:rsidRDefault="00AF57DF" w14:paraId="25727C20"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Pelvic floor muscle strength, endurance, coordination, excursion in supine &amp; standing</w:t>
            </w:r>
          </w:p>
          <w:p w:rsidRPr="00AF57DF" w:rsidR="00AF57DF" w:rsidP="000308EC" w:rsidRDefault="00AF57DF" w14:paraId="34108E53" w14:textId="77777777">
            <w:pPr>
              <w:spacing w:line="480" w:lineRule="auto"/>
              <w:ind w:left="108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Grade 3 or less score on the Modified Oxford Manual Muscle Testing (MOMMT) and presence of pelvic health symptoms may warrant more time in phase I of the running progression.</w:t>
            </w:r>
            <w:hyperlink r:id="rId6">
              <w:r w:rsidRPr="00AF57DF">
                <w:rPr>
                  <w:rFonts w:ascii="Times" w:hAnsi="Times" w:eastAsia="Times" w:cs="Times"/>
                  <w:color w:val="000000"/>
                  <w:vertAlign w:val="superscript"/>
                </w:rPr>
                <w:t>15</w:t>
              </w:r>
            </w:hyperlink>
          </w:p>
          <w:p w:rsidRPr="00AF57DF" w:rsidR="00AF57DF" w:rsidP="000308EC" w:rsidRDefault="00AF57DF" w14:paraId="7A30D08E" w14:textId="77777777">
            <w:pPr>
              <w:spacing w:line="480" w:lineRule="auto"/>
              <w:ind w:left="36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Measurement of the genital hiatus and perineal body portions of the POP-Q</w:t>
            </w:r>
            <w:hyperlink r:id="rId7">
              <w:r w:rsidRPr="00AF57DF">
                <w:rPr>
                  <w:rFonts w:ascii="Times" w:hAnsi="Times" w:eastAsia="Times" w:cs="Times"/>
                  <w:color w:val="000000"/>
                  <w:vertAlign w:val="superscript"/>
                </w:rPr>
                <w:t>35</w:t>
              </w:r>
            </w:hyperlink>
          </w:p>
          <w:p w:rsidRPr="00AF57DF" w:rsidR="00AF57DF" w:rsidP="000308EC" w:rsidRDefault="00AF57DF" w14:paraId="3DBDBF96" w14:textId="798A6E21">
            <w:pPr>
              <w:spacing w:line="480" w:lineRule="auto"/>
              <w:ind w:left="1080"/>
              <w:rPr>
                <w:vertAlign w:val="superscript"/>
              </w:rPr>
            </w:pPr>
            <w:r w:rsidRPr="649B920C" w:rsidR="00AF57DF">
              <w:rPr>
                <w:rFonts w:ascii="Calibri" w:hAnsi="Calibri" w:eastAsia="Calibri" w:cs="Calibri"/>
              </w:rPr>
              <w:t>·</w:t>
            </w:r>
            <w:r w:rsidRPr="649B920C" w:rsidR="00AF57DF">
              <w:rPr>
                <w:sz w:val="14"/>
                <w:szCs w:val="14"/>
              </w:rPr>
              <w:t xml:space="preserve">  </w:t>
            </w:r>
            <w:r w:rsidRPr="649B920C" w:rsidR="00AF57DF">
              <w:rPr>
                <w:rFonts w:ascii="Times" w:hAnsi="Times" w:eastAsia="Times" w:cs="Times"/>
              </w:rPr>
              <w:t>If the sum of these two measurements is greater than 7cm on Valsalva,</w:t>
            </w:r>
            <w:hyperlink r:id="R97b3d6eb0c3844f7">
              <w:r w:rsidRPr="649B920C" w:rsidR="00AF57DF">
                <w:rPr>
                  <w:rFonts w:ascii="Times" w:hAnsi="Times" w:eastAsia="Times" w:cs="Times"/>
                  <w:color w:val="000000" w:themeColor="text1" w:themeTint="FF" w:themeShade="FF"/>
                  <w:vertAlign w:val="superscript"/>
                </w:rPr>
                <w:t>36</w:t>
              </w:r>
            </w:hyperlink>
            <w:r w:rsidR="00AF57DF">
              <w:rPr/>
              <w:t xml:space="preserve"> </w:t>
            </w:r>
            <w:r w:rsidRPr="649B920C" w:rsidR="00AF57DF">
              <w:rPr>
                <w:rFonts w:ascii="Times" w:hAnsi="Times" w:eastAsia="Times" w:cs="Times"/>
              </w:rPr>
              <w:t xml:space="preserve"> a pessary may be recommended for use during running.</w:t>
            </w:r>
            <w:r w:rsidRPr="649B920C" w:rsidR="00AF57DF">
              <w:rPr>
                <w:vertAlign w:val="superscript"/>
              </w:rPr>
              <w:t>15</w:t>
            </w:r>
          </w:p>
          <w:p w:rsidRPr="00AF57DF" w:rsidR="00AF57DF" w:rsidP="000308EC" w:rsidRDefault="00AF57DF" w14:paraId="336BBBD4"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Assessment of pelvic floor muscle quality (e.g., elevated resting tone) and pain provocation with palpation</w:t>
            </w:r>
          </w:p>
          <w:p w:rsidRPr="00AF57DF" w:rsidR="00AF57DF" w:rsidP="000308EC" w:rsidRDefault="00AF57DF" w14:paraId="471181CB" w14:textId="77777777">
            <w:pPr>
              <w:spacing w:line="480" w:lineRule="auto"/>
              <w:ind w:left="36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Measurement of inter-recti distance at rest and with head lift. Measurement methods include ultrasound, calipers, tape measure, or finger widths based on availability.</w:t>
            </w:r>
          </w:p>
          <w:p w:rsidRPr="00AF57DF" w:rsidR="00AF57DF" w:rsidP="000308EC" w:rsidRDefault="00AF57DF" w14:paraId="05AD110E" w14:textId="77777777">
            <w:pPr>
              <w:spacing w:line="480" w:lineRule="auto"/>
              <w:ind w:left="36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Active straight leg raise (ASLR) test</w:t>
            </w:r>
            <w:hyperlink r:id="rId9">
              <w:r w:rsidRPr="00AF57DF">
                <w:rPr>
                  <w:rFonts w:ascii="Times" w:hAnsi="Times" w:eastAsia="Times" w:cs="Times"/>
                  <w:color w:val="000000"/>
                  <w:vertAlign w:val="superscript"/>
                </w:rPr>
                <w:t>17,18</w:t>
              </w:r>
            </w:hyperlink>
          </w:p>
          <w:p w:rsidRPr="00AF57DF" w:rsidR="00AF57DF" w:rsidP="000308EC" w:rsidRDefault="00AF57DF" w14:paraId="5B74046D" w14:textId="77777777">
            <w:pPr>
              <w:spacing w:line="480" w:lineRule="auto"/>
              <w:ind w:left="108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 xml:space="preserve"> Perceived difficulty without and with external pelvic compression</w:t>
            </w:r>
          </w:p>
          <w:p w:rsidRPr="00AF57DF" w:rsidR="00AF57DF" w:rsidP="000308EC" w:rsidRDefault="00AF57DF" w14:paraId="0CDAA83C" w14:textId="77777777">
            <w:pPr>
              <w:spacing w:line="480" w:lineRule="auto"/>
              <w:ind w:left="108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Provocation of pelvic joint pain</w:t>
            </w:r>
          </w:p>
          <w:p w:rsidRPr="00AF57DF" w:rsidR="00AF57DF" w:rsidP="000308EC" w:rsidRDefault="00AF57DF" w14:paraId="3B74C915" w14:textId="77777777">
            <w:pPr>
              <w:spacing w:line="480" w:lineRule="auto"/>
              <w:ind w:left="1040"/>
              <w:rPr>
                <w:rFonts w:ascii="Times" w:hAnsi="Times" w:eastAsia="Times" w:cs="Times"/>
              </w:rPr>
            </w:pPr>
            <w:r w:rsidRPr="00AF57DF">
              <w:rPr>
                <w:rFonts w:ascii="Calibri" w:hAnsi="Calibri" w:eastAsia="Calibri" w:cs="Calibri"/>
              </w:rPr>
              <w:t xml:space="preserve"> ·</w:t>
            </w:r>
            <w:r w:rsidRPr="00AF57DF">
              <w:rPr>
                <w:sz w:val="14"/>
                <w:szCs w:val="14"/>
              </w:rPr>
              <w:t xml:space="preserve">  </w:t>
            </w:r>
            <w:r w:rsidRPr="00AF57DF">
              <w:rPr>
                <w:rFonts w:ascii="Times" w:hAnsi="Times" w:eastAsia="Times" w:cs="Times"/>
              </w:rPr>
              <w:t>Trunk/pelvic shift, rib flare, or breath holding</w:t>
            </w:r>
          </w:p>
          <w:p w:rsidRPr="00AF57DF" w:rsidR="00AF57DF" w:rsidP="000308EC" w:rsidRDefault="00AF57DF" w14:paraId="0A5308D1" w14:textId="77777777">
            <w:pPr>
              <w:spacing w:line="480" w:lineRule="auto"/>
              <w:ind w:left="40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Abdominal muscle strength (resisted trunk rotation, head lift, manual muscle testing &amp; endurance (forward plank) testing.</w:t>
            </w:r>
            <w:hyperlink r:id="rId10">
              <w:r w:rsidRPr="00AF57DF">
                <w:rPr>
                  <w:rFonts w:ascii="Times" w:hAnsi="Times" w:eastAsia="Times" w:cs="Times"/>
                  <w:color w:val="000000"/>
                  <w:vertAlign w:val="superscript"/>
                </w:rPr>
                <w:t>19</w:t>
              </w:r>
            </w:hyperlink>
          </w:p>
          <w:p w:rsidRPr="00AF57DF" w:rsidR="00AF57DF" w:rsidP="000308EC" w:rsidRDefault="00AF57DF" w14:paraId="2E85F9C4" w14:textId="77777777">
            <w:pPr>
              <w:spacing w:line="480" w:lineRule="auto"/>
              <w:ind w:left="40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Orthopedic assessment of pelvic joints, hip, lumbar spine.</w:t>
            </w:r>
          </w:p>
        </w:tc>
      </w:tr>
      <w:tr w:rsidRPr="00AF57DF" w:rsidR="00AF57DF" w:rsidTr="649B920C" w14:paraId="34F43911" w14:textId="77777777">
        <w:trPr>
          <w:trHeight w:val="20"/>
        </w:trPr>
        <w:tc>
          <w:tcPr>
            <w:tcW w:w="2190" w:type="dxa"/>
            <w:shd w:val="clear" w:color="auto" w:fill="auto"/>
            <w:tcMar>
              <w:top w:w="100" w:type="dxa"/>
              <w:left w:w="100" w:type="dxa"/>
              <w:bottom w:w="100" w:type="dxa"/>
              <w:right w:w="100" w:type="dxa"/>
            </w:tcMar>
          </w:tcPr>
          <w:p w:rsidRPr="00AF57DF" w:rsidR="00AF57DF" w:rsidP="000308EC" w:rsidRDefault="00AF57DF" w14:paraId="737C3DB4" w14:textId="77777777">
            <w:pPr>
              <w:spacing w:line="480" w:lineRule="auto"/>
              <w:rPr>
                <w:rFonts w:ascii="Times" w:hAnsi="Times" w:eastAsia="Times" w:cs="Times"/>
                <w:b/>
              </w:rPr>
            </w:pPr>
            <w:r w:rsidRPr="00AF57DF">
              <w:rPr>
                <w:rFonts w:ascii="Times" w:hAnsi="Times" w:eastAsia="Times" w:cs="Times"/>
                <w:b/>
              </w:rPr>
              <w:lastRenderedPageBreak/>
              <w:t>Impact readiness</w:t>
            </w:r>
          </w:p>
        </w:tc>
        <w:tc>
          <w:tcPr>
            <w:tcW w:w="10590" w:type="dxa"/>
            <w:shd w:val="clear" w:color="auto" w:fill="auto"/>
            <w:tcMar>
              <w:top w:w="100" w:type="dxa"/>
              <w:left w:w="100" w:type="dxa"/>
              <w:bottom w:w="100" w:type="dxa"/>
              <w:right w:w="100" w:type="dxa"/>
            </w:tcMar>
          </w:tcPr>
          <w:p w:rsidRPr="00AF57DF" w:rsidR="00AF57DF" w:rsidP="000308EC" w:rsidRDefault="00AF57DF" w14:paraId="00580813" w14:textId="77777777">
            <w:pPr>
              <w:spacing w:line="480" w:lineRule="auto"/>
              <w:ind w:left="720"/>
              <w:rPr>
                <w:rFonts w:ascii="Times" w:hAnsi="Times" w:eastAsia="Times" w:cs="Times"/>
              </w:rPr>
            </w:pPr>
            <w:r w:rsidRPr="00AF57DF">
              <w:rPr>
                <w:rFonts w:ascii="Calibri" w:hAnsi="Calibri" w:eastAsia="Calibri" w:cs="Calibri"/>
              </w:rPr>
              <w:t>·</w:t>
            </w:r>
            <w:r w:rsidRPr="00AF57DF">
              <w:rPr>
                <w:sz w:val="14"/>
                <w:szCs w:val="14"/>
              </w:rPr>
              <w:t xml:space="preserve">  </w:t>
            </w:r>
            <w:proofErr w:type="spellStart"/>
            <w:r w:rsidRPr="00AF57DF">
              <w:rPr>
                <w:rFonts w:ascii="Times" w:hAnsi="Times" w:eastAsia="Times" w:cs="Times"/>
              </w:rPr>
              <w:t>Goom</w:t>
            </w:r>
            <w:proofErr w:type="spellEnd"/>
            <w:r w:rsidRPr="00AF57DF">
              <w:rPr>
                <w:rFonts w:ascii="Times" w:hAnsi="Times" w:eastAsia="Times" w:cs="Times"/>
              </w:rPr>
              <w:t xml:space="preserve"> et al (2020)</w:t>
            </w:r>
            <w:hyperlink r:id="rId11">
              <w:r w:rsidRPr="00AF57DF">
                <w:rPr>
                  <w:rFonts w:ascii="Times" w:hAnsi="Times" w:eastAsia="Times" w:cs="Times"/>
                  <w:color w:val="000000"/>
                  <w:vertAlign w:val="superscript"/>
                </w:rPr>
                <w:t>15</w:t>
              </w:r>
            </w:hyperlink>
            <w:r w:rsidRPr="00AF57DF">
              <w:rPr>
                <w:rFonts w:ascii="Times" w:hAnsi="Times" w:eastAsia="Times" w:cs="Times"/>
              </w:rPr>
              <w:t xml:space="preserve">: The lower extremity screen is quantitative and includes the ability to perform 20 reps of each of the following exercises to assess strength: Single leg calf raise, single leg bridge, </w:t>
            </w:r>
            <w:r w:rsidRPr="00AF57DF">
              <w:rPr>
                <w:rFonts w:ascii="Times" w:hAnsi="Times" w:eastAsia="Times" w:cs="Times"/>
              </w:rPr>
              <w:lastRenderedPageBreak/>
              <w:t>single leg sit to stand, side lying hip abduction.  Impact readiness is assessed with jogging in place for 1 minute and completion of forward bounding and hopping in place for 10 repetitions.</w:t>
            </w:r>
          </w:p>
          <w:p w:rsidRPr="00AF57DF" w:rsidR="00AF57DF" w:rsidP="000308EC" w:rsidRDefault="00AF57DF" w14:paraId="4C3A60BF" w14:textId="77777777">
            <w:pPr>
              <w:spacing w:line="480" w:lineRule="auto"/>
              <w:ind w:left="720"/>
              <w:rPr>
                <w:rFonts w:ascii="Calibri" w:hAnsi="Calibri" w:eastAsia="Calibri" w:cs="Calibri"/>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Payne et al (2019)</w:t>
            </w:r>
            <w:hyperlink r:id="rId12">
              <w:r w:rsidRPr="00AF57DF">
                <w:rPr>
                  <w:rFonts w:ascii="Times" w:hAnsi="Times" w:eastAsia="Times" w:cs="Times"/>
                  <w:color w:val="000000"/>
                  <w:vertAlign w:val="superscript"/>
                </w:rPr>
                <w:t>14</w:t>
              </w:r>
            </w:hyperlink>
            <w:r w:rsidRPr="00AF57DF">
              <w:rPr>
                <w:rFonts w:ascii="Times" w:hAnsi="Times" w:eastAsia="Times" w:cs="Times"/>
              </w:rPr>
              <w:t xml:space="preserve">: The Running Readiness Screen (RRS) was developed to screen for muscular endurance and lower extremity dynamic control </w:t>
            </w:r>
            <w:proofErr w:type="gramStart"/>
            <w:r w:rsidRPr="00AF57DF">
              <w:rPr>
                <w:rFonts w:ascii="Times" w:hAnsi="Times" w:eastAsia="Times" w:cs="Times"/>
              </w:rPr>
              <w:t>through the use of</w:t>
            </w:r>
            <w:proofErr w:type="gramEnd"/>
            <w:r w:rsidRPr="00AF57DF">
              <w:rPr>
                <w:rFonts w:ascii="Times" w:hAnsi="Times" w:eastAsia="Times" w:cs="Times"/>
              </w:rPr>
              <w:t xml:space="preserve"> 6 screening tests. These tests include the following, each of which is tested for 1 minute: Step Ups, Double Leg Hopping, Wall Sit, Single Leg Squats, Double Leg Squat and Plank Hold. </w:t>
            </w:r>
            <w:proofErr w:type="gramStart"/>
            <w:r w:rsidRPr="00AF57DF">
              <w:rPr>
                <w:rFonts w:ascii="Times" w:hAnsi="Times" w:eastAsia="Times" w:cs="Times"/>
              </w:rPr>
              <w:t>Clinicians</w:t>
            </w:r>
            <w:proofErr w:type="gramEnd"/>
            <w:r w:rsidRPr="00AF57DF">
              <w:rPr>
                <w:rFonts w:ascii="Times" w:hAnsi="Times" w:eastAsia="Times" w:cs="Times"/>
              </w:rPr>
              <w:t xml:space="preserve"> score based on muscular endurance, postural and joint alignment, and weight distribution. It is our expert opinion that this could be used to screen people who desire to run after giving birth</w:t>
            </w:r>
            <w:r w:rsidRPr="00AF57DF">
              <w:rPr>
                <w:rFonts w:ascii="Calibri" w:hAnsi="Calibri" w:eastAsia="Calibri" w:cs="Calibri"/>
              </w:rPr>
              <w:t>.</w:t>
            </w:r>
          </w:p>
          <w:p w:rsidRPr="00AF57DF" w:rsidR="00AF57DF" w:rsidP="000308EC" w:rsidRDefault="00AF57DF" w14:paraId="769E60CB" w14:textId="77777777">
            <w:pPr>
              <w:spacing w:line="480" w:lineRule="auto"/>
              <w:rPr>
                <w:rFonts w:ascii="Times" w:hAnsi="Times" w:eastAsia="Times" w:cs="Times"/>
              </w:rPr>
            </w:pPr>
            <w:r w:rsidRPr="00AF57DF">
              <w:rPr>
                <w:rFonts w:ascii="Times" w:hAnsi="Times" w:eastAsia="Times" w:cs="Times"/>
              </w:rPr>
              <w:t>Musculoskeletal and pelvic health symptoms should be evaluated during the impact readiness screening.</w:t>
            </w:r>
          </w:p>
        </w:tc>
      </w:tr>
      <w:tr w:rsidRPr="00AF57DF" w:rsidR="00AF57DF" w:rsidTr="649B920C" w14:paraId="0E9BFEF6" w14:textId="77777777">
        <w:trPr>
          <w:trHeight w:val="20"/>
        </w:trPr>
        <w:tc>
          <w:tcPr>
            <w:tcW w:w="2190" w:type="dxa"/>
            <w:shd w:val="clear" w:color="auto" w:fill="auto"/>
            <w:tcMar>
              <w:top w:w="100" w:type="dxa"/>
              <w:left w:w="100" w:type="dxa"/>
              <w:bottom w:w="100" w:type="dxa"/>
              <w:right w:w="100" w:type="dxa"/>
            </w:tcMar>
          </w:tcPr>
          <w:p w:rsidRPr="00AF57DF" w:rsidR="00AF57DF" w:rsidP="000308EC" w:rsidRDefault="00AF57DF" w14:paraId="183E1B9E" w14:textId="77777777">
            <w:pPr>
              <w:spacing w:line="480" w:lineRule="auto"/>
              <w:rPr>
                <w:rFonts w:ascii="Times" w:hAnsi="Times" w:eastAsia="Times" w:cs="Times"/>
                <w:b/>
              </w:rPr>
            </w:pPr>
            <w:r w:rsidRPr="00AF57DF">
              <w:rPr>
                <w:rFonts w:ascii="Times" w:hAnsi="Times" w:eastAsia="Times" w:cs="Times"/>
                <w:b/>
              </w:rPr>
              <w:lastRenderedPageBreak/>
              <w:t>Running gait</w:t>
            </w:r>
          </w:p>
        </w:tc>
        <w:tc>
          <w:tcPr>
            <w:tcW w:w="10590" w:type="dxa"/>
            <w:shd w:val="clear" w:color="auto" w:fill="auto"/>
            <w:tcMar>
              <w:top w:w="100" w:type="dxa"/>
              <w:left w:w="100" w:type="dxa"/>
              <w:bottom w:w="100" w:type="dxa"/>
              <w:right w:w="100" w:type="dxa"/>
            </w:tcMar>
          </w:tcPr>
          <w:p w:rsidRPr="00AF57DF" w:rsidR="00AF57DF" w:rsidP="000308EC" w:rsidRDefault="00AF57DF" w14:paraId="21B63918" w14:textId="77777777">
            <w:pPr>
              <w:spacing w:line="480" w:lineRule="auto"/>
              <w:rPr>
                <w:rFonts w:ascii="Times" w:hAnsi="Times" w:eastAsia="Times" w:cs="Times"/>
              </w:rPr>
            </w:pPr>
            <w:r w:rsidRPr="00AF57DF">
              <w:rPr>
                <w:rFonts w:ascii="Times" w:hAnsi="Times" w:eastAsia="Times" w:cs="Times"/>
              </w:rPr>
              <w:t>2D or 3D Visual analysis</w:t>
            </w:r>
          </w:p>
          <w:p w:rsidRPr="00AF57DF" w:rsidR="00AF57DF" w:rsidP="000308EC" w:rsidRDefault="00AF57DF" w14:paraId="66B90623" w14:textId="77777777">
            <w:pPr>
              <w:spacing w:line="480" w:lineRule="auto"/>
              <w:ind w:left="72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Souza (2016)</w:t>
            </w:r>
            <w:hyperlink r:id="rId13">
              <w:r w:rsidRPr="00AF57DF">
                <w:rPr>
                  <w:rFonts w:ascii="Times" w:hAnsi="Times" w:eastAsia="Times" w:cs="Times"/>
                  <w:color w:val="000000"/>
                  <w:vertAlign w:val="superscript"/>
                </w:rPr>
                <w:t>43</w:t>
              </w:r>
            </w:hyperlink>
            <w:r w:rsidRPr="00AF57DF">
              <w:rPr>
                <w:rFonts w:ascii="Times" w:hAnsi="Times" w:eastAsia="Times" w:cs="Times"/>
              </w:rPr>
              <w:t>: 2D Analysis</w:t>
            </w:r>
          </w:p>
          <w:p w:rsidRPr="00AF57DF" w:rsidR="00AF57DF" w:rsidP="000308EC" w:rsidRDefault="00AF57DF" w14:paraId="632D644C" w14:textId="77777777">
            <w:pPr>
              <w:spacing w:line="480" w:lineRule="auto"/>
              <w:ind w:left="144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Set up: High-definition camera with high frame rate (</w:t>
            </w:r>
            <w:r w:rsidRPr="00AF57DF">
              <w:rPr>
                <w:rFonts w:ascii="Times" w:hAnsi="Times" w:eastAsia="Times" w:cs="Times"/>
                <w:u w:val="single"/>
              </w:rPr>
              <w:t>&gt;</w:t>
            </w:r>
            <w:r w:rsidRPr="00AF57DF">
              <w:rPr>
                <w:rFonts w:ascii="Times" w:hAnsi="Times" w:eastAsia="Times" w:cs="Times"/>
              </w:rPr>
              <w:t>120Hz), two orthogonal views (at right angles to each other) and application of markers on anatomical landmarks.</w:t>
            </w:r>
          </w:p>
          <w:p w:rsidRPr="00AF57DF" w:rsidR="00AF57DF" w:rsidP="000308EC" w:rsidRDefault="00AF57DF" w14:paraId="5F6DB3EA" w14:textId="77777777">
            <w:pPr>
              <w:spacing w:line="480" w:lineRule="auto"/>
              <w:ind w:left="1440"/>
              <w:rPr>
                <w:rFonts w:ascii="Times" w:hAnsi="Times" w:eastAsia="Times" w:cs="Times"/>
                <w:vertAlign w:val="superscript"/>
              </w:rPr>
            </w:pPr>
            <w:r w:rsidRPr="00AF57DF">
              <w:rPr>
                <w:rFonts w:ascii="Calibri" w:hAnsi="Calibri" w:eastAsia="Calibri" w:cs="Calibri"/>
              </w:rPr>
              <w:t>·</w:t>
            </w:r>
            <w:r w:rsidRPr="00AF57DF">
              <w:rPr>
                <w:sz w:val="14"/>
                <w:szCs w:val="14"/>
              </w:rPr>
              <w:t xml:space="preserve">  </w:t>
            </w:r>
            <w:r w:rsidRPr="00AF57DF">
              <w:rPr>
                <w:rFonts w:ascii="Times" w:hAnsi="Times" w:eastAsia="Times" w:cs="Times"/>
              </w:rPr>
              <w:t xml:space="preserve">Analysis: After a </w:t>
            </w:r>
            <w:proofErr w:type="gramStart"/>
            <w:r w:rsidRPr="00AF57DF">
              <w:rPr>
                <w:rFonts w:ascii="Times" w:hAnsi="Times" w:eastAsia="Times" w:cs="Times"/>
              </w:rPr>
              <w:t>warm up</w:t>
            </w:r>
            <w:proofErr w:type="gramEnd"/>
            <w:r w:rsidRPr="00AF57DF">
              <w:rPr>
                <w:rFonts w:ascii="Times" w:hAnsi="Times" w:eastAsia="Times" w:cs="Times"/>
              </w:rPr>
              <w:t xml:space="preserve">, foot strike pattern, foot inclination angle at initial contact, tibia angle loading response, knee flexion during stance, hip extension during late stance, trunk </w:t>
            </w:r>
            <w:r w:rsidRPr="00AF57DF">
              <w:rPr>
                <w:rFonts w:ascii="Times" w:hAnsi="Times" w:eastAsia="Times" w:cs="Times"/>
              </w:rPr>
              <w:lastRenderedPageBreak/>
              <w:t>lean, stride length, and vertical displacement are analyzed from the sagittal view. Base of support, heel eversion, foot progression angle, heel whips, knee window, and pelvic drop are analyzed from the frontal view. Other variables such as cadence (step rate), shaking of treadmill and atypical impact sounds are monitored.</w:t>
            </w:r>
            <w:hyperlink r:id="rId14">
              <w:r w:rsidRPr="00AF57DF">
                <w:rPr>
                  <w:rFonts w:ascii="Times" w:hAnsi="Times" w:eastAsia="Times" w:cs="Times"/>
                  <w:color w:val="000000"/>
                  <w:vertAlign w:val="superscript"/>
                </w:rPr>
                <w:t>43</w:t>
              </w:r>
            </w:hyperlink>
          </w:p>
        </w:tc>
      </w:tr>
      <w:tr w:rsidR="00AF57DF" w:rsidTr="649B920C" w14:paraId="2CE080F4" w14:textId="77777777">
        <w:trPr>
          <w:trHeight w:val="20"/>
        </w:trPr>
        <w:tc>
          <w:tcPr>
            <w:tcW w:w="2190" w:type="dxa"/>
            <w:shd w:val="clear" w:color="auto" w:fill="auto"/>
            <w:tcMar>
              <w:top w:w="100" w:type="dxa"/>
              <w:left w:w="100" w:type="dxa"/>
              <w:bottom w:w="100" w:type="dxa"/>
              <w:right w:w="100" w:type="dxa"/>
            </w:tcMar>
          </w:tcPr>
          <w:p w:rsidRPr="00AF57DF" w:rsidR="00AF57DF" w:rsidP="000308EC" w:rsidRDefault="00AF57DF" w14:paraId="1190ECE0" w14:textId="77777777">
            <w:pPr>
              <w:spacing w:line="480" w:lineRule="auto"/>
              <w:rPr>
                <w:rFonts w:ascii="Times" w:hAnsi="Times" w:eastAsia="Times" w:cs="Times"/>
                <w:b/>
              </w:rPr>
            </w:pPr>
            <w:r w:rsidRPr="00AF57DF">
              <w:rPr>
                <w:rFonts w:ascii="Times" w:hAnsi="Times" w:eastAsia="Times" w:cs="Times"/>
                <w:b/>
              </w:rPr>
              <w:lastRenderedPageBreak/>
              <w:t>Physiological variables/multi-systems review</w:t>
            </w:r>
          </w:p>
        </w:tc>
        <w:tc>
          <w:tcPr>
            <w:tcW w:w="10590" w:type="dxa"/>
            <w:shd w:val="clear" w:color="auto" w:fill="auto"/>
            <w:tcMar>
              <w:top w:w="100" w:type="dxa"/>
              <w:left w:w="100" w:type="dxa"/>
              <w:bottom w:w="100" w:type="dxa"/>
              <w:right w:w="100" w:type="dxa"/>
            </w:tcMar>
          </w:tcPr>
          <w:p w:rsidRPr="00AF57DF" w:rsidR="00AF57DF" w:rsidP="000308EC" w:rsidRDefault="00AF57DF" w14:paraId="7FDC081D" w14:textId="4B20B5A0">
            <w:pPr>
              <w:spacing w:line="480" w:lineRule="auto"/>
              <w:ind w:left="720"/>
              <w:rPr>
                <w:rFonts w:ascii="Times" w:hAnsi="Times" w:eastAsia="Times" w:cs="Times"/>
                <w:vertAlign w:val="superscript"/>
              </w:rPr>
            </w:pPr>
            <w:r w:rsidRPr="649B920C" w:rsidR="00AF57DF">
              <w:rPr>
                <w:rFonts w:ascii="Calibri" w:hAnsi="Calibri" w:eastAsia="Calibri" w:cs="Calibri"/>
              </w:rPr>
              <w:t>·</w:t>
            </w:r>
            <w:r w:rsidRPr="649B920C" w:rsidR="00AF57DF">
              <w:rPr>
                <w:sz w:val="14"/>
                <w:szCs w:val="14"/>
              </w:rPr>
              <w:t xml:space="preserve">  </w:t>
            </w:r>
            <w:r w:rsidRPr="649B920C" w:rsidR="00AF57DF">
              <w:rPr>
                <w:rFonts w:ascii="Times" w:hAnsi="Times" w:eastAsia="Times" w:cs="Times"/>
                <w:b w:val="1"/>
                <w:bCs w:val="1"/>
              </w:rPr>
              <w:t>Sleep:</w:t>
            </w:r>
            <w:r w:rsidRPr="649B920C" w:rsidR="00AF57DF">
              <w:rPr>
                <w:rFonts w:ascii="Times" w:hAnsi="Times" w:eastAsia="Times" w:cs="Times"/>
              </w:rPr>
              <w:t xml:space="preserve"> Postpartum women experience significant sleep disruptions after childbirth due to infant sleep and feeding patterns.</w:t>
            </w:r>
            <w:hyperlink r:id="Rc4c431a65a0e407e">
              <w:r w:rsidRPr="649B920C" w:rsidR="00AF57DF">
                <w:rPr>
                  <w:rFonts w:ascii="Times" w:hAnsi="Times" w:eastAsia="Times" w:cs="Times"/>
                  <w:color w:val="000000" w:themeColor="text1" w:themeTint="FF" w:themeShade="FF"/>
                  <w:vertAlign w:val="superscript"/>
                </w:rPr>
                <w:t>44,45</w:t>
              </w:r>
            </w:hyperlink>
            <w:r w:rsidRPr="649B920C" w:rsidR="00AF57DF">
              <w:rPr>
                <w:rFonts w:ascii="Times" w:hAnsi="Times" w:eastAsia="Times" w:cs="Times"/>
              </w:rPr>
              <w:t xml:space="preserve"> No studies have investigated the effects of postpartum state sleep deprivation on and its relationship with performance, recovery, or injury; however, athletes need 9-10 hours of sleep for optimal performance.</w:t>
            </w:r>
            <w:hyperlink r:id="Ra91c3ea644ff4c22">
              <w:r w:rsidRPr="649B920C" w:rsidR="00AF57DF">
                <w:rPr>
                  <w:rFonts w:ascii="Times" w:hAnsi="Times" w:eastAsia="Times" w:cs="Times"/>
                  <w:color w:val="000000" w:themeColor="text1" w:themeTint="FF" w:themeShade="FF"/>
                  <w:vertAlign w:val="superscript"/>
                </w:rPr>
                <w:t>52–54</w:t>
              </w:r>
            </w:hyperlink>
            <w:r w:rsidRPr="649B920C" w:rsidR="00AF57DF">
              <w:rPr>
                <w:rFonts w:ascii="Times" w:hAnsi="Times" w:eastAsia="Times" w:cs="Times"/>
              </w:rPr>
              <w:t xml:space="preserve"> We recommend monitoring sleep by simply asking for average sleep hours per week and if needed, analyzing the quality </w:t>
            </w:r>
            <w:commentRangeStart w:id="735706106"/>
            <w:r w:rsidRPr="649B920C" w:rsidR="4899AE86">
              <w:rPr>
                <w:rFonts w:ascii="Times" w:hAnsi="Times" w:eastAsia="Times" w:cs="Times"/>
              </w:rPr>
              <w:t>o</w:t>
            </w:r>
            <w:r w:rsidRPr="649B920C" w:rsidR="00AF57DF">
              <w:rPr>
                <w:rFonts w:ascii="Times" w:hAnsi="Times" w:eastAsia="Times" w:cs="Times"/>
              </w:rPr>
              <w:t>f</w:t>
            </w:r>
            <w:commentRangeEnd w:id="735706106"/>
            <w:r>
              <w:rPr>
                <w:rStyle w:val="CommentReference"/>
              </w:rPr>
              <w:commentReference w:id="735706106"/>
            </w:r>
            <w:r w:rsidRPr="649B920C" w:rsidR="00AF57DF">
              <w:rPr>
                <w:rFonts w:ascii="Times" w:hAnsi="Times" w:eastAsia="Times" w:cs="Times"/>
              </w:rPr>
              <w:t xml:space="preserve"> sleep using the Pittsburgh sleep quality index.</w:t>
            </w:r>
            <w:hyperlink r:id="R31ec970f97994405">
              <w:r w:rsidRPr="649B920C" w:rsidR="00AF57DF">
                <w:rPr>
                  <w:rFonts w:ascii="Times" w:hAnsi="Times" w:eastAsia="Times" w:cs="Times"/>
                  <w:color w:val="000000" w:themeColor="text1" w:themeTint="FF" w:themeShade="FF"/>
                  <w:vertAlign w:val="superscript"/>
                </w:rPr>
                <w:t>57</w:t>
              </w:r>
            </w:hyperlink>
          </w:p>
          <w:p w:rsidRPr="00AF57DF" w:rsidR="00AF57DF" w:rsidP="000308EC" w:rsidRDefault="00AF57DF" w14:paraId="37305053" w14:textId="5EB5A897">
            <w:pPr>
              <w:spacing w:line="480" w:lineRule="auto"/>
              <w:ind w:left="720"/>
              <w:rPr>
                <w:rFonts w:ascii="Times" w:hAnsi="Times" w:eastAsia="Times" w:cs="Times"/>
                <w:vertAlign w:val="superscript"/>
              </w:rPr>
            </w:pPr>
            <w:proofErr w:type="gramStart"/>
            <w:r w:rsidRPr="649B920C" w:rsidR="00AF57DF">
              <w:rPr>
                <w:rFonts w:ascii="Calibri" w:hAnsi="Calibri" w:eastAsia="Calibri" w:cs="Calibri"/>
              </w:rPr>
              <w:t>·</w:t>
            </w:r>
            <w:r w:rsidRPr="649B920C" w:rsidR="00AF57DF">
              <w:rPr>
                <w:sz w:val="14"/>
                <w:szCs w:val="14"/>
              </w:rPr>
              <w:t xml:space="preserve">  </w:t>
            </w:r>
            <w:r w:rsidRPr="649B920C" w:rsidR="00AF57DF">
              <w:rPr>
                <w:rFonts w:ascii="Times" w:hAnsi="Times" w:eastAsia="Times" w:cs="Times"/>
                <w:b w:val="1"/>
                <w:bCs w:val="1"/>
              </w:rPr>
              <w:t>Fatigue</w:t>
            </w:r>
            <w:proofErr w:type="gramEnd"/>
            <w:r w:rsidRPr="649B920C" w:rsidR="00AF57DF">
              <w:rPr>
                <w:rFonts w:ascii="Times" w:hAnsi="Times" w:eastAsia="Times" w:cs="Times"/>
              </w:rPr>
              <w:t xml:space="preserve">: In </w:t>
            </w:r>
            <w:r w:rsidRPr="649B920C" w:rsidR="04AEA6D5">
              <w:rPr>
                <w:rFonts w:ascii="Times" w:hAnsi="Times" w:eastAsia="Times" w:cs="Times"/>
              </w:rPr>
              <w:t>athletes</w:t>
            </w:r>
            <w:r w:rsidRPr="649B920C" w:rsidR="00AF57DF">
              <w:rPr>
                <w:rFonts w:ascii="Times" w:hAnsi="Times" w:eastAsia="Times" w:cs="Times"/>
              </w:rPr>
              <w:t>, insufficient recovery time, excessive training load</w:t>
            </w:r>
            <w:r w:rsidRPr="649B920C" w:rsidR="2C8C01E9">
              <w:rPr>
                <w:rFonts w:ascii="Times" w:hAnsi="Times" w:eastAsia="Times" w:cs="Times"/>
              </w:rPr>
              <w:t>,</w:t>
            </w:r>
            <w:r w:rsidRPr="649B920C" w:rsidR="00AF57DF">
              <w:rPr>
                <w:rFonts w:ascii="Times" w:hAnsi="Times" w:eastAsia="Times" w:cs="Times"/>
              </w:rPr>
              <w:t xml:space="preserve"> and intensity are associated with fatigue.</w:t>
            </w:r>
            <w:hyperlink r:id="R90c96821b24f40fd">
              <w:r w:rsidRPr="649B920C" w:rsidR="00AF57DF">
                <w:rPr>
                  <w:rFonts w:ascii="Times" w:hAnsi="Times" w:eastAsia="Times" w:cs="Times"/>
                  <w:color w:val="000000" w:themeColor="text1" w:themeTint="FF" w:themeShade="FF"/>
                  <w:vertAlign w:val="superscript"/>
                </w:rPr>
                <w:t>48,49</w:t>
              </w:r>
            </w:hyperlink>
            <w:r w:rsidRPr="649B920C" w:rsidR="00AF57DF">
              <w:rPr>
                <w:rFonts w:ascii="Times" w:hAnsi="Times" w:eastAsia="Times" w:cs="Times"/>
              </w:rPr>
              <w:t xml:space="preserve">  Fatigue affects 60% of new parents.</w:t>
            </w:r>
            <w:hyperlink r:id="Rdc933fdadd644553">
              <w:r w:rsidRPr="649B920C" w:rsidR="00AF57DF">
                <w:rPr>
                  <w:rFonts w:ascii="Times" w:hAnsi="Times" w:eastAsia="Times" w:cs="Times"/>
                  <w:color w:val="000000" w:themeColor="text1" w:themeTint="FF" w:themeShade="FF"/>
                  <w:vertAlign w:val="superscript"/>
                </w:rPr>
                <w:t>46,47</w:t>
              </w:r>
            </w:hyperlink>
            <w:r w:rsidRPr="649B920C" w:rsidR="00AF57DF">
              <w:rPr>
                <w:rFonts w:ascii="Times" w:hAnsi="Times" w:eastAsia="Times" w:cs="Times"/>
              </w:rPr>
              <w:t xml:space="preserve"> In athlete populations, fatigue positively correlates with underperformance and injury.</w:t>
            </w:r>
            <w:hyperlink r:id="R855721bf507b40b9">
              <w:r w:rsidRPr="649B920C" w:rsidR="00AF57DF">
                <w:rPr>
                  <w:rFonts w:ascii="Times" w:hAnsi="Times" w:eastAsia="Times" w:cs="Times"/>
                  <w:color w:val="000000" w:themeColor="text1" w:themeTint="FF" w:themeShade="FF"/>
                  <w:vertAlign w:val="superscript"/>
                </w:rPr>
                <w:t>48</w:t>
              </w:r>
            </w:hyperlink>
            <w:r w:rsidRPr="649B920C" w:rsidR="00AF57DF">
              <w:rPr>
                <w:rFonts w:ascii="Times" w:hAnsi="Times" w:eastAsia="Times" w:cs="Times"/>
              </w:rPr>
              <w:t xml:space="preserve"> Although fatigue has been well documented in postpartum and athlete populations respectively, it has not been studied in postpartum athlete populations. Nonetheless, running workload (frequency, intensity, duration) should be discussed </w:t>
            </w:r>
            <w:r w:rsidRPr="649B920C" w:rsidR="00AF57DF">
              <w:rPr>
                <w:rFonts w:ascii="Times" w:hAnsi="Times" w:eastAsia="Times" w:cs="Times"/>
              </w:rPr>
              <w:t>with fatigued postpartum runners. Fatigue can be measured using the postpartum accumulated fatigue scale which measures physical, emotional, and cognitive fatigue.</w:t>
            </w:r>
            <w:hyperlink r:id="R3d70cb3f8f6f4c42">
              <w:r w:rsidRPr="649B920C" w:rsidR="00AF57DF">
                <w:rPr>
                  <w:rFonts w:ascii="Times" w:hAnsi="Times" w:eastAsia="Times" w:cs="Times"/>
                  <w:color w:val="000000" w:themeColor="text1" w:themeTint="FF" w:themeShade="FF"/>
                  <w:vertAlign w:val="superscript"/>
                </w:rPr>
                <w:t>55,56</w:t>
              </w:r>
            </w:hyperlink>
          </w:p>
          <w:p w:rsidRPr="00AF57DF" w:rsidR="00AF57DF" w:rsidP="000308EC" w:rsidRDefault="00AF57DF" w14:paraId="53864982" w14:textId="77777777">
            <w:pPr>
              <w:spacing w:line="480" w:lineRule="auto"/>
              <w:ind w:left="72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b/>
              </w:rPr>
              <w:t>Nutrition</w:t>
            </w:r>
            <w:r w:rsidRPr="00AF57DF">
              <w:rPr>
                <w:rFonts w:ascii="Times" w:hAnsi="Times" w:eastAsia="Times" w:cs="Times"/>
              </w:rPr>
              <w:t>: Active lactating women should consume an additional 478-502 kcal/day to the 40-45 kcal/kg of fat free mass/day that is recommended for non-lactating female athletes to maintain appropriate energy balance.</w:t>
            </w:r>
            <w:hyperlink r:id="rId22">
              <w:r w:rsidRPr="00AF57DF">
                <w:rPr>
                  <w:rFonts w:ascii="Times" w:hAnsi="Times" w:eastAsia="Times" w:cs="Times"/>
                  <w:color w:val="000000"/>
                  <w:vertAlign w:val="superscript"/>
                </w:rPr>
                <w:t>50,51</w:t>
              </w:r>
            </w:hyperlink>
            <w:r w:rsidRPr="00AF57DF">
              <w:rPr>
                <w:rFonts w:ascii="Times" w:hAnsi="Times" w:eastAsia="Times" w:cs="Times"/>
              </w:rPr>
              <w:t xml:space="preserve"> Body weight should be monitored as a symptom of Relative Energy Deficiency in Sport (RED-S). Caution should be used with standard RED-S screens, as many rely on menstrual cycle symptoms,</w:t>
            </w:r>
            <w:hyperlink r:id="rId23">
              <w:r w:rsidRPr="00AF57DF">
                <w:rPr>
                  <w:rFonts w:ascii="Times" w:hAnsi="Times" w:eastAsia="Times" w:cs="Times"/>
                  <w:color w:val="000000"/>
                  <w:vertAlign w:val="superscript"/>
                </w:rPr>
                <w:t>16</w:t>
              </w:r>
            </w:hyperlink>
            <w:r w:rsidRPr="00AF57DF">
              <w:rPr>
                <w:rFonts w:ascii="Times" w:hAnsi="Times" w:eastAsia="Times" w:cs="Times"/>
              </w:rPr>
              <w:t xml:space="preserve"> and lactation may prevent the return of the menstrual cycle even in athletes who have normal energy balance. Milk supply alone should not be used as an indicator of adequate caloric intake, and a lactation specialist should be involved if milk supply is to be considered.</w:t>
            </w:r>
          </w:p>
          <w:p w:rsidRPr="00AF57DF" w:rsidR="00AF57DF" w:rsidP="000308EC" w:rsidRDefault="00AF57DF" w14:paraId="61BED365" w14:textId="77777777">
            <w:pPr>
              <w:spacing w:line="480" w:lineRule="auto"/>
              <w:ind w:left="720"/>
              <w:rPr>
                <w:rFonts w:ascii="Times" w:hAnsi="Times" w:eastAsia="Times" w:cs="Times"/>
              </w:rPr>
            </w:pPr>
            <w:r w:rsidRPr="00AF57DF">
              <w:rPr>
                <w:rFonts w:ascii="Calibri" w:hAnsi="Calibri" w:eastAsia="Calibri" w:cs="Calibri"/>
              </w:rPr>
              <w:t>·</w:t>
            </w:r>
            <w:r w:rsidRPr="00AF57DF">
              <w:rPr>
                <w:sz w:val="14"/>
                <w:szCs w:val="14"/>
              </w:rPr>
              <w:t xml:space="preserve">  </w:t>
            </w:r>
            <w:r w:rsidRPr="00AF57DF">
              <w:rPr>
                <w:rFonts w:ascii="Times" w:hAnsi="Times" w:eastAsia="Times" w:cs="Times"/>
                <w:b/>
              </w:rPr>
              <w:t>Cardiovascular:</w:t>
            </w:r>
            <w:hyperlink r:id="rId24">
              <w:r w:rsidRPr="00AF57DF">
                <w:rPr>
                  <w:rFonts w:ascii="Times" w:hAnsi="Times" w:eastAsia="Times" w:cs="Times"/>
                  <w:color w:val="000000"/>
                  <w:vertAlign w:val="superscript"/>
                </w:rPr>
                <w:t>22–25</w:t>
              </w:r>
            </w:hyperlink>
            <w:r w:rsidRPr="00AF57DF">
              <w:rPr>
                <w:rFonts w:ascii="Times" w:hAnsi="Times" w:eastAsia="Times" w:cs="Times"/>
              </w:rPr>
              <w:t xml:space="preserve"> Particularly in the early postpartum period (0-6 weeks), special attention should be paid to cardiovascular health—including blood pressure, red flags for blood clots, red flags for hemorrhage—as gestational hypertension/pre-eclampsia, development of deep vein thromboses/pulmonary emboli, and postpartum hemorrhage may occur after childbirth. Any red flags for cardiovascular impairments warrants immediate referral to a physician or emergency services.</w:t>
            </w:r>
          </w:p>
          <w:p w:rsidRPr="00AF57DF" w:rsidR="00AF57DF" w:rsidP="000308EC" w:rsidRDefault="00AF57DF" w14:paraId="70C0BB5B" w14:textId="77777777">
            <w:pPr>
              <w:spacing w:line="480" w:lineRule="auto"/>
              <w:ind w:left="720"/>
              <w:rPr>
                <w:rFonts w:ascii="Times" w:hAnsi="Times" w:eastAsia="Times" w:cs="Times"/>
              </w:rPr>
            </w:pPr>
            <w:r w:rsidRPr="00AF57DF">
              <w:rPr>
                <w:rFonts w:ascii="Calibri" w:hAnsi="Calibri" w:eastAsia="Calibri" w:cs="Calibri"/>
              </w:rPr>
              <w:lastRenderedPageBreak/>
              <w:t>·</w:t>
            </w:r>
            <w:r w:rsidRPr="00AF57DF">
              <w:rPr>
                <w:sz w:val="14"/>
                <w:szCs w:val="14"/>
              </w:rPr>
              <w:t xml:space="preserve">  </w:t>
            </w:r>
            <w:r w:rsidRPr="00AF57DF">
              <w:rPr>
                <w:rFonts w:ascii="Times" w:hAnsi="Times" w:eastAsia="Times" w:cs="Times"/>
                <w:b/>
              </w:rPr>
              <w:t>Infection:</w:t>
            </w:r>
            <w:hyperlink r:id="rId25">
              <w:r w:rsidRPr="00AF57DF">
                <w:rPr>
                  <w:rFonts w:ascii="Times" w:hAnsi="Times" w:eastAsia="Times" w:cs="Times"/>
                  <w:color w:val="000000"/>
                  <w:vertAlign w:val="superscript"/>
                </w:rPr>
                <w:t>24,26</w:t>
              </w:r>
            </w:hyperlink>
            <w:r w:rsidRPr="00AF57DF">
              <w:rPr>
                <w:rFonts w:ascii="Times" w:hAnsi="Times" w:eastAsia="Times" w:cs="Times"/>
              </w:rPr>
              <w:t xml:space="preserve"> Runners in the first six weeks postpartum are at increased risk of childbirth-related infection.  Lactating runners may develop mastitis (inflammation of breast tissue that may be associated with infection) at any point postpartum.  Red flags for infection and sepsis should be monitored regularly.</w:t>
            </w:r>
          </w:p>
        </w:tc>
      </w:tr>
    </w:tbl>
    <w:p w:rsidRPr="00AF57DF" w:rsidR="00AF57DF" w:rsidP="00AF57DF" w:rsidRDefault="00AF57DF" w14:paraId="3DCD890A" w14:textId="77777777"/>
    <w:sectPr w:rsidRPr="00AF57DF" w:rsidR="00AF57DF" w:rsidSect="00AF57DF">
      <w:pgSz w:w="15840" w:h="12240" w:orient="landscape"/>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D" w:author="Rita Deering" w:date="2022-01-04T21:21:18" w:id="735706106">
    <w:p w:rsidR="40557154" w:rsidRDefault="40557154" w14:paraId="2BF3F29C" w14:textId="4507B346">
      <w:pPr>
        <w:pStyle w:val="CommentText"/>
      </w:pPr>
      <w:r w:rsidR="40557154">
        <w:rPr/>
        <w:t xml:space="preserve">fixed typo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BF3F29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D4F6DC" w16cex:dateUtc="2022-01-05T03:21:18.671Z"/>
</w16cex:commentsExtensible>
</file>

<file path=word/commentsIds.xml><?xml version="1.0" encoding="utf-8"?>
<w16cid:commentsIds xmlns:mc="http://schemas.openxmlformats.org/markup-compatibility/2006" xmlns:w16cid="http://schemas.microsoft.com/office/word/2016/wordml/cid" mc:Ignorable="w16cid">
  <w16cid:commentId w16cid:paraId="2BF3F29C" w16cid:durableId="4DD4F6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Rita Deering">
    <w15:presenceInfo w15:providerId="AD" w15:userId="S::rdeering_carrollu.edu#ext#@elonuniversity.onmicrosoft.com::595a3b09-1203-4405-aa0d-642d7069b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DF"/>
    <w:rsid w:val="00AF57DF"/>
    <w:rsid w:val="04AEA6D5"/>
    <w:rsid w:val="1FFE3A64"/>
    <w:rsid w:val="2C8C01E9"/>
    <w:rsid w:val="33769E92"/>
    <w:rsid w:val="40557154"/>
    <w:rsid w:val="427881F9"/>
    <w:rsid w:val="4899AE86"/>
    <w:rsid w:val="649B920C"/>
    <w:rsid w:val="7D2CA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284AE"/>
  <w15:chartTrackingRefBased/>
  <w15:docId w15:val="{9B4546E7-FA91-5241-810F-D7F1D457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7DF"/>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perpile.com/c/ajoqCy/0K6vx" TargetMode="External" Id="rId13" /><Relationship Type="http://schemas.openxmlformats.org/officeDocument/2006/relationships/fontTable" Target="fontTable.xml" Id="rId26" /><Relationship Type="http://schemas.openxmlformats.org/officeDocument/2006/relationships/webSettings" Target="webSettings.xml" Id="rId3" /><Relationship Type="http://schemas.openxmlformats.org/officeDocument/2006/relationships/hyperlink" Target="https://paperpile.com/c/ajoqCy/JSCDA" TargetMode="External" Id="rId7" /><Relationship Type="http://schemas.openxmlformats.org/officeDocument/2006/relationships/hyperlink" Target="https://paperpile.com/c/ajoqCy/F1d61" TargetMode="External" Id="rId12" /><Relationship Type="http://schemas.openxmlformats.org/officeDocument/2006/relationships/hyperlink" Target="https://paperpile.com/c/ajoqCy/l9iK4+zv2xD" TargetMode="External" Id="rId25"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paperpile.com/c/ajoqCy/KFlvZ" TargetMode="External" Id="rId6" /><Relationship Type="http://schemas.openxmlformats.org/officeDocument/2006/relationships/hyperlink" Target="https://paperpile.com/c/ajoqCy/KFlvZ" TargetMode="External" Id="rId11" /><Relationship Type="http://schemas.openxmlformats.org/officeDocument/2006/relationships/hyperlink" Target="https://paperpile.com/c/ajoqCy/es5ze+BTPbs+zv2xD+TJhiF" TargetMode="External" Id="rId24" /><Relationship Type="http://schemas.openxmlformats.org/officeDocument/2006/relationships/hyperlink" Target="https://paperpile.com/c/ajoqCy/TQEQP" TargetMode="External" Id="rId5" /><Relationship Type="http://schemas.openxmlformats.org/officeDocument/2006/relationships/hyperlink" Target="https://paperpile.com/c/ajoqCy/JBlRA" TargetMode="External" Id="rId23" /><Relationship Type="http://schemas.openxmlformats.org/officeDocument/2006/relationships/hyperlink" Target="https://paperpile.com/c/ajoqCy/8CzJF" TargetMode="External" Id="rId10" /><Relationship Type="http://schemas.openxmlformats.org/officeDocument/2006/relationships/hyperlink" Target="https://paperpile.com/c/ajoqCy/UFIsR" TargetMode="External" Id="rId4" /><Relationship Type="http://schemas.openxmlformats.org/officeDocument/2006/relationships/hyperlink" Target="https://paperpile.com/c/ajoqCy/pEltF+CQD6G" TargetMode="External" Id="rId9" /><Relationship Type="http://schemas.openxmlformats.org/officeDocument/2006/relationships/hyperlink" Target="https://paperpile.com/c/ajoqCy/0K6vx" TargetMode="External" Id="rId14" /><Relationship Type="http://schemas.openxmlformats.org/officeDocument/2006/relationships/hyperlink" Target="https://paperpile.com/c/ajoqCy/a4lgl+Wj00P" TargetMode="External" Id="rId22" /><Relationship Type="http://schemas.openxmlformats.org/officeDocument/2006/relationships/theme" Target="theme/theme1.xml" Id="rId27" /><Relationship Type="http://schemas.openxmlformats.org/officeDocument/2006/relationships/comments" Target="comments.xml" Id="Rad5d226ffd864e48" /><Relationship Type="http://schemas.microsoft.com/office/2011/relationships/people" Target="people.xml" Id="Rf5cf713729e048b8" /><Relationship Type="http://schemas.microsoft.com/office/2011/relationships/commentsExtended" Target="commentsExtended.xml" Id="R0f156987894241b7" /><Relationship Type="http://schemas.microsoft.com/office/2016/09/relationships/commentsIds" Target="commentsIds.xml" Id="R6d09098da66b4305" /><Relationship Type="http://schemas.microsoft.com/office/2018/08/relationships/commentsExtensible" Target="commentsExtensible.xml" Id="R3235cc51166f46de" /><Relationship Type="http://schemas.openxmlformats.org/officeDocument/2006/relationships/hyperlink" Target="https://paperpile.com/c/ajoqCy/v88VX" TargetMode="External" Id="R97b3d6eb0c3844f7" /><Relationship Type="http://schemas.openxmlformats.org/officeDocument/2006/relationships/hyperlink" Target="https://paperpile.com/c/ajoqCy/iLFxN+Qcprz" TargetMode="External" Id="Rc4c431a65a0e407e" /><Relationship Type="http://schemas.openxmlformats.org/officeDocument/2006/relationships/hyperlink" Target="https://paperpile.com/c/ajoqCy/TUndn+2FBUj+7CrlH" TargetMode="External" Id="Ra91c3ea644ff4c22" /><Relationship Type="http://schemas.openxmlformats.org/officeDocument/2006/relationships/hyperlink" Target="https://paperpile.com/c/ajoqCy/Ct2mS" TargetMode="External" Id="R31ec970f97994405" /><Relationship Type="http://schemas.openxmlformats.org/officeDocument/2006/relationships/hyperlink" Target="https://paperpile.com/c/ajoqCy/FNTXd+8ODd1" TargetMode="External" Id="R90c96821b24f40fd" /><Relationship Type="http://schemas.openxmlformats.org/officeDocument/2006/relationships/hyperlink" Target="https://paperpile.com/c/ajoqCy/gFIJu+LW0sR" TargetMode="External" Id="Rdc933fdadd644553" /><Relationship Type="http://schemas.openxmlformats.org/officeDocument/2006/relationships/hyperlink" Target="https://paperpile.com/c/ajoqCy/FNTXd" TargetMode="External" Id="R855721bf507b40b9" /><Relationship Type="http://schemas.openxmlformats.org/officeDocument/2006/relationships/hyperlink" Target="https://paperpile.com/c/ajoqCy/ZXlSX+u0eoZ" TargetMode="External" Id="R3d70cb3f8f6f4c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Shefali Christopher</dc:creator>
  <keywords/>
  <dc:description/>
  <lastModifiedBy>Shefali Christopher</lastModifiedBy>
  <revision>3</revision>
  <dcterms:created xsi:type="dcterms:W3CDTF">2022-01-03T20:23:00.0000000Z</dcterms:created>
  <dcterms:modified xsi:type="dcterms:W3CDTF">2022-01-05T20:54:37.4703779Z</dcterms:modified>
</coreProperties>
</file>