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auto"/>
      </w:pPr>
      <w:bookmarkStart w:id="4" w:name="_GoBack"/>
      <w:bookmarkEnd w:id="4"/>
      <w:r>
        <w:rPr>
          <w:caps/>
        </w:rPr>
        <w:t>Supplemental Digital Content</w:t>
      </w:r>
      <w:r>
        <w:t xml:space="preserve"> </w:t>
      </w:r>
    </w:p>
    <w:p/>
    <w:p>
      <w:r>
        <w:br w:type="page"/>
      </w:r>
    </w:p>
    <w:p>
      <w:pPr>
        <w:spacing w:line="480" w:lineRule="auto"/>
        <w:rPr>
          <w:b/>
          <w:bCs/>
        </w:rPr>
      </w:pPr>
      <w:bookmarkStart w:id="0" w:name="_Hlk71597000"/>
      <w:r>
        <w:t xml:space="preserve">Supplemental Digital Content </w:t>
      </w:r>
      <w:bookmarkEnd w:id="0"/>
      <w:r>
        <w:t xml:space="preserve">1. Text that describes more details about the clinical study methods and results. </w:t>
      </w:r>
    </w:p>
    <w:p>
      <w:pPr>
        <w:spacing w:line="480" w:lineRule="auto"/>
        <w:rPr>
          <w:b/>
          <w:bCs/>
        </w:rPr>
      </w:pPr>
      <w:r>
        <w:rPr>
          <w:b/>
          <w:bCs/>
        </w:rPr>
        <w:t>Part A</w:t>
      </w:r>
    </w:p>
    <w:p>
      <w:pPr>
        <w:spacing w:line="480" w:lineRule="auto"/>
      </w:pPr>
      <w:r>
        <w:t xml:space="preserve">Objectives in Part A were to evaluate the safety and tolerability of OTO-313 (primary) and assess plasma pharmacokinetics of gacyclidine (secondary). Part A consisted of a 2-week Screening period and a 4-week Follow-up period. Patients underwent serial blood sampling for pharmacokinetic analysis at the Baseline visit (Day 1 through 24 hours post-administration), and Day 8 with follow-up visits for safety and efficacy assessments at Week 1, Week 2, and Week 4. Because acceptable safety and tolerability was observed for 8 days post-administration of the 0.11 mg dose level in Part A, Part B was initiated with the 0.32 mg dose level of OTO-313. Sample size for Part A was selected based on clinical judgment and not on statistical considerations.  </w:t>
      </w:r>
    </w:p>
    <w:p>
      <w:pPr>
        <w:spacing w:line="480" w:lineRule="auto"/>
      </w:pPr>
    </w:p>
    <w:p>
      <w:pPr>
        <w:spacing w:line="480" w:lineRule="auto"/>
        <w:rPr>
          <w:b/>
          <w:bCs/>
        </w:rPr>
      </w:pPr>
      <w:r>
        <w:rPr>
          <w:b/>
          <w:bCs/>
        </w:rPr>
        <w:t>Part B</w:t>
      </w:r>
    </w:p>
    <w:p>
      <w:pPr>
        <w:spacing w:line="480" w:lineRule="auto"/>
      </w:pPr>
      <w:r>
        <w:t xml:space="preserve">Part B consisted of a 2-week Screening period, a 2-week Lead-in assessment period, and an 8-week Follow-up period. Patients completed the TFI at Screening and Baseline visits and must have had a score of ≥25 at each TFI assessment for eligibility. During the 2-week Lead-in period, patients entered ratings of tinnitus loudness and tinnitus annoyance (using NRS for each measure) each day into an electronic diary. Additional safety and/or exploratory assessments were completed at the Baseline visit and Weeks 1, 2, 4 and 8 (end of study).   </w:t>
      </w:r>
    </w:p>
    <w:p>
      <w:pPr>
        <w:spacing w:line="480" w:lineRule="auto"/>
        <w:rPr>
          <w:b/>
          <w:bCs/>
        </w:rPr>
      </w:pPr>
    </w:p>
    <w:p>
      <w:pPr>
        <w:spacing w:line="480" w:lineRule="auto"/>
        <w:rPr>
          <w:b/>
          <w:bCs/>
        </w:rPr>
      </w:pPr>
      <w:r>
        <w:rPr>
          <w:b/>
          <w:bCs/>
        </w:rPr>
        <w:t>Patient Global Impression of Change (PGIC)</w:t>
      </w:r>
    </w:p>
    <w:p>
      <w:pPr>
        <w:spacing w:line="480" w:lineRule="auto"/>
      </w:pPr>
      <w:r>
        <w:t xml:space="preserve">Three (3) of 15 patients who received OTO-313 reported their symptoms were very much improved on the PGIC at Week 8 compared with no patients in the placebo group at any visit (Baseline, Weeks 1, 2, 4 or 8). A higher percentage of patients in the placebo group reported their symptoms unchanged at Week 1 (10/16, 62.5%), Week 2 (9/16, 56.3%), Week 4 (7/15, 43.8%), and Week 8 (10/16, 62.5%) compared with those in the OTO-313 group at Weeks 1 and 2 (7/15, 46.7%), Week 4 (4/15, 26.7%), and Week 8 (5/15, 33.3%). Of the 6 OTO-313 TFI responders, 5/6 (83.3%) patients scored much improved or minimally improved on the PGIC at Week 4. Similarly, at Week 8, 5/6 patients (83.3%) scored very much improved, much improved, or minimally improved on the PGIC. </w:t>
      </w:r>
      <w:r>
        <w:br w:type="page"/>
      </w:r>
    </w:p>
    <w:p>
      <w:r>
        <w:t>Supplemental Digital Content 2. Table of the Mean (SD) Change from Baseline in TFI Overall Scores by Treatment Group, Visit, and Subgroup (Part B/Evaluable Set)</w:t>
      </w:r>
    </w:p>
    <w:p/>
    <w:tbl>
      <w:tblPr>
        <w:tblStyle w:val="9"/>
        <w:tblpPr w:leftFromText="180" w:rightFromText="180" w:vertAnchor="text" w:tblpX="108" w:tblpY="1"/>
        <w:tblOverlap w:val="never"/>
        <w:tblW w:w="4959"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4522"/>
        <w:gridCol w:w="2488"/>
        <w:gridCol w:w="248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Header/>
        </w:trPr>
        <w:tc>
          <w:tcPr>
            <w:tcW w:w="2381" w:type="pct"/>
            <w:tcBorders>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b/>
                <w:bCs/>
                <w:color w:val="000000"/>
                <w:sz w:val="22"/>
                <w:szCs w:val="22"/>
              </w:rPr>
              <w:t>Subgroup</w:t>
            </w:r>
            <w:r>
              <w:rPr>
                <w:b/>
                <w:bCs/>
                <w:color w:val="000000"/>
                <w:sz w:val="22"/>
                <w:szCs w:val="22"/>
              </w:rPr>
              <w:br w:type="textWrapping"/>
            </w:r>
            <w:r>
              <w:rPr>
                <w:b/>
                <w:bCs/>
                <w:color w:val="000000"/>
                <w:sz w:val="22"/>
                <w:szCs w:val="22"/>
              </w:rPr>
              <w:t xml:space="preserve">  Visit</w:t>
            </w:r>
          </w:p>
        </w:tc>
        <w:tc>
          <w:tcPr>
            <w:tcW w:w="1310" w:type="pct"/>
            <w:tcBorders>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b/>
                <w:bCs/>
                <w:color w:val="000000"/>
                <w:sz w:val="22"/>
                <w:szCs w:val="22"/>
              </w:rPr>
              <w:t>OTO-313 0.32 mg</w:t>
            </w:r>
            <w:r>
              <w:rPr>
                <w:b/>
                <w:bCs/>
                <w:color w:val="000000"/>
                <w:sz w:val="22"/>
                <w:szCs w:val="22"/>
              </w:rPr>
              <w:br w:type="textWrapping"/>
            </w:r>
            <w:r>
              <w:rPr>
                <w:b/>
                <w:bCs/>
                <w:color w:val="000000"/>
                <w:sz w:val="22"/>
                <w:szCs w:val="22"/>
              </w:rPr>
              <w:t>N=15</w:t>
            </w:r>
          </w:p>
        </w:tc>
        <w:tc>
          <w:tcPr>
            <w:tcW w:w="1310" w:type="pct"/>
            <w:tcBorders>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b/>
                <w:bCs/>
                <w:color w:val="000000"/>
                <w:sz w:val="22"/>
                <w:szCs w:val="22"/>
              </w:rPr>
              <w:t>Placebo</w:t>
            </w:r>
            <w:r>
              <w:rPr>
                <w:b/>
                <w:bCs/>
                <w:color w:val="000000"/>
                <w:sz w:val="22"/>
                <w:szCs w:val="22"/>
              </w:rPr>
              <w:br w:type="textWrapping"/>
            </w:r>
            <w:r>
              <w:rPr>
                <w:b/>
                <w:bCs/>
                <w:color w:val="000000"/>
                <w:sz w:val="22"/>
                <w:szCs w:val="22"/>
              </w:rPr>
              <w:t>N=16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Male</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4</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-8.4 (17.95) (n=7)</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-1.9 (15.37) (n=9)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8</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-13.3 (26.05) (n=8)</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0.1 (14.77) (n=9)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Tinnitus etiology: Sensorineural hearing loss</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4</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-7.4 (13.99) (n=5)</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-6.9 (22.49) (n=8)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8</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-13.0 (22.21) (n=5)</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-5.1 (23.04) (n=8)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Tinnitus etiology: Age-related hearing loss</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4</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-33.5 (26.16) (n=2)</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-14.0 (NC) (n=1)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8</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-39.5 (33.23) (n=2)</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-27.0 (NC) (n=1)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Duration of tinnitus: &gt;3-6 months</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4</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-13.9 (20.25) (n=9)</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-5.4 (19.54) (n=11)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8</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-17.4 (26.79) (n=10)</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-5.3 (21.42) (n=11)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Average Baseline TFI overall score: 76-100</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4</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-15.0 (23.87) (n=6)</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-6.8 (3.03) (n=5)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8</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-22.2 (31.57) (n=6)</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-5.2 (7.09) (n=5)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Degree of hearing loss at Baseline</w:t>
            </w:r>
            <w:r>
              <w:rPr>
                <w:color w:val="000000"/>
                <w:sz w:val="22"/>
                <w:szCs w:val="22"/>
                <w:vertAlign w:val="superscript"/>
              </w:rPr>
              <w:t>a</w:t>
            </w:r>
            <w:r>
              <w:rPr>
                <w:color w:val="000000"/>
                <w:sz w:val="22"/>
                <w:szCs w:val="22"/>
              </w:rPr>
              <w:t>: 41-70 dB</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4</w:t>
            </w:r>
          </w:p>
        </w:tc>
        <w:tc>
          <w:tcPr>
            <w:tcW w:w="1310"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-21.4 (21.84) (n=5)</w:t>
            </w:r>
          </w:p>
        </w:tc>
        <w:tc>
          <w:tcPr>
            <w:tcW w:w="1310"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-11.5 (2.12) (n=2)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381" w:type="pct"/>
            <w:tcBorders>
              <w:top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Week 8</w:t>
            </w:r>
          </w:p>
        </w:tc>
        <w:tc>
          <w:tcPr>
            <w:tcW w:w="1310" w:type="pct"/>
            <w:tcBorders>
              <w:top w:val="single" w:color="000000" w:sz="6" w:space="0"/>
              <w:left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-33.0 (28.08) (n=5)</w:t>
            </w:r>
          </w:p>
        </w:tc>
        <w:tc>
          <w:tcPr>
            <w:tcW w:w="1310" w:type="pct"/>
            <w:tcBorders>
              <w:top w:val="single" w:color="000000" w:sz="6" w:space="0"/>
              <w:lef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3.5 (6.36) (n=2)</w:t>
            </w:r>
          </w:p>
        </w:tc>
      </w:tr>
    </w:tbl>
    <w:p>
      <w:pPr>
        <w:rPr>
          <w:sz w:val="20"/>
          <w:szCs w:val="20"/>
        </w:rPr>
      </w:pPr>
      <w:r>
        <w:rPr>
          <w:sz w:val="20"/>
          <w:szCs w:val="20"/>
        </w:rPr>
        <w:t>dB=decibel; NC=not calculable; SD=standard deviation; TFI =Tinnitus Functional Index.</w:t>
      </w:r>
    </w:p>
    <w:p>
      <w:pPr>
        <w:rPr>
          <w:sz w:val="20"/>
          <w:szCs w:val="20"/>
        </w:rPr>
      </w:pPr>
      <w:r>
        <w:rPr>
          <w:sz w:val="20"/>
          <w:szCs w:val="20"/>
          <w:vertAlign w:val="superscript"/>
        </w:rPr>
        <w:t>a</w:t>
      </w:r>
      <w:r>
        <w:rPr>
          <w:sz w:val="20"/>
          <w:szCs w:val="20"/>
        </w:rPr>
        <w:t>Based on Pure Tone Average at 1000, 2000, and 4000 Hz.</w:t>
      </w:r>
    </w:p>
    <w:p>
      <w:pPr>
        <w:rPr>
          <w:sz w:val="20"/>
          <w:szCs w:val="20"/>
        </w:rPr>
      </w:pPr>
      <w:r>
        <w:rPr>
          <w:sz w:val="20"/>
          <w:szCs w:val="20"/>
        </w:rPr>
        <w:t>Average Baseline TFI overall score was computed as the average of the TFI overall scores at the Screening and Baseline visits, prior to exposure to study drug. A negative change in TFI overall score from Baseline indicated improvement in tinnitus.</w:t>
      </w:r>
    </w:p>
    <w:p>
      <w:pPr>
        <w:rPr>
          <w:sz w:val="20"/>
          <w:szCs w:val="20"/>
        </w:rPr>
      </w:pPr>
      <w:r>
        <w:rPr>
          <w:sz w:val="20"/>
          <w:szCs w:val="20"/>
        </w:rPr>
        <w:t>Change from Baseline was defined as visit value – Baseline value.</w:t>
      </w:r>
    </w:p>
    <w:p>
      <w:pPr>
        <w:rPr>
          <w:sz w:val="20"/>
          <w:szCs w:val="20"/>
        </w:rPr>
      </w:pPr>
      <w:r>
        <w:rPr>
          <w:sz w:val="20"/>
          <w:szCs w:val="20"/>
        </w:rPr>
        <w:br w:type="page"/>
      </w:r>
    </w:p>
    <w:p>
      <w:r>
        <w:t>Supplemental Digital Content 3. Table of the Change from Baseline in TFI Auditory Subscale Questions in Responders (Part B; Evaluable Set, Responders)</w:t>
      </w:r>
    </w:p>
    <w:p>
      <w:pPr>
        <w:keepNext/>
        <w:spacing w:after="200"/>
        <w:rPr>
          <w:sz w:val="18"/>
          <w:szCs w:val="18"/>
        </w:rPr>
      </w:pPr>
    </w:p>
    <w:tbl>
      <w:tblPr>
        <w:tblStyle w:val="9"/>
        <w:tblW w:w="4993"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4779"/>
        <w:gridCol w:w="2393"/>
        <w:gridCol w:w="23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Header/>
          <w:jc w:val="center"/>
        </w:trPr>
        <w:tc>
          <w:tcPr>
            <w:tcW w:w="2499" w:type="pct"/>
            <w:tcBorders>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b/>
                <w:bCs/>
                <w:color w:val="000000"/>
                <w:sz w:val="22"/>
                <w:szCs w:val="22"/>
              </w:rPr>
              <w:t>Visit</w:t>
            </w:r>
          </w:p>
          <w:p>
            <w:pPr>
              <w:keepNext/>
              <w:spacing w:before="60" w:after="60"/>
              <w:rPr>
                <w:color w:val="000000"/>
                <w:sz w:val="22"/>
                <w:szCs w:val="22"/>
              </w:rPr>
            </w:pPr>
            <w:r>
              <w:rPr>
                <w:b/>
                <w:bCs/>
                <w:color w:val="000000"/>
                <w:sz w:val="22"/>
                <w:szCs w:val="22"/>
              </w:rPr>
              <w:t xml:space="preserve">  Change from Baseline Category</w:t>
            </w:r>
          </w:p>
        </w:tc>
        <w:tc>
          <w:tcPr>
            <w:tcW w:w="1251" w:type="pct"/>
            <w:tcBorders>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b/>
                <w:bCs/>
                <w:color w:val="000000"/>
                <w:sz w:val="22"/>
                <w:szCs w:val="22"/>
              </w:rPr>
              <w:t>OTO-313 0.32 mg</w:t>
            </w:r>
            <w:r>
              <w:rPr>
                <w:b/>
                <w:bCs/>
                <w:color w:val="000000"/>
                <w:sz w:val="22"/>
                <w:szCs w:val="22"/>
              </w:rPr>
              <w:br w:type="textWrapping"/>
            </w:r>
            <w:r>
              <w:rPr>
                <w:b/>
                <w:bCs/>
                <w:color w:val="000000"/>
                <w:sz w:val="22"/>
                <w:szCs w:val="22"/>
              </w:rPr>
              <w:t>N=6</w:t>
            </w:r>
          </w:p>
        </w:tc>
        <w:tc>
          <w:tcPr>
            <w:tcW w:w="1251" w:type="pct"/>
            <w:tcBorders>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b/>
                <w:bCs/>
                <w:color w:val="000000"/>
                <w:sz w:val="22"/>
                <w:szCs w:val="22"/>
              </w:rPr>
              <w:t>Placebo</w:t>
            </w:r>
            <w:r>
              <w:rPr>
                <w:b/>
                <w:bCs/>
                <w:color w:val="000000"/>
                <w:sz w:val="22"/>
                <w:szCs w:val="22"/>
              </w:rPr>
              <w:br w:type="textWrapping"/>
            </w:r>
            <w:r>
              <w:rPr>
                <w:b/>
                <w:bCs/>
                <w:color w:val="000000"/>
                <w:sz w:val="22"/>
                <w:szCs w:val="22"/>
              </w:rPr>
              <w:t>N=2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Week 4 – mean (SD)</w:t>
            </w:r>
          </w:p>
        </w:tc>
        <w:tc>
          <w:tcPr>
            <w:tcW w:w="1251"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251"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Ability to hear clearly</w:t>
            </w:r>
          </w:p>
        </w:tc>
        <w:tc>
          <w:tcPr>
            <w:tcW w:w="1251"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-3.1 (2.8)</w:t>
            </w:r>
          </w:p>
        </w:tc>
        <w:tc>
          <w:tcPr>
            <w:tcW w:w="1251"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-2.3 (3.2)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Ability to understand people</w:t>
            </w:r>
          </w:p>
        </w:tc>
        <w:tc>
          <w:tcPr>
            <w:tcW w:w="1251"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-3.0 (2.6)</w:t>
            </w:r>
          </w:p>
        </w:tc>
        <w:tc>
          <w:tcPr>
            <w:tcW w:w="1251"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-2.0 (2.8)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Ability to follow conversations</w:t>
            </w:r>
          </w:p>
        </w:tc>
        <w:tc>
          <w:tcPr>
            <w:tcW w:w="1251"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-4.3 (2.2)</w:t>
            </w:r>
          </w:p>
        </w:tc>
        <w:tc>
          <w:tcPr>
            <w:tcW w:w="1251"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-1.8 (2.5)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Week 8 – mean (SD)</w:t>
            </w:r>
          </w:p>
        </w:tc>
        <w:tc>
          <w:tcPr>
            <w:tcW w:w="1251"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p>
        </w:tc>
        <w:tc>
          <w:tcPr>
            <w:tcW w:w="1251"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Ability to hear clearly</w:t>
            </w:r>
          </w:p>
        </w:tc>
        <w:tc>
          <w:tcPr>
            <w:tcW w:w="1251"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-4.9 (2.3)</w:t>
            </w:r>
          </w:p>
        </w:tc>
        <w:tc>
          <w:tcPr>
            <w:tcW w:w="1251"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-2.8 (3.9)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Ability to understand people</w:t>
            </w:r>
          </w:p>
        </w:tc>
        <w:tc>
          <w:tcPr>
            <w:tcW w:w="1251" w:type="pct"/>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-4.8 (2.4)</w:t>
            </w:r>
          </w:p>
        </w:tc>
        <w:tc>
          <w:tcPr>
            <w:tcW w:w="1251" w:type="pct"/>
            <w:tcBorders>
              <w:top w:val="single" w:color="000000" w:sz="6" w:space="0"/>
              <w:left w:val="single" w:color="000000" w:sz="6" w:space="0"/>
              <w:bottom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-3.0 (4.2)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2499" w:type="pct"/>
            <w:tcBorders>
              <w:top w:val="single" w:color="000000" w:sz="6" w:space="0"/>
              <w:right w:val="single" w:color="000000" w:sz="6" w:space="0"/>
            </w:tcBorders>
            <w:tcMar>
              <w:top w:w="8" w:type="dxa"/>
              <w:left w:w="108" w:type="dxa"/>
              <w:bottom w:w="8" w:type="dxa"/>
              <w:right w:w="108" w:type="dxa"/>
            </w:tcMar>
          </w:tcPr>
          <w:p>
            <w:pPr>
              <w:keepNext/>
              <w:spacing w:before="60" w:after="60"/>
              <w:rPr>
                <w:color w:val="000000"/>
                <w:sz w:val="22"/>
                <w:szCs w:val="22"/>
              </w:rPr>
            </w:pPr>
            <w:r>
              <w:rPr>
                <w:color w:val="000000"/>
                <w:sz w:val="22"/>
                <w:szCs w:val="22"/>
              </w:rPr>
              <w:t xml:space="preserve">  Ability to follow conversations</w:t>
            </w:r>
          </w:p>
        </w:tc>
        <w:tc>
          <w:tcPr>
            <w:tcW w:w="1251" w:type="pct"/>
            <w:tcBorders>
              <w:top w:val="single" w:color="000000" w:sz="6" w:space="0"/>
              <w:left w:val="single" w:color="000000" w:sz="6" w:space="0"/>
              <w:righ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-5.3 (2.1)</w:t>
            </w:r>
          </w:p>
        </w:tc>
        <w:tc>
          <w:tcPr>
            <w:tcW w:w="1251" w:type="pct"/>
            <w:tcBorders>
              <w:top w:val="single" w:color="000000" w:sz="6" w:space="0"/>
              <w:left w:val="single" w:color="000000" w:sz="6" w:space="0"/>
            </w:tcBorders>
            <w:tcMar>
              <w:top w:w="8" w:type="dxa"/>
              <w:left w:w="108" w:type="dxa"/>
              <w:bottom w:w="8" w:type="dxa"/>
              <w:right w:w="108" w:type="dxa"/>
            </w:tcMar>
          </w:tcPr>
          <w:p>
            <w:pPr>
              <w:keepNext/>
              <w:spacing w:before="60" w:after="60"/>
              <w:jc w:val="center"/>
              <w:rPr>
                <w:color w:val="000000"/>
                <w:sz w:val="22"/>
                <w:szCs w:val="22"/>
              </w:rPr>
            </w:pPr>
            <w:r>
              <w:rPr>
                <w:color w:val="000000"/>
                <w:sz w:val="22"/>
                <w:szCs w:val="22"/>
              </w:rPr>
              <w:t>-2.8 (3.9)</w:t>
            </w:r>
          </w:p>
        </w:tc>
      </w:tr>
    </w:tbl>
    <w:p>
      <w:pPr>
        <w:rPr>
          <w:sz w:val="20"/>
          <w:szCs w:val="20"/>
        </w:rPr>
      </w:pPr>
      <w:r>
        <w:rPr>
          <w:sz w:val="20"/>
          <w:szCs w:val="20"/>
        </w:rPr>
        <w:t>SD=standard deviation; TFI=Tinnitus Functional Index.</w:t>
      </w:r>
    </w:p>
    <w:p>
      <w:pPr>
        <w:rPr>
          <w:sz w:val="20"/>
          <w:szCs w:val="20"/>
        </w:rPr>
      </w:pPr>
      <w:r>
        <w:rPr>
          <w:sz w:val="20"/>
          <w:szCs w:val="20"/>
        </w:rPr>
        <w:t xml:space="preserve">Average Baseline TFI overall score was computed as the average of the TFI overall scores at the Screening and Baseline visits, prior to exposure to study drug. A negative change in TFI overall score from Baseline indicated improvement in tinnitus. </w:t>
      </w:r>
    </w:p>
    <w:p>
      <w:pPr>
        <w:rPr>
          <w:sz w:val="20"/>
          <w:szCs w:val="20"/>
        </w:rPr>
      </w:pPr>
      <w:r>
        <w:rPr>
          <w:sz w:val="20"/>
          <w:szCs w:val="20"/>
        </w:rPr>
        <w:t>Responders were defined as patients with at least a 13-point improvement on the TFI at Weeks 4 and 8.</w:t>
      </w:r>
      <w:r>
        <w:rPr>
          <w:sz w:val="20"/>
          <w:szCs w:val="20"/>
        </w:rPr>
        <w:br w:type="page"/>
      </w:r>
    </w:p>
    <w:p>
      <w:bookmarkStart w:id="1" w:name="_Hlk65135390"/>
      <w:bookmarkStart w:id="2" w:name="_Hlk66097610"/>
      <w:r>
        <w:t xml:space="preserve">Supplemental Digital Content </w:t>
      </w:r>
      <w:bookmarkEnd w:id="1"/>
      <w:r>
        <w:t xml:space="preserve">4. </w:t>
      </w:r>
      <w:bookmarkStart w:id="3" w:name="_Hlk65135408"/>
      <w:r>
        <w:t>Radar Plots of Change from Baseline in TFI Subscale Scores by Treatment and Visit (Part B/Evaluable Set)</w:t>
      </w:r>
      <w:bookmarkEnd w:id="3"/>
      <w:r>
        <w:t xml:space="preserve">. </w:t>
      </w:r>
      <w:bookmarkEnd w:id="2"/>
      <w:r>
        <w:t xml:space="preserve">A greater separation in lines indicates a greater difference between OTO-313 and placebo. </w:t>
      </w:r>
    </w:p>
    <w:p/>
    <w:p>
      <w:r>
        <w:t>A. Baseline Visit</w:t>
      </w:r>
    </w:p>
    <w:p>
      <w:r>
        <w:drawing>
          <wp:inline distT="0" distB="0" distL="0" distR="0">
            <wp:extent cx="5943600" cy="3463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463290"/>
                    </a:xfrm>
                    <a:prstGeom prst="rect">
                      <a:avLst/>
                    </a:prstGeom>
                  </pic:spPr>
                </pic:pic>
              </a:graphicData>
            </a:graphic>
          </wp:inline>
        </w:drawing>
      </w:r>
      <w:r>
        <w:br w:type="page"/>
      </w:r>
    </w:p>
    <w:p>
      <w:r>
        <w:t>B. Week 2</w:t>
      </w:r>
    </w:p>
    <w:p/>
    <w:p>
      <w:r>
        <w:drawing>
          <wp:inline distT="0" distB="0" distL="0" distR="0">
            <wp:extent cx="5943600" cy="3578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578860"/>
                    </a:xfrm>
                    <a:prstGeom prst="rect">
                      <a:avLst/>
                    </a:prstGeom>
                  </pic:spPr>
                </pic:pic>
              </a:graphicData>
            </a:graphic>
          </wp:inline>
        </w:drawing>
      </w:r>
      <w:r>
        <w:br w:type="page"/>
      </w:r>
    </w:p>
    <w:p>
      <w:r>
        <w:t>C. Week 4</w:t>
      </w:r>
    </w:p>
    <w:p>
      <w:r>
        <w:drawing>
          <wp:inline distT="0" distB="0" distL="0" distR="0">
            <wp:extent cx="5943600" cy="3531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31235"/>
                    </a:xfrm>
                    <a:prstGeom prst="rect">
                      <a:avLst/>
                    </a:prstGeom>
                  </pic:spPr>
                </pic:pic>
              </a:graphicData>
            </a:graphic>
          </wp:inline>
        </w:drawing>
      </w:r>
    </w:p>
    <w:p>
      <w:r>
        <w:br w:type="page"/>
      </w:r>
    </w:p>
    <w:p>
      <w:r>
        <w:t>D. Week 8</w:t>
      </w:r>
    </w:p>
    <w:p>
      <w:r>
        <w:drawing>
          <wp:inline distT="0" distB="0" distL="0" distR="0">
            <wp:extent cx="5943600" cy="3483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83610"/>
                    </a:xfrm>
                    <a:prstGeom prst="rect">
                      <a:avLst/>
                    </a:prstGeom>
                  </pic:spPr>
                </pic:pic>
              </a:graphicData>
            </a:graphic>
          </wp:inline>
        </w:drawing>
      </w:r>
    </w:p>
    <w:p>
      <w:pPr>
        <w:rPr>
          <w:sz w:val="20"/>
          <w:szCs w:val="20"/>
        </w:rPr>
      </w:pPr>
      <w:r>
        <w:rPr>
          <w:sz w:val="20"/>
          <w:szCs w:val="20"/>
        </w:rPr>
        <w:t>TFI=Tinnitus Functional Index.</w:t>
      </w:r>
    </w:p>
    <w:p>
      <w:pPr>
        <w:rPr>
          <w:sz w:val="20"/>
          <w:szCs w:val="20"/>
        </w:rPr>
      </w:pPr>
      <w:r>
        <w:rPr>
          <w:sz w:val="20"/>
          <w:szCs w:val="20"/>
        </w:rPr>
        <w:t>Average baseline TFI score for each question was computed as the average of the TFI question score at the Screening and Baseline visits, prior to exposure to study drug. Change from baseline was defined as visit value – baseline value.</w:t>
      </w:r>
    </w:p>
    <w:sectPr>
      <w:footerReference r:id="rId3" w:type="default"/>
      <w:pgSz w:w="12240" w:h="15840"/>
      <w:pgMar w:top="1440" w:right="1440" w:bottom="1440" w:left="1440" w:header="708" w:footer="708"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0632797"/>
      <w:placeholder>
        <w:docPart w:val="DefaultPlaceholder_22675703"/>
      </w:placeholder>
    </w:sdtPr>
    <w:sdtContent>
      <w:p>
        <w:pP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38</w:t>
        </w:r>
        <w:r>
          <w:rPr>
            <w:sz w:val="20"/>
            <w:szCs w:val="20"/>
          </w:rPr>
          <w:fldChar w:fldCharType="end"/>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NTG3tDAyNTAwNrJU0lEKTi0uzszPAykwMq0FAF/5d6UtAAAA"/>
  </w:docVars>
  <w:rsids>
    <w:rsidRoot w:val="00333051"/>
    <w:rsid w:val="0000079C"/>
    <w:rsid w:val="00000DCE"/>
    <w:rsid w:val="00000F77"/>
    <w:rsid w:val="00006F2B"/>
    <w:rsid w:val="00016A10"/>
    <w:rsid w:val="000174E2"/>
    <w:rsid w:val="00017EFB"/>
    <w:rsid w:val="00023728"/>
    <w:rsid w:val="00027798"/>
    <w:rsid w:val="00030218"/>
    <w:rsid w:val="00030B46"/>
    <w:rsid w:val="00034604"/>
    <w:rsid w:val="0003592C"/>
    <w:rsid w:val="00037066"/>
    <w:rsid w:val="00040BF5"/>
    <w:rsid w:val="00040D6D"/>
    <w:rsid w:val="0004448F"/>
    <w:rsid w:val="00054992"/>
    <w:rsid w:val="00055062"/>
    <w:rsid w:val="00056419"/>
    <w:rsid w:val="00060DAD"/>
    <w:rsid w:val="0006232B"/>
    <w:rsid w:val="00062AB9"/>
    <w:rsid w:val="0007079A"/>
    <w:rsid w:val="00070EA2"/>
    <w:rsid w:val="00073965"/>
    <w:rsid w:val="000828A6"/>
    <w:rsid w:val="00083B45"/>
    <w:rsid w:val="00083F87"/>
    <w:rsid w:val="00084384"/>
    <w:rsid w:val="000851D7"/>
    <w:rsid w:val="00093333"/>
    <w:rsid w:val="000A0A7E"/>
    <w:rsid w:val="000A28D4"/>
    <w:rsid w:val="000A50C7"/>
    <w:rsid w:val="000A7F6F"/>
    <w:rsid w:val="000B1850"/>
    <w:rsid w:val="000B23AA"/>
    <w:rsid w:val="000B31D7"/>
    <w:rsid w:val="000B3304"/>
    <w:rsid w:val="000C1A73"/>
    <w:rsid w:val="000C31B0"/>
    <w:rsid w:val="000C3437"/>
    <w:rsid w:val="000C6E17"/>
    <w:rsid w:val="000C7B65"/>
    <w:rsid w:val="000D100F"/>
    <w:rsid w:val="000D3211"/>
    <w:rsid w:val="000D38E4"/>
    <w:rsid w:val="000D62E3"/>
    <w:rsid w:val="000D7BBB"/>
    <w:rsid w:val="000E15D8"/>
    <w:rsid w:val="000E61D2"/>
    <w:rsid w:val="000E688E"/>
    <w:rsid w:val="000F0792"/>
    <w:rsid w:val="000F22F2"/>
    <w:rsid w:val="000F49F3"/>
    <w:rsid w:val="000F628B"/>
    <w:rsid w:val="001008A6"/>
    <w:rsid w:val="00102E49"/>
    <w:rsid w:val="00110054"/>
    <w:rsid w:val="0012034F"/>
    <w:rsid w:val="00122FC6"/>
    <w:rsid w:val="001278AF"/>
    <w:rsid w:val="00127B95"/>
    <w:rsid w:val="00132B0C"/>
    <w:rsid w:val="00146397"/>
    <w:rsid w:val="00154887"/>
    <w:rsid w:val="00154D2D"/>
    <w:rsid w:val="0015638A"/>
    <w:rsid w:val="0015768D"/>
    <w:rsid w:val="00157D26"/>
    <w:rsid w:val="001640C1"/>
    <w:rsid w:val="00165B08"/>
    <w:rsid w:val="001667D4"/>
    <w:rsid w:val="00170058"/>
    <w:rsid w:val="00173103"/>
    <w:rsid w:val="001848BC"/>
    <w:rsid w:val="0019046A"/>
    <w:rsid w:val="00192983"/>
    <w:rsid w:val="00193E89"/>
    <w:rsid w:val="00196CF2"/>
    <w:rsid w:val="00197B80"/>
    <w:rsid w:val="001A1D26"/>
    <w:rsid w:val="001A321C"/>
    <w:rsid w:val="001A4623"/>
    <w:rsid w:val="001A4B5A"/>
    <w:rsid w:val="001A6A82"/>
    <w:rsid w:val="001B3C04"/>
    <w:rsid w:val="001B48BC"/>
    <w:rsid w:val="001B531F"/>
    <w:rsid w:val="001B73E2"/>
    <w:rsid w:val="001C5581"/>
    <w:rsid w:val="001C75C6"/>
    <w:rsid w:val="001D6308"/>
    <w:rsid w:val="001E3E6A"/>
    <w:rsid w:val="001E5512"/>
    <w:rsid w:val="001F5AE2"/>
    <w:rsid w:val="001F5C23"/>
    <w:rsid w:val="001F62E3"/>
    <w:rsid w:val="001F67A8"/>
    <w:rsid w:val="0020190A"/>
    <w:rsid w:val="00203A7B"/>
    <w:rsid w:val="00213613"/>
    <w:rsid w:val="0022495B"/>
    <w:rsid w:val="0022749A"/>
    <w:rsid w:val="002324AC"/>
    <w:rsid w:val="00234A53"/>
    <w:rsid w:val="002378CE"/>
    <w:rsid w:val="00243D95"/>
    <w:rsid w:val="00244813"/>
    <w:rsid w:val="002448F5"/>
    <w:rsid w:val="0024563B"/>
    <w:rsid w:val="0024575A"/>
    <w:rsid w:val="00245D04"/>
    <w:rsid w:val="002462AA"/>
    <w:rsid w:val="00250E19"/>
    <w:rsid w:val="00250F17"/>
    <w:rsid w:val="00254696"/>
    <w:rsid w:val="00260F39"/>
    <w:rsid w:val="002610C5"/>
    <w:rsid w:val="00261697"/>
    <w:rsid w:val="00261E52"/>
    <w:rsid w:val="00261F0F"/>
    <w:rsid w:val="00264783"/>
    <w:rsid w:val="00270DA5"/>
    <w:rsid w:val="00272269"/>
    <w:rsid w:val="00275058"/>
    <w:rsid w:val="0027782F"/>
    <w:rsid w:val="002906B3"/>
    <w:rsid w:val="00293115"/>
    <w:rsid w:val="002964BF"/>
    <w:rsid w:val="002A015A"/>
    <w:rsid w:val="002A0B01"/>
    <w:rsid w:val="002B0106"/>
    <w:rsid w:val="002B34DD"/>
    <w:rsid w:val="002B4B6E"/>
    <w:rsid w:val="002B5842"/>
    <w:rsid w:val="002B59FB"/>
    <w:rsid w:val="002B7B0F"/>
    <w:rsid w:val="002C0B87"/>
    <w:rsid w:val="002C2104"/>
    <w:rsid w:val="002C38B8"/>
    <w:rsid w:val="002D0D19"/>
    <w:rsid w:val="002D33BF"/>
    <w:rsid w:val="002D3C81"/>
    <w:rsid w:val="002D4A75"/>
    <w:rsid w:val="002D743E"/>
    <w:rsid w:val="002E50A4"/>
    <w:rsid w:val="002E695D"/>
    <w:rsid w:val="002E724E"/>
    <w:rsid w:val="002F4D73"/>
    <w:rsid w:val="002F4DD5"/>
    <w:rsid w:val="002F5174"/>
    <w:rsid w:val="002F5EFD"/>
    <w:rsid w:val="002F74DD"/>
    <w:rsid w:val="00300CC1"/>
    <w:rsid w:val="00305089"/>
    <w:rsid w:val="0030692C"/>
    <w:rsid w:val="00312A19"/>
    <w:rsid w:val="0031533A"/>
    <w:rsid w:val="00321A47"/>
    <w:rsid w:val="00321C61"/>
    <w:rsid w:val="00330E0D"/>
    <w:rsid w:val="00333051"/>
    <w:rsid w:val="00333AF8"/>
    <w:rsid w:val="0033418F"/>
    <w:rsid w:val="00336ABC"/>
    <w:rsid w:val="0034318F"/>
    <w:rsid w:val="00351255"/>
    <w:rsid w:val="00352816"/>
    <w:rsid w:val="0035308C"/>
    <w:rsid w:val="003542E6"/>
    <w:rsid w:val="00355177"/>
    <w:rsid w:val="00355C23"/>
    <w:rsid w:val="00355FE9"/>
    <w:rsid w:val="0035691C"/>
    <w:rsid w:val="003571AC"/>
    <w:rsid w:val="00361159"/>
    <w:rsid w:val="003646DD"/>
    <w:rsid w:val="00370652"/>
    <w:rsid w:val="00373205"/>
    <w:rsid w:val="00376D8D"/>
    <w:rsid w:val="00377FB0"/>
    <w:rsid w:val="00380B55"/>
    <w:rsid w:val="00381C3B"/>
    <w:rsid w:val="003823C8"/>
    <w:rsid w:val="00382F92"/>
    <w:rsid w:val="003869E5"/>
    <w:rsid w:val="0038754A"/>
    <w:rsid w:val="003879A9"/>
    <w:rsid w:val="00394639"/>
    <w:rsid w:val="003A26D6"/>
    <w:rsid w:val="003A35AD"/>
    <w:rsid w:val="003A4E7E"/>
    <w:rsid w:val="003A52C3"/>
    <w:rsid w:val="003A5CFF"/>
    <w:rsid w:val="003A6FA2"/>
    <w:rsid w:val="003A7922"/>
    <w:rsid w:val="003B5B97"/>
    <w:rsid w:val="003B6870"/>
    <w:rsid w:val="003B7BED"/>
    <w:rsid w:val="003C1C51"/>
    <w:rsid w:val="003C23EB"/>
    <w:rsid w:val="003C3181"/>
    <w:rsid w:val="003D17B7"/>
    <w:rsid w:val="003D4E6C"/>
    <w:rsid w:val="003D78C7"/>
    <w:rsid w:val="003F0A3E"/>
    <w:rsid w:val="003F4A27"/>
    <w:rsid w:val="003F630C"/>
    <w:rsid w:val="003F78B9"/>
    <w:rsid w:val="00404D54"/>
    <w:rsid w:val="00412E7C"/>
    <w:rsid w:val="00413C47"/>
    <w:rsid w:val="004155CE"/>
    <w:rsid w:val="004214EE"/>
    <w:rsid w:val="004344B0"/>
    <w:rsid w:val="00435DBA"/>
    <w:rsid w:val="00445D8B"/>
    <w:rsid w:val="00447A84"/>
    <w:rsid w:val="00450AB6"/>
    <w:rsid w:val="00462047"/>
    <w:rsid w:val="004643D7"/>
    <w:rsid w:val="00467CB2"/>
    <w:rsid w:val="0047024C"/>
    <w:rsid w:val="0047174C"/>
    <w:rsid w:val="00472E6B"/>
    <w:rsid w:val="00482F78"/>
    <w:rsid w:val="00484FA9"/>
    <w:rsid w:val="00485378"/>
    <w:rsid w:val="004902B9"/>
    <w:rsid w:val="00490A16"/>
    <w:rsid w:val="00491A0E"/>
    <w:rsid w:val="00493B50"/>
    <w:rsid w:val="004971D5"/>
    <w:rsid w:val="004A1100"/>
    <w:rsid w:val="004A261E"/>
    <w:rsid w:val="004A5276"/>
    <w:rsid w:val="004B4D97"/>
    <w:rsid w:val="004C0DB4"/>
    <w:rsid w:val="004C1C85"/>
    <w:rsid w:val="004C3701"/>
    <w:rsid w:val="004C5EF3"/>
    <w:rsid w:val="004C6178"/>
    <w:rsid w:val="004D16BB"/>
    <w:rsid w:val="004E0CCC"/>
    <w:rsid w:val="004E286A"/>
    <w:rsid w:val="004E53CC"/>
    <w:rsid w:val="004E642E"/>
    <w:rsid w:val="004E73E0"/>
    <w:rsid w:val="004F7548"/>
    <w:rsid w:val="0050762E"/>
    <w:rsid w:val="005101BD"/>
    <w:rsid w:val="00516625"/>
    <w:rsid w:val="0051762D"/>
    <w:rsid w:val="00530066"/>
    <w:rsid w:val="005400E6"/>
    <w:rsid w:val="00540715"/>
    <w:rsid w:val="0054292F"/>
    <w:rsid w:val="00544416"/>
    <w:rsid w:val="005503FB"/>
    <w:rsid w:val="00550C22"/>
    <w:rsid w:val="005515C1"/>
    <w:rsid w:val="005559B7"/>
    <w:rsid w:val="00556A8F"/>
    <w:rsid w:val="005574A3"/>
    <w:rsid w:val="0056044A"/>
    <w:rsid w:val="0056211A"/>
    <w:rsid w:val="00562F8A"/>
    <w:rsid w:val="0056312D"/>
    <w:rsid w:val="005632E7"/>
    <w:rsid w:val="0056643A"/>
    <w:rsid w:val="0057775B"/>
    <w:rsid w:val="00582E7E"/>
    <w:rsid w:val="00584A81"/>
    <w:rsid w:val="00586BD3"/>
    <w:rsid w:val="00591D59"/>
    <w:rsid w:val="005A0BDA"/>
    <w:rsid w:val="005A5CD6"/>
    <w:rsid w:val="005A6A73"/>
    <w:rsid w:val="005B1898"/>
    <w:rsid w:val="005B3E7C"/>
    <w:rsid w:val="005B5569"/>
    <w:rsid w:val="005C03E3"/>
    <w:rsid w:val="005C43A7"/>
    <w:rsid w:val="005D3543"/>
    <w:rsid w:val="005D4F0C"/>
    <w:rsid w:val="005D53D9"/>
    <w:rsid w:val="005E21AA"/>
    <w:rsid w:val="005E3384"/>
    <w:rsid w:val="005E347B"/>
    <w:rsid w:val="005E55F2"/>
    <w:rsid w:val="005E5B9B"/>
    <w:rsid w:val="005E66A5"/>
    <w:rsid w:val="005F31DE"/>
    <w:rsid w:val="005F7B7A"/>
    <w:rsid w:val="00600441"/>
    <w:rsid w:val="00603051"/>
    <w:rsid w:val="0060391B"/>
    <w:rsid w:val="006124EE"/>
    <w:rsid w:val="0061272A"/>
    <w:rsid w:val="00615FB2"/>
    <w:rsid w:val="006207D0"/>
    <w:rsid w:val="0062096E"/>
    <w:rsid w:val="00623CF9"/>
    <w:rsid w:val="00631D58"/>
    <w:rsid w:val="006332EA"/>
    <w:rsid w:val="00645ECC"/>
    <w:rsid w:val="00645F3D"/>
    <w:rsid w:val="006463F2"/>
    <w:rsid w:val="00646895"/>
    <w:rsid w:val="00651922"/>
    <w:rsid w:val="00651FE7"/>
    <w:rsid w:val="00655E64"/>
    <w:rsid w:val="00661DD7"/>
    <w:rsid w:val="00662D89"/>
    <w:rsid w:val="006645F8"/>
    <w:rsid w:val="00664D84"/>
    <w:rsid w:val="006706F9"/>
    <w:rsid w:val="00680DA3"/>
    <w:rsid w:val="00684898"/>
    <w:rsid w:val="00685194"/>
    <w:rsid w:val="00685DD3"/>
    <w:rsid w:val="006862E1"/>
    <w:rsid w:val="0068746C"/>
    <w:rsid w:val="00690AC5"/>
    <w:rsid w:val="00696860"/>
    <w:rsid w:val="00697301"/>
    <w:rsid w:val="006A133B"/>
    <w:rsid w:val="006A1814"/>
    <w:rsid w:val="006A3358"/>
    <w:rsid w:val="006A3825"/>
    <w:rsid w:val="006A764C"/>
    <w:rsid w:val="006B07AE"/>
    <w:rsid w:val="006B3A68"/>
    <w:rsid w:val="006B48A0"/>
    <w:rsid w:val="006B55CC"/>
    <w:rsid w:val="006C7862"/>
    <w:rsid w:val="006D6B52"/>
    <w:rsid w:val="006E0BAA"/>
    <w:rsid w:val="006E3A28"/>
    <w:rsid w:val="006E3BD0"/>
    <w:rsid w:val="006E7390"/>
    <w:rsid w:val="006E7679"/>
    <w:rsid w:val="006F4D88"/>
    <w:rsid w:val="006F569F"/>
    <w:rsid w:val="00700E0F"/>
    <w:rsid w:val="0070317C"/>
    <w:rsid w:val="007056AB"/>
    <w:rsid w:val="00713AE5"/>
    <w:rsid w:val="00714A46"/>
    <w:rsid w:val="00714CE4"/>
    <w:rsid w:val="007204F9"/>
    <w:rsid w:val="00726580"/>
    <w:rsid w:val="0073369F"/>
    <w:rsid w:val="00734D2A"/>
    <w:rsid w:val="00734DFE"/>
    <w:rsid w:val="007360AF"/>
    <w:rsid w:val="007369DA"/>
    <w:rsid w:val="00737EAE"/>
    <w:rsid w:val="00741218"/>
    <w:rsid w:val="007420CA"/>
    <w:rsid w:val="007443C6"/>
    <w:rsid w:val="0074446C"/>
    <w:rsid w:val="00751C48"/>
    <w:rsid w:val="007557B7"/>
    <w:rsid w:val="00755B3B"/>
    <w:rsid w:val="00755B5E"/>
    <w:rsid w:val="00756348"/>
    <w:rsid w:val="00762522"/>
    <w:rsid w:val="00766F3D"/>
    <w:rsid w:val="00770F0A"/>
    <w:rsid w:val="007741D1"/>
    <w:rsid w:val="00775A7E"/>
    <w:rsid w:val="007807AE"/>
    <w:rsid w:val="007822F9"/>
    <w:rsid w:val="00783390"/>
    <w:rsid w:val="00784764"/>
    <w:rsid w:val="00790000"/>
    <w:rsid w:val="007A08F8"/>
    <w:rsid w:val="007A35F4"/>
    <w:rsid w:val="007A5C5E"/>
    <w:rsid w:val="007A6928"/>
    <w:rsid w:val="007B3EAA"/>
    <w:rsid w:val="007B49F9"/>
    <w:rsid w:val="007B682D"/>
    <w:rsid w:val="007B7118"/>
    <w:rsid w:val="007C5FD6"/>
    <w:rsid w:val="007C7F7D"/>
    <w:rsid w:val="007D0E5C"/>
    <w:rsid w:val="007D23B6"/>
    <w:rsid w:val="007D63CD"/>
    <w:rsid w:val="007E04B1"/>
    <w:rsid w:val="007E640F"/>
    <w:rsid w:val="007F0212"/>
    <w:rsid w:val="007F4024"/>
    <w:rsid w:val="007F60D8"/>
    <w:rsid w:val="007F643B"/>
    <w:rsid w:val="007F6A0B"/>
    <w:rsid w:val="00800DEB"/>
    <w:rsid w:val="00801EE6"/>
    <w:rsid w:val="00801F1C"/>
    <w:rsid w:val="008028FB"/>
    <w:rsid w:val="00810116"/>
    <w:rsid w:val="00813543"/>
    <w:rsid w:val="00813EE9"/>
    <w:rsid w:val="00815F8A"/>
    <w:rsid w:val="008163B0"/>
    <w:rsid w:val="0081694E"/>
    <w:rsid w:val="00823EE0"/>
    <w:rsid w:val="0082745A"/>
    <w:rsid w:val="00830495"/>
    <w:rsid w:val="008307BF"/>
    <w:rsid w:val="00836E51"/>
    <w:rsid w:val="00841B91"/>
    <w:rsid w:val="00846A75"/>
    <w:rsid w:val="008472BE"/>
    <w:rsid w:val="008524F3"/>
    <w:rsid w:val="008641E8"/>
    <w:rsid w:val="0086461B"/>
    <w:rsid w:val="008724F1"/>
    <w:rsid w:val="008775E9"/>
    <w:rsid w:val="00880DB4"/>
    <w:rsid w:val="00885E37"/>
    <w:rsid w:val="008876D6"/>
    <w:rsid w:val="00887C64"/>
    <w:rsid w:val="008900EB"/>
    <w:rsid w:val="00892737"/>
    <w:rsid w:val="0089404D"/>
    <w:rsid w:val="00894A62"/>
    <w:rsid w:val="00895357"/>
    <w:rsid w:val="00897975"/>
    <w:rsid w:val="008A1AD3"/>
    <w:rsid w:val="008A31CC"/>
    <w:rsid w:val="008A6B3F"/>
    <w:rsid w:val="008B3C63"/>
    <w:rsid w:val="008B7206"/>
    <w:rsid w:val="008C4491"/>
    <w:rsid w:val="008C5C6A"/>
    <w:rsid w:val="008C6E54"/>
    <w:rsid w:val="008C6EFF"/>
    <w:rsid w:val="008D0432"/>
    <w:rsid w:val="008D1F1A"/>
    <w:rsid w:val="008D34EC"/>
    <w:rsid w:val="008D3D53"/>
    <w:rsid w:val="008D3E5C"/>
    <w:rsid w:val="008D431F"/>
    <w:rsid w:val="008D6BE8"/>
    <w:rsid w:val="008E2244"/>
    <w:rsid w:val="008E5BC7"/>
    <w:rsid w:val="008E6348"/>
    <w:rsid w:val="008F28ED"/>
    <w:rsid w:val="008F3AE5"/>
    <w:rsid w:val="008F70CF"/>
    <w:rsid w:val="008F7419"/>
    <w:rsid w:val="008F77FE"/>
    <w:rsid w:val="009012BC"/>
    <w:rsid w:val="009048D1"/>
    <w:rsid w:val="00904F41"/>
    <w:rsid w:val="00905A97"/>
    <w:rsid w:val="00906220"/>
    <w:rsid w:val="00921190"/>
    <w:rsid w:val="00922512"/>
    <w:rsid w:val="00927C1A"/>
    <w:rsid w:val="00927E7F"/>
    <w:rsid w:val="00934588"/>
    <w:rsid w:val="009370AF"/>
    <w:rsid w:val="00942E24"/>
    <w:rsid w:val="00951098"/>
    <w:rsid w:val="00952A5B"/>
    <w:rsid w:val="00957D89"/>
    <w:rsid w:val="00960609"/>
    <w:rsid w:val="00961D6A"/>
    <w:rsid w:val="00961EEE"/>
    <w:rsid w:val="009678D6"/>
    <w:rsid w:val="0097403E"/>
    <w:rsid w:val="00974CDD"/>
    <w:rsid w:val="009755C0"/>
    <w:rsid w:val="009804C2"/>
    <w:rsid w:val="009841D6"/>
    <w:rsid w:val="00991D78"/>
    <w:rsid w:val="0099519B"/>
    <w:rsid w:val="00995CA8"/>
    <w:rsid w:val="009A290F"/>
    <w:rsid w:val="009A42E0"/>
    <w:rsid w:val="009A5355"/>
    <w:rsid w:val="009A57A0"/>
    <w:rsid w:val="009B066D"/>
    <w:rsid w:val="009B5CD2"/>
    <w:rsid w:val="009C14F7"/>
    <w:rsid w:val="009C56AB"/>
    <w:rsid w:val="009D164F"/>
    <w:rsid w:val="009D2B83"/>
    <w:rsid w:val="009D3896"/>
    <w:rsid w:val="009E0337"/>
    <w:rsid w:val="009E33D3"/>
    <w:rsid w:val="009F0A33"/>
    <w:rsid w:val="009F3DF0"/>
    <w:rsid w:val="009F5195"/>
    <w:rsid w:val="009F6322"/>
    <w:rsid w:val="00A00D70"/>
    <w:rsid w:val="00A0511A"/>
    <w:rsid w:val="00A072B5"/>
    <w:rsid w:val="00A1439D"/>
    <w:rsid w:val="00A16B8A"/>
    <w:rsid w:val="00A245B0"/>
    <w:rsid w:val="00A25036"/>
    <w:rsid w:val="00A2717D"/>
    <w:rsid w:val="00A27EF0"/>
    <w:rsid w:val="00A314F6"/>
    <w:rsid w:val="00A324A1"/>
    <w:rsid w:val="00A34EF4"/>
    <w:rsid w:val="00A36051"/>
    <w:rsid w:val="00A3716D"/>
    <w:rsid w:val="00A41010"/>
    <w:rsid w:val="00A4229F"/>
    <w:rsid w:val="00A511B9"/>
    <w:rsid w:val="00A55AC3"/>
    <w:rsid w:val="00A5627F"/>
    <w:rsid w:val="00A567F8"/>
    <w:rsid w:val="00A67982"/>
    <w:rsid w:val="00A70E66"/>
    <w:rsid w:val="00A71772"/>
    <w:rsid w:val="00A720D0"/>
    <w:rsid w:val="00A72335"/>
    <w:rsid w:val="00A7372B"/>
    <w:rsid w:val="00A76634"/>
    <w:rsid w:val="00A77A67"/>
    <w:rsid w:val="00A8246A"/>
    <w:rsid w:val="00A87B1D"/>
    <w:rsid w:val="00A90B55"/>
    <w:rsid w:val="00A95B5B"/>
    <w:rsid w:val="00AA1459"/>
    <w:rsid w:val="00AA3736"/>
    <w:rsid w:val="00AA54DF"/>
    <w:rsid w:val="00AA5564"/>
    <w:rsid w:val="00AA684B"/>
    <w:rsid w:val="00AA6FE4"/>
    <w:rsid w:val="00AB02A7"/>
    <w:rsid w:val="00AB17F4"/>
    <w:rsid w:val="00AB22CE"/>
    <w:rsid w:val="00AB26E1"/>
    <w:rsid w:val="00AB306F"/>
    <w:rsid w:val="00AB495A"/>
    <w:rsid w:val="00AB4E27"/>
    <w:rsid w:val="00AB511C"/>
    <w:rsid w:val="00AC0558"/>
    <w:rsid w:val="00AC4C63"/>
    <w:rsid w:val="00AC5269"/>
    <w:rsid w:val="00AC5518"/>
    <w:rsid w:val="00AC644A"/>
    <w:rsid w:val="00AD0C78"/>
    <w:rsid w:val="00AD36F9"/>
    <w:rsid w:val="00AD6AC9"/>
    <w:rsid w:val="00AE2A05"/>
    <w:rsid w:val="00AF3131"/>
    <w:rsid w:val="00AF33A4"/>
    <w:rsid w:val="00AF33EF"/>
    <w:rsid w:val="00AF5EDF"/>
    <w:rsid w:val="00B03060"/>
    <w:rsid w:val="00B05AB7"/>
    <w:rsid w:val="00B05B96"/>
    <w:rsid w:val="00B10238"/>
    <w:rsid w:val="00B104E9"/>
    <w:rsid w:val="00B12962"/>
    <w:rsid w:val="00B13E10"/>
    <w:rsid w:val="00B145E6"/>
    <w:rsid w:val="00B14A9F"/>
    <w:rsid w:val="00B2148E"/>
    <w:rsid w:val="00B2491F"/>
    <w:rsid w:val="00B32372"/>
    <w:rsid w:val="00B35D34"/>
    <w:rsid w:val="00B37F23"/>
    <w:rsid w:val="00B419DD"/>
    <w:rsid w:val="00B43E95"/>
    <w:rsid w:val="00B46AD6"/>
    <w:rsid w:val="00B4754E"/>
    <w:rsid w:val="00B51873"/>
    <w:rsid w:val="00B51F1F"/>
    <w:rsid w:val="00B5464D"/>
    <w:rsid w:val="00B56EC1"/>
    <w:rsid w:val="00B609DE"/>
    <w:rsid w:val="00B61A00"/>
    <w:rsid w:val="00B61FFC"/>
    <w:rsid w:val="00B65B59"/>
    <w:rsid w:val="00B65F34"/>
    <w:rsid w:val="00B736D5"/>
    <w:rsid w:val="00B73882"/>
    <w:rsid w:val="00B75B7C"/>
    <w:rsid w:val="00B7795F"/>
    <w:rsid w:val="00B82CEA"/>
    <w:rsid w:val="00B87F54"/>
    <w:rsid w:val="00B922E4"/>
    <w:rsid w:val="00B93A4D"/>
    <w:rsid w:val="00B947B7"/>
    <w:rsid w:val="00B96169"/>
    <w:rsid w:val="00B9726D"/>
    <w:rsid w:val="00BA43F9"/>
    <w:rsid w:val="00BA5EBC"/>
    <w:rsid w:val="00BA6555"/>
    <w:rsid w:val="00BA7B41"/>
    <w:rsid w:val="00BB0D8A"/>
    <w:rsid w:val="00BB1956"/>
    <w:rsid w:val="00BB1E1E"/>
    <w:rsid w:val="00BB45EE"/>
    <w:rsid w:val="00BB66E2"/>
    <w:rsid w:val="00BC4BD8"/>
    <w:rsid w:val="00BC537A"/>
    <w:rsid w:val="00BD439C"/>
    <w:rsid w:val="00BD6823"/>
    <w:rsid w:val="00BE1C29"/>
    <w:rsid w:val="00BF22E7"/>
    <w:rsid w:val="00BF23E4"/>
    <w:rsid w:val="00BF2792"/>
    <w:rsid w:val="00BF5E19"/>
    <w:rsid w:val="00BF61DC"/>
    <w:rsid w:val="00C0051C"/>
    <w:rsid w:val="00C04B13"/>
    <w:rsid w:val="00C05C41"/>
    <w:rsid w:val="00C06F0A"/>
    <w:rsid w:val="00C07C10"/>
    <w:rsid w:val="00C10067"/>
    <w:rsid w:val="00C11BB6"/>
    <w:rsid w:val="00C14509"/>
    <w:rsid w:val="00C216BC"/>
    <w:rsid w:val="00C219D7"/>
    <w:rsid w:val="00C265AD"/>
    <w:rsid w:val="00C319F5"/>
    <w:rsid w:val="00C36138"/>
    <w:rsid w:val="00C36C05"/>
    <w:rsid w:val="00C42619"/>
    <w:rsid w:val="00C4764A"/>
    <w:rsid w:val="00C51FAB"/>
    <w:rsid w:val="00C54878"/>
    <w:rsid w:val="00C624C3"/>
    <w:rsid w:val="00C74C04"/>
    <w:rsid w:val="00C74F07"/>
    <w:rsid w:val="00C760A1"/>
    <w:rsid w:val="00C76941"/>
    <w:rsid w:val="00C81B50"/>
    <w:rsid w:val="00C84B68"/>
    <w:rsid w:val="00C85C5B"/>
    <w:rsid w:val="00C87977"/>
    <w:rsid w:val="00C924ED"/>
    <w:rsid w:val="00C944B1"/>
    <w:rsid w:val="00C94C66"/>
    <w:rsid w:val="00C951F6"/>
    <w:rsid w:val="00C9736E"/>
    <w:rsid w:val="00CA5B80"/>
    <w:rsid w:val="00CA5E75"/>
    <w:rsid w:val="00CB1B11"/>
    <w:rsid w:val="00CC225B"/>
    <w:rsid w:val="00CD1D74"/>
    <w:rsid w:val="00CE0BEE"/>
    <w:rsid w:val="00CE17AA"/>
    <w:rsid w:val="00CE463A"/>
    <w:rsid w:val="00CE4CA8"/>
    <w:rsid w:val="00CE622C"/>
    <w:rsid w:val="00CE7032"/>
    <w:rsid w:val="00CF10C5"/>
    <w:rsid w:val="00CF213D"/>
    <w:rsid w:val="00CF475F"/>
    <w:rsid w:val="00CF69A6"/>
    <w:rsid w:val="00D01955"/>
    <w:rsid w:val="00D049CE"/>
    <w:rsid w:val="00D129EE"/>
    <w:rsid w:val="00D12FDD"/>
    <w:rsid w:val="00D14337"/>
    <w:rsid w:val="00D25AFD"/>
    <w:rsid w:val="00D26C16"/>
    <w:rsid w:val="00D272E2"/>
    <w:rsid w:val="00D3216B"/>
    <w:rsid w:val="00D336A8"/>
    <w:rsid w:val="00D36B4D"/>
    <w:rsid w:val="00D460BC"/>
    <w:rsid w:val="00D461B9"/>
    <w:rsid w:val="00D510E2"/>
    <w:rsid w:val="00D5179D"/>
    <w:rsid w:val="00D53B92"/>
    <w:rsid w:val="00D60197"/>
    <w:rsid w:val="00D605FA"/>
    <w:rsid w:val="00D63F70"/>
    <w:rsid w:val="00D671A4"/>
    <w:rsid w:val="00D71564"/>
    <w:rsid w:val="00D71C7E"/>
    <w:rsid w:val="00D7333F"/>
    <w:rsid w:val="00D77696"/>
    <w:rsid w:val="00D80034"/>
    <w:rsid w:val="00D8184D"/>
    <w:rsid w:val="00D84255"/>
    <w:rsid w:val="00D84C3B"/>
    <w:rsid w:val="00D93060"/>
    <w:rsid w:val="00D93F61"/>
    <w:rsid w:val="00DA1812"/>
    <w:rsid w:val="00DA1A3C"/>
    <w:rsid w:val="00DA2EA5"/>
    <w:rsid w:val="00DA410F"/>
    <w:rsid w:val="00DA71D5"/>
    <w:rsid w:val="00DC0D72"/>
    <w:rsid w:val="00DC68C7"/>
    <w:rsid w:val="00DC6EF2"/>
    <w:rsid w:val="00DD1C39"/>
    <w:rsid w:val="00DD264A"/>
    <w:rsid w:val="00DD2767"/>
    <w:rsid w:val="00DD6A58"/>
    <w:rsid w:val="00DE0F1E"/>
    <w:rsid w:val="00DE67A0"/>
    <w:rsid w:val="00DE6C72"/>
    <w:rsid w:val="00DF65AA"/>
    <w:rsid w:val="00DF76F0"/>
    <w:rsid w:val="00E00C5D"/>
    <w:rsid w:val="00E051B7"/>
    <w:rsid w:val="00E060D6"/>
    <w:rsid w:val="00E12CCA"/>
    <w:rsid w:val="00E13366"/>
    <w:rsid w:val="00E15334"/>
    <w:rsid w:val="00E15D3B"/>
    <w:rsid w:val="00E2035E"/>
    <w:rsid w:val="00E20E4E"/>
    <w:rsid w:val="00E20F8A"/>
    <w:rsid w:val="00E2230D"/>
    <w:rsid w:val="00E238D1"/>
    <w:rsid w:val="00E250DF"/>
    <w:rsid w:val="00E269F5"/>
    <w:rsid w:val="00E274AD"/>
    <w:rsid w:val="00E27641"/>
    <w:rsid w:val="00E307AF"/>
    <w:rsid w:val="00E30CDE"/>
    <w:rsid w:val="00E35EF7"/>
    <w:rsid w:val="00E3668F"/>
    <w:rsid w:val="00E414A6"/>
    <w:rsid w:val="00E43178"/>
    <w:rsid w:val="00E458FD"/>
    <w:rsid w:val="00E460EE"/>
    <w:rsid w:val="00E46DA4"/>
    <w:rsid w:val="00E472C6"/>
    <w:rsid w:val="00E54181"/>
    <w:rsid w:val="00E6062D"/>
    <w:rsid w:val="00E637F6"/>
    <w:rsid w:val="00E640F9"/>
    <w:rsid w:val="00E64456"/>
    <w:rsid w:val="00E6739C"/>
    <w:rsid w:val="00E70251"/>
    <w:rsid w:val="00E71F40"/>
    <w:rsid w:val="00E75093"/>
    <w:rsid w:val="00E7639B"/>
    <w:rsid w:val="00E76895"/>
    <w:rsid w:val="00E778DB"/>
    <w:rsid w:val="00E80B74"/>
    <w:rsid w:val="00E81EC3"/>
    <w:rsid w:val="00E84F32"/>
    <w:rsid w:val="00E8664F"/>
    <w:rsid w:val="00E878E3"/>
    <w:rsid w:val="00EA0021"/>
    <w:rsid w:val="00EA1A46"/>
    <w:rsid w:val="00EA1B96"/>
    <w:rsid w:val="00EA28A0"/>
    <w:rsid w:val="00EA586D"/>
    <w:rsid w:val="00EB2223"/>
    <w:rsid w:val="00EC4D87"/>
    <w:rsid w:val="00ED02ED"/>
    <w:rsid w:val="00ED1992"/>
    <w:rsid w:val="00ED2845"/>
    <w:rsid w:val="00ED2D56"/>
    <w:rsid w:val="00ED66A0"/>
    <w:rsid w:val="00EE600B"/>
    <w:rsid w:val="00EE7B84"/>
    <w:rsid w:val="00EF0645"/>
    <w:rsid w:val="00EF65B6"/>
    <w:rsid w:val="00EF72F6"/>
    <w:rsid w:val="00F0345A"/>
    <w:rsid w:val="00F03615"/>
    <w:rsid w:val="00F0546B"/>
    <w:rsid w:val="00F05A3A"/>
    <w:rsid w:val="00F06485"/>
    <w:rsid w:val="00F07DAF"/>
    <w:rsid w:val="00F10095"/>
    <w:rsid w:val="00F13341"/>
    <w:rsid w:val="00F13F8C"/>
    <w:rsid w:val="00F145D4"/>
    <w:rsid w:val="00F14BA2"/>
    <w:rsid w:val="00F14FD6"/>
    <w:rsid w:val="00F15196"/>
    <w:rsid w:val="00F174B2"/>
    <w:rsid w:val="00F21ADA"/>
    <w:rsid w:val="00F2590A"/>
    <w:rsid w:val="00F31306"/>
    <w:rsid w:val="00F31DA8"/>
    <w:rsid w:val="00F362CE"/>
    <w:rsid w:val="00F40BB5"/>
    <w:rsid w:val="00F42577"/>
    <w:rsid w:val="00F506A6"/>
    <w:rsid w:val="00F51BA1"/>
    <w:rsid w:val="00F57C9C"/>
    <w:rsid w:val="00F62896"/>
    <w:rsid w:val="00F62A65"/>
    <w:rsid w:val="00F63E3A"/>
    <w:rsid w:val="00F65519"/>
    <w:rsid w:val="00F745FB"/>
    <w:rsid w:val="00F75F47"/>
    <w:rsid w:val="00F77973"/>
    <w:rsid w:val="00F77C87"/>
    <w:rsid w:val="00F80443"/>
    <w:rsid w:val="00F81711"/>
    <w:rsid w:val="00F90AB7"/>
    <w:rsid w:val="00F90E7E"/>
    <w:rsid w:val="00F90F31"/>
    <w:rsid w:val="00F93E65"/>
    <w:rsid w:val="00F94669"/>
    <w:rsid w:val="00F97A2F"/>
    <w:rsid w:val="00FA10AA"/>
    <w:rsid w:val="00FA5D37"/>
    <w:rsid w:val="00FA670F"/>
    <w:rsid w:val="00FA7481"/>
    <w:rsid w:val="00FA7E38"/>
    <w:rsid w:val="00FB3D86"/>
    <w:rsid w:val="00FB41E4"/>
    <w:rsid w:val="00FB610F"/>
    <w:rsid w:val="00FC3563"/>
    <w:rsid w:val="00FC409F"/>
    <w:rsid w:val="00FC44A6"/>
    <w:rsid w:val="00FD2F33"/>
    <w:rsid w:val="00FD3802"/>
    <w:rsid w:val="00FD7499"/>
    <w:rsid w:val="00FE2E72"/>
    <w:rsid w:val="00FE2FEC"/>
    <w:rsid w:val="00FE42A9"/>
    <w:rsid w:val="00FE47AE"/>
    <w:rsid w:val="00FE48C3"/>
    <w:rsid w:val="00FE4C0D"/>
    <w:rsid w:val="00FE52D7"/>
    <w:rsid w:val="00FE5DFC"/>
    <w:rsid w:val="00FF1870"/>
    <w:rsid w:val="00FF243C"/>
    <w:rsid w:val="00FF49B8"/>
    <w:rsid w:val="00FF5DF0"/>
    <w:rsid w:val="00FF74B5"/>
    <w:rsid w:val="2690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spacing w:before="240" w:after="60"/>
      <w:outlineLvl w:val="0"/>
    </w:pPr>
    <w:rPr>
      <w:b/>
      <w:bCs/>
      <w:kern w:val="36"/>
      <w:sz w:val="48"/>
      <w:szCs w:val="48"/>
    </w:rPr>
  </w:style>
  <w:style w:type="paragraph" w:styleId="3">
    <w:name w:val="heading 2"/>
    <w:basedOn w:val="1"/>
    <w:next w:val="1"/>
    <w:qFormat/>
    <w:uiPriority w:val="0"/>
    <w:pPr>
      <w:keepNext/>
      <w:spacing w:before="240" w:after="60"/>
      <w:outlineLvl w:val="1"/>
    </w:pPr>
    <w:rPr>
      <w:b/>
      <w:bCs/>
      <w:iCs/>
      <w:sz w:val="36"/>
      <w:szCs w:val="36"/>
    </w:rPr>
  </w:style>
  <w:style w:type="paragraph" w:styleId="4">
    <w:name w:val="heading 3"/>
    <w:basedOn w:val="1"/>
    <w:next w:val="1"/>
    <w:qFormat/>
    <w:uiPriority w:val="0"/>
    <w:pPr>
      <w:keepNext/>
      <w:spacing w:before="240" w:after="60"/>
      <w:outlineLvl w:val="2"/>
    </w:pPr>
    <w:rPr>
      <w:b/>
      <w:bCs/>
      <w:sz w:val="28"/>
      <w:szCs w:val="28"/>
    </w:rPr>
  </w:style>
  <w:style w:type="paragraph" w:styleId="5">
    <w:name w:val="heading 4"/>
    <w:basedOn w:val="1"/>
    <w:next w:val="1"/>
    <w:qFormat/>
    <w:uiPriority w:val="0"/>
    <w:pPr>
      <w:keepNext/>
      <w:spacing w:before="240" w:after="60"/>
      <w:outlineLvl w:val="3"/>
    </w:pPr>
    <w:rPr>
      <w:b/>
      <w:bCs/>
    </w:rPr>
  </w:style>
  <w:style w:type="paragraph" w:styleId="6">
    <w:name w:val="heading 5"/>
    <w:basedOn w:val="1"/>
    <w:next w:val="1"/>
    <w:qFormat/>
    <w:uiPriority w:val="0"/>
    <w:pPr>
      <w:spacing w:before="240" w:after="60"/>
      <w:outlineLvl w:val="4"/>
    </w:pPr>
    <w:rPr>
      <w:b/>
      <w:bCs/>
      <w:iCs/>
      <w:sz w:val="20"/>
      <w:szCs w:val="20"/>
    </w:rPr>
  </w:style>
  <w:style w:type="paragraph" w:styleId="7">
    <w:name w:val="heading 6"/>
    <w:basedOn w:val="1"/>
    <w:next w:val="1"/>
    <w:qFormat/>
    <w:uiPriority w:val="0"/>
    <w:pPr>
      <w:spacing w:before="240" w:after="60"/>
      <w:outlineLvl w:val="5"/>
    </w:pPr>
    <w:rPr>
      <w:b/>
      <w:bCs/>
      <w:sz w:val="16"/>
      <w:szCs w:val="1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6"/>
    <w:semiHidden/>
    <w:unhideWhenUsed/>
    <w:qFormat/>
    <w:uiPriority w:val="99"/>
    <w:rPr>
      <w:rFonts w:ascii="Segoe UI" w:hAnsi="Segoe UI" w:cs="Segoe UI"/>
      <w:sz w:val="18"/>
      <w:szCs w:val="18"/>
    </w:rPr>
  </w:style>
  <w:style w:type="paragraph" w:styleId="11">
    <w:name w:val="caption"/>
    <w:basedOn w:val="1"/>
    <w:next w:val="1"/>
    <w:unhideWhenUsed/>
    <w:qFormat/>
    <w:uiPriority w:val="35"/>
    <w:pPr>
      <w:spacing w:after="200"/>
    </w:pPr>
    <w:rPr>
      <w:i/>
      <w:iCs/>
      <w:color w:val="1F497D" w:themeColor="text2"/>
      <w:sz w:val="18"/>
      <w:szCs w:val="18"/>
      <w14:textFill>
        <w14:solidFill>
          <w14:schemeClr w14:val="tx2"/>
        </w14:solidFill>
      </w14:textFill>
    </w:rPr>
  </w:style>
  <w:style w:type="character" w:styleId="12">
    <w:name w:val="annotation reference"/>
    <w:basedOn w:val="8"/>
    <w:uiPriority w:val="99"/>
    <w:rPr>
      <w:sz w:val="16"/>
      <w:szCs w:val="16"/>
    </w:rPr>
  </w:style>
  <w:style w:type="paragraph" w:styleId="13">
    <w:name w:val="annotation text"/>
    <w:basedOn w:val="1"/>
    <w:link w:val="24"/>
    <w:unhideWhenUsed/>
    <w:qFormat/>
    <w:uiPriority w:val="99"/>
    <w:rPr>
      <w:sz w:val="20"/>
      <w:szCs w:val="20"/>
    </w:rPr>
  </w:style>
  <w:style w:type="paragraph" w:styleId="14">
    <w:name w:val="annotation subject"/>
    <w:basedOn w:val="13"/>
    <w:next w:val="13"/>
    <w:link w:val="25"/>
    <w:semiHidden/>
    <w:unhideWhenUsed/>
    <w:qFormat/>
    <w:uiPriority w:val="99"/>
    <w:rPr>
      <w:b/>
      <w:bCs/>
    </w:rPr>
  </w:style>
  <w:style w:type="character" w:styleId="15">
    <w:name w:val="Emphasis"/>
    <w:basedOn w:val="8"/>
    <w:qFormat/>
    <w:uiPriority w:val="20"/>
    <w:rPr>
      <w:i/>
      <w:iCs/>
    </w:rPr>
  </w:style>
  <w:style w:type="character" w:styleId="16">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17">
    <w:name w:val="header"/>
    <w:basedOn w:val="1"/>
    <w:link w:val="30"/>
    <w:unhideWhenUsed/>
    <w:uiPriority w:val="99"/>
    <w:pPr>
      <w:tabs>
        <w:tab w:val="center" w:pos="4680"/>
        <w:tab w:val="right" w:pos="9360"/>
      </w:tabs>
    </w:pPr>
  </w:style>
  <w:style w:type="character" w:styleId="18">
    <w:name w:val="Hyperlink"/>
    <w:basedOn w:val="8"/>
    <w:unhideWhenUsed/>
    <w:uiPriority w:val="99"/>
    <w:rPr>
      <w:color w:val="0000FF" w:themeColor="hyperlink"/>
      <w:u w:val="single"/>
      <w14:textFill>
        <w14:solidFill>
          <w14:schemeClr w14:val="hlink"/>
        </w14:solidFill>
      </w14:textFill>
    </w:rPr>
  </w:style>
  <w:style w:type="character" w:styleId="19">
    <w:name w:val="line number"/>
    <w:basedOn w:val="8"/>
    <w:semiHidden/>
    <w:unhideWhenUsed/>
    <w:qFormat/>
    <w:uiPriority w:val="99"/>
  </w:style>
  <w:style w:type="paragraph" w:styleId="20">
    <w:name w:val="Normal (Web)"/>
    <w:basedOn w:val="1"/>
    <w:unhideWhenUsed/>
    <w:qFormat/>
    <w:uiPriority w:val="99"/>
    <w:pPr>
      <w:spacing w:before="100" w:beforeAutospacing="1" w:after="100" w:afterAutospacing="1"/>
    </w:pPr>
  </w:style>
  <w:style w:type="character" w:styleId="21">
    <w:name w:val="Strong"/>
    <w:basedOn w:val="8"/>
    <w:qFormat/>
    <w:uiPriority w:val="22"/>
    <w:rPr>
      <w:b/>
      <w:bCs/>
    </w:rPr>
  </w:style>
  <w:style w:type="table" w:styleId="22">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Placeholder Text1"/>
    <w:basedOn w:val="8"/>
    <w:semiHidden/>
    <w:qFormat/>
    <w:uiPriority w:val="99"/>
    <w:rPr>
      <w:color w:val="808080"/>
    </w:rPr>
  </w:style>
  <w:style w:type="character" w:customStyle="1" w:styleId="24">
    <w:name w:val="Comment Text Char"/>
    <w:basedOn w:val="8"/>
    <w:link w:val="13"/>
    <w:qFormat/>
    <w:uiPriority w:val="99"/>
  </w:style>
  <w:style w:type="character" w:customStyle="1" w:styleId="25">
    <w:name w:val="Comment Subject Char"/>
    <w:basedOn w:val="24"/>
    <w:link w:val="14"/>
    <w:semiHidden/>
    <w:qFormat/>
    <w:uiPriority w:val="99"/>
    <w:rPr>
      <w:b/>
      <w:bCs/>
    </w:rPr>
  </w:style>
  <w:style w:type="character" w:customStyle="1" w:styleId="26">
    <w:name w:val="Balloon Text Char"/>
    <w:basedOn w:val="8"/>
    <w:link w:val="10"/>
    <w:semiHidden/>
    <w:uiPriority w:val="99"/>
    <w:rPr>
      <w:rFonts w:ascii="Segoe UI" w:hAnsi="Segoe UI" w:cs="Segoe UI"/>
      <w:sz w:val="18"/>
      <w:szCs w:val="18"/>
    </w:rPr>
  </w:style>
  <w:style w:type="character" w:customStyle="1" w:styleId="27">
    <w:name w:val="Unresolved Mention"/>
    <w:basedOn w:val="8"/>
    <w:semiHidden/>
    <w:unhideWhenUsed/>
    <w:uiPriority w:val="99"/>
    <w:rPr>
      <w:color w:val="605E5C"/>
      <w:shd w:val="clear" w:color="auto" w:fill="E1DFDD"/>
    </w:rPr>
  </w:style>
  <w:style w:type="paragraph" w:customStyle="1" w:styleId="28">
    <w:name w:val="Revision"/>
    <w:hidden/>
    <w:semiHidden/>
    <w:uiPriority w:val="99"/>
    <w:rPr>
      <w:rFonts w:ascii="Times New Roman" w:hAnsi="Times New Roman" w:eastAsia="Times New Roman" w:cs="Times New Roman"/>
      <w:sz w:val="24"/>
      <w:szCs w:val="24"/>
      <w:lang w:val="en-US" w:eastAsia="en-US" w:bidi="ar-SA"/>
    </w:rPr>
  </w:style>
  <w:style w:type="paragraph" w:styleId="29">
    <w:name w:val="List Paragraph"/>
    <w:basedOn w:val="1"/>
    <w:qFormat/>
    <w:uiPriority w:val="34"/>
    <w:pPr>
      <w:ind w:left="720"/>
      <w:contextualSpacing/>
    </w:pPr>
  </w:style>
  <w:style w:type="character" w:customStyle="1" w:styleId="30">
    <w:name w:val="Header Char"/>
    <w:basedOn w:val="8"/>
    <w:link w:val="17"/>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tiff"/><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3"/>
        <w:style w:val=""/>
        <w:category>
          <w:name w:val="General"/>
          <w:gallery w:val="placeholder"/>
        </w:category>
        <w:types>
          <w:type w:val="bbPlcHdr"/>
        </w:types>
        <w:behaviors>
          <w:behavior w:val="content"/>
        </w:behaviors>
        <w:description w:val=""/>
        <w:guid w:val="{BB17D9C4-BF72-44A5-882C-12B03705CADB}"/>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noPunctuationKerning w:val="1"/>
  <w:characterSpacingControl w:val="doNotCompress"/>
  <w:compat>
    <w:compatSetting w:name="compatibilityMode" w:uri="http://schemas.microsoft.com/office/word" w:val="15"/>
  </w:compat>
  <w:rsids>
    <w:rsidRoot w:val="009D12CD"/>
    <w:rsid w:val="00042789"/>
    <w:rsid w:val="00065E9E"/>
    <w:rsid w:val="000A7354"/>
    <w:rsid w:val="000B0016"/>
    <w:rsid w:val="00102C89"/>
    <w:rsid w:val="00182214"/>
    <w:rsid w:val="001A0640"/>
    <w:rsid w:val="00222B47"/>
    <w:rsid w:val="00236137"/>
    <w:rsid w:val="002F39CA"/>
    <w:rsid w:val="0030288E"/>
    <w:rsid w:val="00347F43"/>
    <w:rsid w:val="00390B99"/>
    <w:rsid w:val="00402641"/>
    <w:rsid w:val="00416EC4"/>
    <w:rsid w:val="00442D14"/>
    <w:rsid w:val="00462E21"/>
    <w:rsid w:val="005206AC"/>
    <w:rsid w:val="0054296D"/>
    <w:rsid w:val="00563361"/>
    <w:rsid w:val="005A2235"/>
    <w:rsid w:val="00692ADC"/>
    <w:rsid w:val="006E3337"/>
    <w:rsid w:val="007214CA"/>
    <w:rsid w:val="007511CB"/>
    <w:rsid w:val="00780F89"/>
    <w:rsid w:val="007F770D"/>
    <w:rsid w:val="00800551"/>
    <w:rsid w:val="00827AB8"/>
    <w:rsid w:val="00832B74"/>
    <w:rsid w:val="00845AD8"/>
    <w:rsid w:val="00884037"/>
    <w:rsid w:val="00962CFF"/>
    <w:rsid w:val="009D12CD"/>
    <w:rsid w:val="009E7AC1"/>
    <w:rsid w:val="00A41A0C"/>
    <w:rsid w:val="00A7605B"/>
    <w:rsid w:val="00B04721"/>
    <w:rsid w:val="00B45CC4"/>
    <w:rsid w:val="00B83636"/>
    <w:rsid w:val="00B87249"/>
    <w:rsid w:val="00B876B1"/>
    <w:rsid w:val="00BA7900"/>
    <w:rsid w:val="00C33649"/>
    <w:rsid w:val="00C3431F"/>
    <w:rsid w:val="00CC3B12"/>
    <w:rsid w:val="00D60534"/>
    <w:rsid w:val="00D72F1F"/>
    <w:rsid w:val="00D91B01"/>
    <w:rsid w:val="00DA0921"/>
    <w:rsid w:val="00DD0DB5"/>
    <w:rsid w:val="00DD6B78"/>
    <w:rsid w:val="00E066C8"/>
    <w:rsid w:val="00E87914"/>
    <w:rsid w:val="00EB7E18"/>
    <w:rsid w:val="00FA3B41"/>
    <w:rsid w:val="00FB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rPr>
      <w:rFonts w:ascii="Times New Roman" w:hAnsi="Times New Roman" w:eastAsia="Times New Roman" w:cs="Times New Roman"/>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Placeholder Text1"/>
    <w:basedOn w:val="2"/>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156A4-5AAF-4B20-92AD-CEA4B1531980}">
  <ds:schemaRefs/>
</ds:datastoreItem>
</file>

<file path=docProps/app.xml><?xml version="1.0" encoding="utf-8"?>
<Properties xmlns="http://schemas.openxmlformats.org/officeDocument/2006/extended-properties" xmlns:vt="http://schemas.openxmlformats.org/officeDocument/2006/docPropsVTypes">
  <Template>Normal</Template>
  <Pages>11</Pages>
  <Words>1200</Words>
  <Characters>6843</Characters>
  <Lines>57</Lines>
  <Paragraphs>16</Paragraphs>
  <TotalTime>4</TotalTime>
  <ScaleCrop>false</ScaleCrop>
  <LinksUpToDate>false</LinksUpToDate>
  <CharactersWithSpaces>8027</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2021-06-11T15:45:00Z</dcterms:created>
  <dc:creator>Barbara Finn</dc:creator>
  <cp:lastModifiedBy>Personal</cp:lastModifiedBy>
  <dcterms:modified xsi:type="dcterms:W3CDTF">2021-08-31T15:10:16Z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