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A" w:rsidRPr="008A6CCA" w:rsidRDefault="000303DA" w:rsidP="000303DA">
      <w:pPr>
        <w:rPr>
          <w:color w:val="000000"/>
          <w:lang w:eastAsia="nl-NL"/>
        </w:rPr>
      </w:pPr>
      <w:r w:rsidRPr="007F5D32">
        <w:rPr>
          <w:color w:val="000000"/>
          <w:sz w:val="20"/>
          <w:lang w:eastAsia="nl-NL"/>
        </w:rPr>
        <w:t>Supplementary table 2: Baseline characteristics of female NIAD-users and matched female non-NIAD-users</w:t>
      </w:r>
    </w:p>
    <w:tbl>
      <w:tblPr>
        <w:tblpPr w:leftFromText="180" w:rightFromText="180" w:vertAnchor="page" w:horzAnchor="margin" w:tblpY="1911"/>
        <w:tblW w:w="0" w:type="auto"/>
        <w:tblLook w:val="04A0" w:firstRow="1" w:lastRow="0" w:firstColumn="1" w:lastColumn="0" w:noHBand="0" w:noVBand="1"/>
      </w:tblPr>
      <w:tblGrid>
        <w:gridCol w:w="4240"/>
        <w:gridCol w:w="2088"/>
        <w:gridCol w:w="551"/>
        <w:gridCol w:w="2192"/>
      </w:tblGrid>
      <w:tr w:rsidR="000303DA" w:rsidRPr="00B80276" w:rsidTr="00781963"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NIAD-users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Non-NIAD-users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rPr>
                <w:b/>
              </w:rPr>
            </w:pPr>
            <w:r w:rsidRPr="00B80276">
              <w:rPr>
                <w:b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N=</w:t>
            </w:r>
            <w:r>
              <w:rPr>
                <w:b/>
              </w:rPr>
              <w:t>111,878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N=</w:t>
            </w:r>
            <w:r>
              <w:rPr>
                <w:b/>
              </w:rPr>
              <w:t>111,878</w:t>
            </w:r>
          </w:p>
        </w:tc>
      </w:tr>
      <w:tr w:rsidR="000303DA" w:rsidRPr="00B80276" w:rsidTr="00781963"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r w:rsidRPr="00B80276">
              <w:t>Mean follow-up time (years, SD)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4.4 ± 2.9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4.5 ± 2.8</w:t>
            </w:r>
          </w:p>
        </w:tc>
      </w:tr>
      <w:tr w:rsidR="000303DA" w:rsidRPr="00B80276" w:rsidTr="00781963">
        <w:trPr>
          <w:trHeight w:val="299"/>
        </w:trPr>
        <w:tc>
          <w:tcPr>
            <w:tcW w:w="4359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rPr>
          <w:trHeight w:val="299"/>
        </w:trPr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r w:rsidRPr="00B80276">
              <w:t>Age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r>
              <w:t>Mean age at index date (years, SD)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 xml:space="preserve">59.9 ± 17.3 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59.9 ± 17.3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r w:rsidRPr="00B80276">
              <w:t>18-49 years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29,413 (26.3%)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29,413 (26.3%)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r w:rsidRPr="00B80276">
              <w:t>50-59 years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19,841 (17.7%)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19,841 (17.7%)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r w:rsidRPr="00B80276">
              <w:t>60-69 years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25,396 (22.7%)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25,396 (22.7%)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r w:rsidRPr="00B80276">
              <w:t>70+ years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37,228 (33.3%)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37,228 (33.3%)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r w:rsidRPr="00B80276">
              <w:t>BMI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Mean BMI at index date (kg/m</w:t>
            </w:r>
            <w:r w:rsidRPr="00B80276">
              <w:rPr>
                <w:vertAlign w:val="superscript"/>
              </w:rPr>
              <w:t>2</w:t>
            </w:r>
            <w:r w:rsidRPr="00B80276">
              <w:t>, SD)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32.0 ± 7.4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7F5D32" w:rsidRDefault="000303DA" w:rsidP="00781963">
            <w:pPr>
              <w:jc w:val="right"/>
            </w:pPr>
            <w:r>
              <w:t>26.5 ± 5.6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&lt;24.9 kg/m</w:t>
            </w:r>
            <w:r w:rsidRPr="00B80276"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16,862 (15.1%)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45,333 (40.5%)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25.0-29.9 kg/m</w:t>
            </w:r>
            <w:r w:rsidRPr="00B80276"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29,604 (26.5%)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33,140 (29.6%)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30.0-34.9 kg/m</w:t>
            </w:r>
            <w:r w:rsidRPr="00B80276"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28,530 (25.5%)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15,054 (13.5%)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≥35.0 kg/m</w:t>
            </w:r>
            <w:r w:rsidRPr="00B80276"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32,612 (29.1%)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7,855 (7.0%)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Missing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4,270 (3.8%)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10,496 (9.4%)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r w:rsidRPr="00B80276">
              <w:t>HbA1c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&lt;6.0 %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1,259 (1.1%)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770 (0.7%)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6.0-6.9 %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5,070 (4.5%)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513 (0.5%)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7.0-7.9 %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8,584 (7.7%)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54 (0.0%)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8.0-8.9 %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4,816 (4.3%)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6 (0.0%)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≥9.0 %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7,004 (6.3%)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 (0.0%)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 xml:space="preserve">Missing 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85,145 (76.1%)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110,533 (98.8%)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roofErr w:type="spellStart"/>
            <w:r w:rsidRPr="00B80276">
              <w:t>eGFR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≥90 mL/min/1.73m²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15,727 (14.1%)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5,592 (5.0%)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60-89 mL/min/1.73m²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40,030 (35.8%)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21,812 (19.5%)</w:t>
            </w:r>
          </w:p>
        </w:tc>
      </w:tr>
      <w:tr w:rsidR="000303DA" w:rsidRPr="00BC416E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>
              <w:t>30</w:t>
            </w:r>
            <w:r w:rsidRPr="00B80276">
              <w:t xml:space="preserve">-59 mL/min/1.73m²  </w:t>
            </w:r>
          </w:p>
        </w:tc>
        <w:tc>
          <w:tcPr>
            <w:tcW w:w="2126" w:type="dxa"/>
            <w:shd w:val="clear" w:color="auto" w:fill="auto"/>
          </w:tcPr>
          <w:p w:rsidR="000303DA" w:rsidRPr="006E4FF6" w:rsidRDefault="000303DA" w:rsidP="00781963">
            <w:pPr>
              <w:jc w:val="right"/>
            </w:pPr>
            <w:r w:rsidRPr="006E4FF6">
              <w:t>19,</w:t>
            </w:r>
            <w:r>
              <w:t>464</w:t>
            </w:r>
            <w:r w:rsidRPr="006E4FF6">
              <w:t xml:space="preserve"> (17.4%)</w:t>
            </w:r>
          </w:p>
        </w:tc>
        <w:tc>
          <w:tcPr>
            <w:tcW w:w="567" w:type="dxa"/>
            <w:shd w:val="clear" w:color="auto" w:fill="auto"/>
          </w:tcPr>
          <w:p w:rsidR="000303DA" w:rsidRPr="006E4FF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6E4FF6" w:rsidRDefault="000303DA" w:rsidP="00781963">
            <w:pPr>
              <w:jc w:val="right"/>
              <w:rPr>
                <w:lang w:val="nl-NL"/>
              </w:rPr>
            </w:pPr>
            <w:r w:rsidRPr="006E4FF6">
              <w:rPr>
                <w:lang w:val="nl-NL"/>
              </w:rPr>
              <w:t>10,</w:t>
            </w:r>
            <w:r>
              <w:rPr>
                <w:lang w:val="nl-NL"/>
              </w:rPr>
              <w:t>722</w:t>
            </w:r>
            <w:r w:rsidRPr="006E4FF6">
              <w:rPr>
                <w:lang w:val="nl-NL"/>
              </w:rPr>
              <w:t xml:space="preserve"> (9.</w:t>
            </w:r>
            <w:r>
              <w:rPr>
                <w:lang w:val="nl-NL"/>
              </w:rPr>
              <w:t>6</w:t>
            </w:r>
            <w:r w:rsidRPr="006E4FF6">
              <w:rPr>
                <w:lang w:val="nl-NL"/>
              </w:rPr>
              <w:t>%)</w:t>
            </w:r>
          </w:p>
        </w:tc>
      </w:tr>
      <w:tr w:rsidR="000303DA" w:rsidRPr="00BC416E" w:rsidTr="00781963">
        <w:tc>
          <w:tcPr>
            <w:tcW w:w="4359" w:type="dxa"/>
            <w:shd w:val="clear" w:color="auto" w:fill="auto"/>
          </w:tcPr>
          <w:p w:rsidR="000303DA" w:rsidRPr="00BC416E" w:rsidRDefault="000303DA" w:rsidP="00781963">
            <w:pPr>
              <w:ind w:firstLine="284"/>
              <w:rPr>
                <w:lang w:val="nl-NL"/>
              </w:rPr>
            </w:pPr>
            <w:r w:rsidRPr="00BC416E">
              <w:rPr>
                <w:lang w:val="nl-NL"/>
              </w:rPr>
              <w:t xml:space="preserve">    45-59 mL/min/1.73m²  </w:t>
            </w:r>
          </w:p>
        </w:tc>
        <w:tc>
          <w:tcPr>
            <w:tcW w:w="2126" w:type="dxa"/>
            <w:shd w:val="clear" w:color="auto" w:fill="auto"/>
          </w:tcPr>
          <w:p w:rsidR="000303DA" w:rsidRPr="00BC416E" w:rsidRDefault="000303DA" w:rsidP="00781963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14,363 (12.8%)</w:t>
            </w:r>
          </w:p>
        </w:tc>
        <w:tc>
          <w:tcPr>
            <w:tcW w:w="567" w:type="dxa"/>
            <w:shd w:val="clear" w:color="auto" w:fill="auto"/>
          </w:tcPr>
          <w:p w:rsidR="000303DA" w:rsidRPr="00BC416E" w:rsidRDefault="000303DA" w:rsidP="00781963">
            <w:pPr>
              <w:jc w:val="right"/>
              <w:rPr>
                <w:lang w:val="nl-NL"/>
              </w:rPr>
            </w:pPr>
          </w:p>
        </w:tc>
        <w:tc>
          <w:tcPr>
            <w:tcW w:w="2235" w:type="dxa"/>
            <w:shd w:val="clear" w:color="auto" w:fill="auto"/>
          </w:tcPr>
          <w:p w:rsidR="000303DA" w:rsidRPr="00BC416E" w:rsidRDefault="000303DA" w:rsidP="00781963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8,081 (7.2%)</w:t>
            </w:r>
          </w:p>
        </w:tc>
      </w:tr>
      <w:tr w:rsidR="000303DA" w:rsidRPr="00BC416E" w:rsidTr="00781963">
        <w:tc>
          <w:tcPr>
            <w:tcW w:w="4359" w:type="dxa"/>
            <w:shd w:val="clear" w:color="auto" w:fill="auto"/>
          </w:tcPr>
          <w:p w:rsidR="000303DA" w:rsidRPr="00BC416E" w:rsidRDefault="000303DA" w:rsidP="00781963">
            <w:pPr>
              <w:ind w:firstLine="284"/>
              <w:rPr>
                <w:lang w:val="nl-NL"/>
              </w:rPr>
            </w:pPr>
            <w:r w:rsidRPr="00BC416E">
              <w:rPr>
                <w:lang w:val="nl-NL"/>
              </w:rPr>
              <w:t xml:space="preserve">    30-45 mL/min/1.73m²  </w:t>
            </w:r>
          </w:p>
        </w:tc>
        <w:tc>
          <w:tcPr>
            <w:tcW w:w="2126" w:type="dxa"/>
            <w:shd w:val="clear" w:color="auto" w:fill="auto"/>
          </w:tcPr>
          <w:p w:rsidR="000303DA" w:rsidRPr="00BC416E" w:rsidRDefault="000303DA" w:rsidP="00781963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4,448 (4.0%)</w:t>
            </w:r>
          </w:p>
        </w:tc>
        <w:tc>
          <w:tcPr>
            <w:tcW w:w="567" w:type="dxa"/>
            <w:shd w:val="clear" w:color="auto" w:fill="auto"/>
          </w:tcPr>
          <w:p w:rsidR="000303DA" w:rsidRPr="00BC416E" w:rsidRDefault="000303DA" w:rsidP="00781963">
            <w:pPr>
              <w:jc w:val="right"/>
              <w:rPr>
                <w:lang w:val="nl-NL"/>
              </w:rPr>
            </w:pPr>
          </w:p>
        </w:tc>
        <w:tc>
          <w:tcPr>
            <w:tcW w:w="2235" w:type="dxa"/>
            <w:shd w:val="clear" w:color="auto" w:fill="auto"/>
          </w:tcPr>
          <w:p w:rsidR="000303DA" w:rsidRPr="00BC416E" w:rsidRDefault="000303DA" w:rsidP="00781963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2,108 (1.9%)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C416E">
              <w:rPr>
                <w:lang w:val="nl-NL"/>
              </w:rPr>
              <w:t>15-29 mL/min/1</w:t>
            </w:r>
            <w:r w:rsidRPr="00B80276">
              <w:t xml:space="preserve">.73m²  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786 (0.7%)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334 (0.3%)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 xml:space="preserve">&lt;15 mL/min/1.73m² 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97 (0.1%)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44 (0.0%)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Missing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35,774 (32.0%)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73,374 (65.6%)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r w:rsidRPr="00B80276">
              <w:t xml:space="preserve">Smoking status 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Never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66,685 (59.6%)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68,211 (61.0%)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Current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20,424 (18.3%)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21,391 (19.1%)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Ex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23,841 (21.3%)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20,247 (18.1%)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 xml:space="preserve">Missing 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928 (0.8%)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2,029 (1.8%)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r w:rsidRPr="00B80276">
              <w:t>Alcohol use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No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41,910 (37.5%)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26,877 (24.1%)</w:t>
            </w:r>
          </w:p>
        </w:tc>
      </w:tr>
      <w:tr w:rsidR="000303DA" w:rsidRPr="00B80276" w:rsidTr="00781963">
        <w:tc>
          <w:tcPr>
            <w:tcW w:w="4359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Yes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61,664 (55.1%)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72,882 (65.1%)</w:t>
            </w:r>
          </w:p>
        </w:tc>
      </w:tr>
      <w:tr w:rsidR="000303DA" w:rsidRPr="00B80276" w:rsidTr="00781963"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 xml:space="preserve">Missing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8,304 (7.4%)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12,119 (10.8%)</w:t>
            </w:r>
          </w:p>
        </w:tc>
      </w:tr>
    </w:tbl>
    <w:p w:rsidR="000303DA" w:rsidRDefault="000303DA" w:rsidP="000303DA">
      <w:pPr>
        <w:rPr>
          <w:color w:val="000000"/>
          <w:sz w:val="20"/>
          <w:lang w:eastAsia="nl-NL"/>
        </w:rPr>
      </w:pPr>
    </w:p>
    <w:tbl>
      <w:tblPr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3867"/>
        <w:gridCol w:w="2078"/>
        <w:gridCol w:w="547"/>
        <w:gridCol w:w="2579"/>
      </w:tblGrid>
      <w:tr w:rsidR="000303DA" w:rsidRPr="00B80276" w:rsidTr="00781963"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NIAD-users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Non-NIAD-users</w:t>
            </w:r>
          </w:p>
        </w:tc>
      </w:tr>
      <w:tr w:rsidR="000303DA" w:rsidRPr="00B80276" w:rsidTr="00781963"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rPr>
                <w:b/>
              </w:rPr>
            </w:pPr>
            <w:r w:rsidRPr="00B80276">
              <w:rPr>
                <w:b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N=</w:t>
            </w:r>
            <w:r>
              <w:rPr>
                <w:b/>
              </w:rPr>
              <w:t>111,878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center"/>
              <w:rPr>
                <w:b/>
              </w:rPr>
            </w:pPr>
            <w:r w:rsidRPr="00B80276">
              <w:rPr>
                <w:b/>
              </w:rPr>
              <w:t>N=</w:t>
            </w:r>
            <w:r>
              <w:rPr>
                <w:b/>
              </w:rPr>
              <w:t>111,878</w:t>
            </w:r>
          </w:p>
        </w:tc>
      </w:tr>
      <w:tr w:rsidR="000303DA" w:rsidRPr="00B80276" w:rsidTr="00781963"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r w:rsidRPr="00B80276">
              <w:t>History of diseases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Hypertension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44,388 (39.7%)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24,960 (22.3%)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Renal failure acute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296 (0.3%)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102 (0.1%)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Renal failure chronic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803 (0.7%)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361 (0.3%)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Renal failure total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1,061 (0.9%)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449 (0.4%)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Postmenopausal status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18,704 (16.7%)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21,242 (19.0%)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Oophorectomy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5,129 (4.6%)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4,243 (3.8%)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/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r w:rsidRPr="00B80276">
              <w:t>Drug use six months before index date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Thiazide diuretics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22,066 (19.7%)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16,104 (14.4%)</w:t>
            </w:r>
          </w:p>
        </w:tc>
      </w:tr>
      <w:tr w:rsidR="000303DA" w:rsidRPr="00B80276" w:rsidTr="00781963">
        <w:trPr>
          <w:trHeight w:val="299"/>
        </w:trPr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Loop diuretics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12,721 (11.4%)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6,272 (5.6%)</w:t>
            </w:r>
          </w:p>
        </w:tc>
      </w:tr>
      <w:tr w:rsidR="000303DA" w:rsidRPr="00B80276" w:rsidTr="00781963">
        <w:trPr>
          <w:trHeight w:val="299"/>
        </w:trPr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Low dose aspirin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47 (0.0%)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16 (0.0%)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>Statins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44,373 (39.7%)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15,500 (13.9%)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proofErr w:type="spellStart"/>
            <w:r w:rsidRPr="00B80276">
              <w:t>Ciclosporine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53 (0.0%)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44 (0.0%)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left="284"/>
            </w:pPr>
            <w:r w:rsidRPr="00B80276">
              <w:t>Tacrolimus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88 (0.1%)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50 (0.0%)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r>
              <w:t>Diabetes medication 6 months before index date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Default="000303DA" w:rsidP="00781963">
            <w:pPr>
              <w:jc w:val="right"/>
            </w:pP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>
              <w:t>Metformin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27,160 (24.3%)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n/a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proofErr w:type="spellStart"/>
            <w:r w:rsidRPr="00B80276">
              <w:t>Sulfonylureaderivatives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3,935 (3.5%)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n/a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proofErr w:type="spellStart"/>
            <w:r w:rsidRPr="00B80276">
              <w:t>Thiazolidinediones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16,466 (14.7%)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n/a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r w:rsidRPr="00B80276">
              <w:t xml:space="preserve">Insulin </w:t>
            </w:r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9,317 (8.3%)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n/a</w:t>
            </w:r>
          </w:p>
        </w:tc>
      </w:tr>
      <w:tr w:rsidR="000303DA" w:rsidRPr="00B80276" w:rsidTr="00781963">
        <w:tc>
          <w:tcPr>
            <w:tcW w:w="3935" w:type="dxa"/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proofErr w:type="spellStart"/>
            <w:r>
              <w:t>I</w:t>
            </w:r>
            <w:r w:rsidRPr="00B80276">
              <w:t>ncret</w:t>
            </w:r>
            <w:r>
              <w:t>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249 (0.2%)</w:t>
            </w:r>
          </w:p>
        </w:tc>
        <w:tc>
          <w:tcPr>
            <w:tcW w:w="567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n/a</w:t>
            </w:r>
          </w:p>
        </w:tc>
      </w:tr>
      <w:tr w:rsidR="000303DA" w:rsidRPr="00B80276" w:rsidTr="00781963"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ind w:firstLine="284"/>
            </w:pPr>
            <w:proofErr w:type="spellStart"/>
            <w:r>
              <w:t>M</w:t>
            </w:r>
            <w:r w:rsidRPr="00B80276">
              <w:t>eglitinides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341 (0.3%)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303DA" w:rsidRPr="00B80276" w:rsidRDefault="000303DA" w:rsidP="00781963">
            <w:pPr>
              <w:jc w:val="right"/>
            </w:pPr>
            <w:r>
              <w:t>n/a</w:t>
            </w:r>
          </w:p>
        </w:tc>
      </w:tr>
    </w:tbl>
    <w:p w:rsidR="000303DA" w:rsidRPr="00760C5A" w:rsidRDefault="000303DA" w:rsidP="000303DA">
      <w:pPr>
        <w:rPr>
          <w:color w:val="000000"/>
          <w:sz w:val="20"/>
          <w:lang w:eastAsia="nl-NL"/>
        </w:rPr>
      </w:pPr>
    </w:p>
    <w:p w:rsidR="000303DA" w:rsidRPr="00760C5A" w:rsidRDefault="000303DA" w:rsidP="000303DA">
      <w:pPr>
        <w:rPr>
          <w:color w:val="000000"/>
          <w:sz w:val="20"/>
          <w:lang w:eastAsia="nl-NL"/>
        </w:rPr>
      </w:pPr>
    </w:p>
    <w:p w:rsidR="000303DA" w:rsidRPr="003F329E" w:rsidRDefault="000303DA" w:rsidP="000303DA">
      <w:pPr>
        <w:rPr>
          <w:color w:val="000000"/>
          <w:lang w:eastAsia="nl-NL"/>
        </w:rPr>
      </w:pPr>
    </w:p>
    <w:p w:rsidR="000303DA" w:rsidRDefault="000303DA" w:rsidP="000303DA"/>
    <w:p w:rsidR="001C7BC1" w:rsidRDefault="001C7BC1">
      <w:bookmarkStart w:id="0" w:name="_GoBack"/>
      <w:bookmarkEnd w:id="0"/>
    </w:p>
    <w:sectPr w:rsidR="001C7BC1" w:rsidSect="007D385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A"/>
    <w:rsid w:val="000205E6"/>
    <w:rsid w:val="000241DA"/>
    <w:rsid w:val="000303DA"/>
    <w:rsid w:val="000322BF"/>
    <w:rsid w:val="00035516"/>
    <w:rsid w:val="000375A2"/>
    <w:rsid w:val="00044896"/>
    <w:rsid w:val="00045814"/>
    <w:rsid w:val="00061F5A"/>
    <w:rsid w:val="00065ECF"/>
    <w:rsid w:val="000709B2"/>
    <w:rsid w:val="00070EDC"/>
    <w:rsid w:val="00073795"/>
    <w:rsid w:val="000834B3"/>
    <w:rsid w:val="00085E3B"/>
    <w:rsid w:val="00093523"/>
    <w:rsid w:val="000B40A6"/>
    <w:rsid w:val="000C0B2C"/>
    <w:rsid w:val="000D2C55"/>
    <w:rsid w:val="000D709D"/>
    <w:rsid w:val="00100818"/>
    <w:rsid w:val="00104AD7"/>
    <w:rsid w:val="0011129B"/>
    <w:rsid w:val="00124D2E"/>
    <w:rsid w:val="00126D6C"/>
    <w:rsid w:val="0012783C"/>
    <w:rsid w:val="00140EF0"/>
    <w:rsid w:val="0014166E"/>
    <w:rsid w:val="00142EB4"/>
    <w:rsid w:val="00157B11"/>
    <w:rsid w:val="001619DD"/>
    <w:rsid w:val="001702BB"/>
    <w:rsid w:val="001707C9"/>
    <w:rsid w:val="00171E72"/>
    <w:rsid w:val="00171F19"/>
    <w:rsid w:val="00185F6C"/>
    <w:rsid w:val="00195222"/>
    <w:rsid w:val="00195662"/>
    <w:rsid w:val="00195BA7"/>
    <w:rsid w:val="00197129"/>
    <w:rsid w:val="001A14C7"/>
    <w:rsid w:val="001A3A19"/>
    <w:rsid w:val="001A63D1"/>
    <w:rsid w:val="001A7D5C"/>
    <w:rsid w:val="001B39BF"/>
    <w:rsid w:val="001C51C1"/>
    <w:rsid w:val="001C7BC1"/>
    <w:rsid w:val="001F427C"/>
    <w:rsid w:val="001F5D10"/>
    <w:rsid w:val="00207DEC"/>
    <w:rsid w:val="0021230F"/>
    <w:rsid w:val="00227666"/>
    <w:rsid w:val="00231117"/>
    <w:rsid w:val="00236017"/>
    <w:rsid w:val="00240C57"/>
    <w:rsid w:val="00245034"/>
    <w:rsid w:val="00245FF5"/>
    <w:rsid w:val="00254B23"/>
    <w:rsid w:val="00256496"/>
    <w:rsid w:val="00267994"/>
    <w:rsid w:val="00277BA1"/>
    <w:rsid w:val="00281897"/>
    <w:rsid w:val="00286D45"/>
    <w:rsid w:val="002914C1"/>
    <w:rsid w:val="002919D3"/>
    <w:rsid w:val="0029626A"/>
    <w:rsid w:val="0029648A"/>
    <w:rsid w:val="002A6361"/>
    <w:rsid w:val="002B2736"/>
    <w:rsid w:val="002B4E0B"/>
    <w:rsid w:val="002C0310"/>
    <w:rsid w:val="002C1944"/>
    <w:rsid w:val="002C2E4C"/>
    <w:rsid w:val="002C47BC"/>
    <w:rsid w:val="002D1989"/>
    <w:rsid w:val="002D1BEB"/>
    <w:rsid w:val="002F1850"/>
    <w:rsid w:val="002F2912"/>
    <w:rsid w:val="002F4CF1"/>
    <w:rsid w:val="003011A0"/>
    <w:rsid w:val="00302E46"/>
    <w:rsid w:val="0030456B"/>
    <w:rsid w:val="00311EE4"/>
    <w:rsid w:val="00323437"/>
    <w:rsid w:val="00324C13"/>
    <w:rsid w:val="00330383"/>
    <w:rsid w:val="00336513"/>
    <w:rsid w:val="00341B49"/>
    <w:rsid w:val="00351080"/>
    <w:rsid w:val="0035321C"/>
    <w:rsid w:val="00355BB6"/>
    <w:rsid w:val="0037388E"/>
    <w:rsid w:val="00376DC7"/>
    <w:rsid w:val="00381083"/>
    <w:rsid w:val="00382711"/>
    <w:rsid w:val="0039721C"/>
    <w:rsid w:val="003B468B"/>
    <w:rsid w:val="003B55CB"/>
    <w:rsid w:val="003B6C93"/>
    <w:rsid w:val="003D16DB"/>
    <w:rsid w:val="003D4004"/>
    <w:rsid w:val="003E66CC"/>
    <w:rsid w:val="003E6B1A"/>
    <w:rsid w:val="0041153D"/>
    <w:rsid w:val="004174D2"/>
    <w:rsid w:val="00424CE2"/>
    <w:rsid w:val="00425F7C"/>
    <w:rsid w:val="00432C4B"/>
    <w:rsid w:val="00436DD3"/>
    <w:rsid w:val="00437348"/>
    <w:rsid w:val="00440CFA"/>
    <w:rsid w:val="00497BCF"/>
    <w:rsid w:val="004A7F61"/>
    <w:rsid w:val="004B5885"/>
    <w:rsid w:val="004B6DFB"/>
    <w:rsid w:val="004C1D8C"/>
    <w:rsid w:val="004D51EF"/>
    <w:rsid w:val="004E18A8"/>
    <w:rsid w:val="004E2EBD"/>
    <w:rsid w:val="004F27E9"/>
    <w:rsid w:val="004F5E11"/>
    <w:rsid w:val="005175BA"/>
    <w:rsid w:val="005253DC"/>
    <w:rsid w:val="0053219F"/>
    <w:rsid w:val="00541A40"/>
    <w:rsid w:val="0057178E"/>
    <w:rsid w:val="00581910"/>
    <w:rsid w:val="005A20C3"/>
    <w:rsid w:val="005A2E49"/>
    <w:rsid w:val="005B4313"/>
    <w:rsid w:val="005C1132"/>
    <w:rsid w:val="005D1439"/>
    <w:rsid w:val="005E2E2A"/>
    <w:rsid w:val="0060720D"/>
    <w:rsid w:val="00607AA4"/>
    <w:rsid w:val="006102AB"/>
    <w:rsid w:val="0061053A"/>
    <w:rsid w:val="006126B9"/>
    <w:rsid w:val="006134E0"/>
    <w:rsid w:val="00615754"/>
    <w:rsid w:val="006526F2"/>
    <w:rsid w:val="00656F74"/>
    <w:rsid w:val="00657EF6"/>
    <w:rsid w:val="006605F6"/>
    <w:rsid w:val="00671454"/>
    <w:rsid w:val="0067791D"/>
    <w:rsid w:val="006872E8"/>
    <w:rsid w:val="006A58D3"/>
    <w:rsid w:val="006A7578"/>
    <w:rsid w:val="006D068D"/>
    <w:rsid w:val="006D12F5"/>
    <w:rsid w:val="006D4905"/>
    <w:rsid w:val="006E0B92"/>
    <w:rsid w:val="006F1011"/>
    <w:rsid w:val="006F5A08"/>
    <w:rsid w:val="006F73A9"/>
    <w:rsid w:val="00700827"/>
    <w:rsid w:val="00702A10"/>
    <w:rsid w:val="007109E7"/>
    <w:rsid w:val="00727B2F"/>
    <w:rsid w:val="00730480"/>
    <w:rsid w:val="00740383"/>
    <w:rsid w:val="00761C92"/>
    <w:rsid w:val="0076482F"/>
    <w:rsid w:val="00775BFD"/>
    <w:rsid w:val="00782EEF"/>
    <w:rsid w:val="007A1833"/>
    <w:rsid w:val="007A62E5"/>
    <w:rsid w:val="007B1766"/>
    <w:rsid w:val="007C6A22"/>
    <w:rsid w:val="007E3946"/>
    <w:rsid w:val="007E3CE0"/>
    <w:rsid w:val="007E7E43"/>
    <w:rsid w:val="007F286C"/>
    <w:rsid w:val="007F5622"/>
    <w:rsid w:val="008017D1"/>
    <w:rsid w:val="00817711"/>
    <w:rsid w:val="00817EAD"/>
    <w:rsid w:val="00820F0F"/>
    <w:rsid w:val="00831EB0"/>
    <w:rsid w:val="00840FFE"/>
    <w:rsid w:val="008423EE"/>
    <w:rsid w:val="008467C9"/>
    <w:rsid w:val="0085243B"/>
    <w:rsid w:val="00854FE6"/>
    <w:rsid w:val="008644FD"/>
    <w:rsid w:val="008654BF"/>
    <w:rsid w:val="0087127A"/>
    <w:rsid w:val="0088099C"/>
    <w:rsid w:val="008833B0"/>
    <w:rsid w:val="00886590"/>
    <w:rsid w:val="00893222"/>
    <w:rsid w:val="00894E72"/>
    <w:rsid w:val="008B670D"/>
    <w:rsid w:val="008C0130"/>
    <w:rsid w:val="008C03C7"/>
    <w:rsid w:val="008D0CB8"/>
    <w:rsid w:val="008D1795"/>
    <w:rsid w:val="008F100C"/>
    <w:rsid w:val="00903899"/>
    <w:rsid w:val="00921222"/>
    <w:rsid w:val="0093010D"/>
    <w:rsid w:val="0093419F"/>
    <w:rsid w:val="00935AAA"/>
    <w:rsid w:val="009512A2"/>
    <w:rsid w:val="00952277"/>
    <w:rsid w:val="009613C7"/>
    <w:rsid w:val="00965100"/>
    <w:rsid w:val="0096606B"/>
    <w:rsid w:val="0098628B"/>
    <w:rsid w:val="009906A9"/>
    <w:rsid w:val="009B4A9B"/>
    <w:rsid w:val="009C4EC1"/>
    <w:rsid w:val="009C5C58"/>
    <w:rsid w:val="009E459D"/>
    <w:rsid w:val="00A22B3F"/>
    <w:rsid w:val="00A22E22"/>
    <w:rsid w:val="00A2450B"/>
    <w:rsid w:val="00A25843"/>
    <w:rsid w:val="00A25DC9"/>
    <w:rsid w:val="00A26339"/>
    <w:rsid w:val="00A2715C"/>
    <w:rsid w:val="00A27822"/>
    <w:rsid w:val="00A3725F"/>
    <w:rsid w:val="00A405A2"/>
    <w:rsid w:val="00A658A8"/>
    <w:rsid w:val="00A674BD"/>
    <w:rsid w:val="00A8286A"/>
    <w:rsid w:val="00A87D35"/>
    <w:rsid w:val="00A9024E"/>
    <w:rsid w:val="00A90B9B"/>
    <w:rsid w:val="00A94E3A"/>
    <w:rsid w:val="00AB3AA3"/>
    <w:rsid w:val="00AB78FD"/>
    <w:rsid w:val="00AC027E"/>
    <w:rsid w:val="00AC15D0"/>
    <w:rsid w:val="00AD20AB"/>
    <w:rsid w:val="00AD6B13"/>
    <w:rsid w:val="00AF625F"/>
    <w:rsid w:val="00B0039B"/>
    <w:rsid w:val="00B03207"/>
    <w:rsid w:val="00B13E97"/>
    <w:rsid w:val="00B14672"/>
    <w:rsid w:val="00B2259E"/>
    <w:rsid w:val="00B24D06"/>
    <w:rsid w:val="00B325A5"/>
    <w:rsid w:val="00B35412"/>
    <w:rsid w:val="00B50447"/>
    <w:rsid w:val="00B517A3"/>
    <w:rsid w:val="00B53019"/>
    <w:rsid w:val="00B53985"/>
    <w:rsid w:val="00B5537B"/>
    <w:rsid w:val="00B61BC7"/>
    <w:rsid w:val="00B66DD5"/>
    <w:rsid w:val="00B670ED"/>
    <w:rsid w:val="00B93963"/>
    <w:rsid w:val="00BA3D74"/>
    <w:rsid w:val="00BC0531"/>
    <w:rsid w:val="00BD07DE"/>
    <w:rsid w:val="00BD583A"/>
    <w:rsid w:val="00BD7E15"/>
    <w:rsid w:val="00BF206B"/>
    <w:rsid w:val="00C039E3"/>
    <w:rsid w:val="00C24901"/>
    <w:rsid w:val="00C27A13"/>
    <w:rsid w:val="00C370B0"/>
    <w:rsid w:val="00C41663"/>
    <w:rsid w:val="00C50ACB"/>
    <w:rsid w:val="00C52C36"/>
    <w:rsid w:val="00C54BFB"/>
    <w:rsid w:val="00C65880"/>
    <w:rsid w:val="00C73FA2"/>
    <w:rsid w:val="00C768A2"/>
    <w:rsid w:val="00C76AE8"/>
    <w:rsid w:val="00C8066C"/>
    <w:rsid w:val="00C90548"/>
    <w:rsid w:val="00C94E36"/>
    <w:rsid w:val="00C94F5C"/>
    <w:rsid w:val="00C96F24"/>
    <w:rsid w:val="00CB3FB7"/>
    <w:rsid w:val="00CC699B"/>
    <w:rsid w:val="00CE4290"/>
    <w:rsid w:val="00CE6D96"/>
    <w:rsid w:val="00CF2624"/>
    <w:rsid w:val="00CF2B67"/>
    <w:rsid w:val="00D14B9D"/>
    <w:rsid w:val="00D17CE7"/>
    <w:rsid w:val="00D32181"/>
    <w:rsid w:val="00D36AE5"/>
    <w:rsid w:val="00D37B2E"/>
    <w:rsid w:val="00D41828"/>
    <w:rsid w:val="00D575BB"/>
    <w:rsid w:val="00D61012"/>
    <w:rsid w:val="00D63E7F"/>
    <w:rsid w:val="00D76498"/>
    <w:rsid w:val="00D77D70"/>
    <w:rsid w:val="00D94B0A"/>
    <w:rsid w:val="00D97D9E"/>
    <w:rsid w:val="00DC6314"/>
    <w:rsid w:val="00DC7DD3"/>
    <w:rsid w:val="00DE174E"/>
    <w:rsid w:val="00E04755"/>
    <w:rsid w:val="00E14AC1"/>
    <w:rsid w:val="00E17D17"/>
    <w:rsid w:val="00E24967"/>
    <w:rsid w:val="00E26BD6"/>
    <w:rsid w:val="00E303DA"/>
    <w:rsid w:val="00E31F3A"/>
    <w:rsid w:val="00E32B4B"/>
    <w:rsid w:val="00E3587B"/>
    <w:rsid w:val="00E84308"/>
    <w:rsid w:val="00E849AE"/>
    <w:rsid w:val="00EB515C"/>
    <w:rsid w:val="00EE3479"/>
    <w:rsid w:val="00EE5324"/>
    <w:rsid w:val="00EE6237"/>
    <w:rsid w:val="00EF6BE0"/>
    <w:rsid w:val="00F01AEF"/>
    <w:rsid w:val="00F02BD2"/>
    <w:rsid w:val="00F038CB"/>
    <w:rsid w:val="00F1099C"/>
    <w:rsid w:val="00F14DDE"/>
    <w:rsid w:val="00F15E32"/>
    <w:rsid w:val="00F167A6"/>
    <w:rsid w:val="00F2278D"/>
    <w:rsid w:val="00F23056"/>
    <w:rsid w:val="00F24FDC"/>
    <w:rsid w:val="00F26CEE"/>
    <w:rsid w:val="00F2798D"/>
    <w:rsid w:val="00F27E0F"/>
    <w:rsid w:val="00F302DE"/>
    <w:rsid w:val="00F30F7B"/>
    <w:rsid w:val="00F320A5"/>
    <w:rsid w:val="00F4346E"/>
    <w:rsid w:val="00F434EB"/>
    <w:rsid w:val="00F521C7"/>
    <w:rsid w:val="00F67B8E"/>
    <w:rsid w:val="00F7010E"/>
    <w:rsid w:val="00F77228"/>
    <w:rsid w:val="00F9504E"/>
    <w:rsid w:val="00F95236"/>
    <w:rsid w:val="00FA5D73"/>
    <w:rsid w:val="00FA7B6C"/>
    <w:rsid w:val="00FB0F03"/>
    <w:rsid w:val="00FC4156"/>
    <w:rsid w:val="00FE09A6"/>
    <w:rsid w:val="00FE4D74"/>
    <w:rsid w:val="00FF102C"/>
    <w:rsid w:val="00FF26F5"/>
    <w:rsid w:val="00FF3126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A171-BC73-46BF-BA12-1A7ED7C3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Durme</dc:creator>
  <cp:keywords/>
  <dc:description/>
  <cp:lastModifiedBy>Caroline van Durme</cp:lastModifiedBy>
  <cp:revision>1</cp:revision>
  <dcterms:created xsi:type="dcterms:W3CDTF">2015-07-09T12:17:00Z</dcterms:created>
  <dcterms:modified xsi:type="dcterms:W3CDTF">2015-07-09T12:17:00Z</dcterms:modified>
</cp:coreProperties>
</file>