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0" w:rsidRDefault="00F54DE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 Seroprotection rate with a threshold of 1:40, according to the number of prior vaccinated seasons among 2- and 3-year-olds who had received vaccines 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 least 1 previous season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538"/>
        <w:gridCol w:w="268"/>
        <w:gridCol w:w="403"/>
        <w:gridCol w:w="674"/>
        <w:gridCol w:w="538"/>
        <w:gridCol w:w="809"/>
        <w:gridCol w:w="538"/>
        <w:gridCol w:w="810"/>
        <w:gridCol w:w="236"/>
        <w:gridCol w:w="484"/>
        <w:gridCol w:w="630"/>
        <w:gridCol w:w="484"/>
        <w:gridCol w:w="736"/>
        <w:gridCol w:w="539"/>
        <w:gridCol w:w="812"/>
        <w:gridCol w:w="236"/>
        <w:gridCol w:w="484"/>
        <w:gridCol w:w="630"/>
        <w:gridCol w:w="484"/>
        <w:gridCol w:w="730"/>
        <w:gridCol w:w="484"/>
        <w:gridCol w:w="616"/>
      </w:tblGrid>
      <w:tr w:rsidR="00F54DE0">
        <w:trPr>
          <w:cantSplit/>
        </w:trPr>
        <w:tc>
          <w:tcPr>
            <w:tcW w:w="590" w:type="pct"/>
            <w:vMerge w:val="restart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 w:val="restart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8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AH3</w:t>
            </w:r>
          </w:p>
        </w:tc>
        <w:tc>
          <w:tcPr>
            <w:tcW w:w="8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54DE0">
        <w:trPr>
          <w:cantSplit/>
        </w:trPr>
        <w:tc>
          <w:tcPr>
            <w:tcW w:w="59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4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9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4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F54DE0">
        <w:trPr>
          <w:cantSplit/>
        </w:trPr>
        <w:tc>
          <w:tcPr>
            <w:tcW w:w="59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54DE0"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2-year-olds</w:t>
            </w: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Number of prior vaccinated seasons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season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seasons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3-year-olds</w:t>
            </w: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Number of prior vaccinated seasons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season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seasons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 seasons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F54DE0">
        <w:tc>
          <w:tcPr>
            <w:tcW w:w="590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321"/>
                <w:tab w:val="left" w:pos="462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79"/>
                <w:tab w:val="left" w:pos="4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N: number of subjects S1: post first vaccination titer; S2: post second vaccination titer;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Chi-squared test, Cochran-Armitage trend test or exact method; NA: not applicable due to zeros.</w:t>
            </w:r>
          </w:p>
        </w:tc>
      </w:tr>
    </w:tbl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snapToGrid w:val="0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Supplementary Table 2.  Effect estimates of age on seroprotection rate with a threshold of 1:40, without adjustment of prior vaccination status</w:t>
      </w:r>
    </w:p>
    <w:tbl>
      <w:tblPr>
        <w:tblW w:w="5005" w:type="pct"/>
        <w:tblInd w:w="-106" w:type="dxa"/>
        <w:tblBorders>
          <w:top w:val="single" w:sz="4" w:space="0" w:color="auto"/>
        </w:tblBorders>
        <w:tblLook w:val="0000"/>
      </w:tblPr>
      <w:tblGrid>
        <w:gridCol w:w="1723"/>
        <w:gridCol w:w="1058"/>
        <w:gridCol w:w="1246"/>
        <w:gridCol w:w="606"/>
        <w:gridCol w:w="1219"/>
        <w:gridCol w:w="236"/>
        <w:gridCol w:w="714"/>
        <w:gridCol w:w="1178"/>
        <w:gridCol w:w="714"/>
        <w:gridCol w:w="1073"/>
        <w:gridCol w:w="239"/>
        <w:gridCol w:w="645"/>
        <w:gridCol w:w="1296"/>
        <w:gridCol w:w="697"/>
        <w:gridCol w:w="1136"/>
        <w:gridCol w:w="22"/>
      </w:tblGrid>
      <w:tr w:rsidR="00F54DE0">
        <w:trPr>
          <w:gridAfter w:val="1"/>
          <w:wAfter w:w="14" w:type="dxa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43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 OR</w:t>
            </w:r>
            <w:r>
              <w:rPr>
                <w:rFonts w:ascii="Century" w:hAnsi="Century" w:cs="Century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 for 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F54DE0"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rPr>
          <w:gridAfter w:val="1"/>
          <w:wAfter w:w="14" w:type="dxa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Age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1-year-olds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2-year-olds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(2.1-10)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(0.9-7.3)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(1.0-5.2)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(2.7-19)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(1.2-13)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(0.3-1.3)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3-year-olds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(6.4-88)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(2.7-285)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(1.6-9.6)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(1.3-7.9)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(2.7-25)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(0.6-2.4)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rPr>
          <w:gridAfter w:val="1"/>
          <w:wAfter w:w="14" w:type="dxa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Prevaccination HI antibody titer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&lt; 1:10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1:10 - 1:20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(1.2-5.5)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(0.5-3.8)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(1.7-20)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(0.5-4.1)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(4.2-41)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(3.8-54)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≥1:40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(2.1-237)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(0.4-55)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(14-272)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(6.6-221)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rPr>
          <w:gridAfter w:val="1"/>
          <w:wAfter w:w="14" w:type="dxa"/>
        </w:trPr>
        <w:tc>
          <w:tcPr>
            <w:tcW w:w="49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Febrile respiratory illness in the preceding season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(0.7-3.0)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(0.2-1.1)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(0.5-2.0)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(0.7-3.0)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(0.98-4.6)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(0.6-1.9)</w:t>
            </w:r>
          </w:p>
        </w:tc>
      </w:tr>
      <w:tr w:rsidR="00F54DE0"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rPr>
          <w:gridAfter w:val="1"/>
          <w:wAfter w:w="14" w:type="dxa"/>
        </w:trPr>
        <w:tc>
          <w:tcPr>
            <w:tcW w:w="499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S1: post vaccination titer after the first dose; S2: post vaccination titer after the second dose; NA: not applicable due to the small number of subjects whose prevaccination titer was ≥1:40 (no subject in 1- to 2-year-old group and 2 subjects in 3-year-old group).</w:t>
            </w:r>
          </w:p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Model included all variables shown in the table;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Wald chi-square test for the model parameter.</w:t>
            </w:r>
          </w:p>
        </w:tc>
      </w:tr>
    </w:tbl>
    <w:p w:rsidR="00F54DE0" w:rsidRDefault="00F54DE0">
      <w:pPr>
        <w:snapToGrid w:val="0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Supplementary Table</w:t>
      </w:r>
      <w:r>
        <w:rPr>
          <w:rFonts w:ascii="Times New Roman" w:hAnsi="Times New Roman" w:cs="Times New Roman"/>
          <w:sz w:val="24"/>
          <w:szCs w:val="24"/>
        </w:rPr>
        <w:t xml:space="preserve"> 3.  Seroprotection rate with a threshold of 1:160 according to prior vaccination within each age stratum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516"/>
        <w:gridCol w:w="251"/>
        <w:gridCol w:w="516"/>
        <w:gridCol w:w="631"/>
        <w:gridCol w:w="516"/>
        <w:gridCol w:w="631"/>
        <w:gridCol w:w="516"/>
        <w:gridCol w:w="747"/>
        <w:gridCol w:w="248"/>
        <w:gridCol w:w="516"/>
        <w:gridCol w:w="631"/>
        <w:gridCol w:w="516"/>
        <w:gridCol w:w="631"/>
        <w:gridCol w:w="516"/>
        <w:gridCol w:w="634"/>
        <w:gridCol w:w="248"/>
        <w:gridCol w:w="516"/>
        <w:gridCol w:w="631"/>
        <w:gridCol w:w="516"/>
        <w:gridCol w:w="631"/>
        <w:gridCol w:w="516"/>
        <w:gridCol w:w="631"/>
      </w:tblGrid>
      <w:tr w:rsidR="00F54DE0">
        <w:trPr>
          <w:cantSplit/>
        </w:trPr>
        <w:tc>
          <w:tcPr>
            <w:tcW w:w="755" w:type="pct"/>
            <w:vMerge w:val="restart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AH3</w:t>
            </w: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6"/>
            <w:tcBorders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54DE0">
        <w:trPr>
          <w:cantSplit/>
        </w:trPr>
        <w:tc>
          <w:tcPr>
            <w:tcW w:w="755" w:type="pct"/>
            <w:vMerge/>
            <w:tcBorders>
              <w:top w:val="nil"/>
              <w:left w:val="nil"/>
              <w:right w:val="nil"/>
            </w:tcBorders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5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4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F54DE0">
        <w:trPr>
          <w:cantSplit/>
        </w:trPr>
        <w:tc>
          <w:tcPr>
            <w:tcW w:w="755" w:type="pct"/>
            <w:vMerge/>
            <w:tcBorders>
              <w:top w:val="nil"/>
              <w:left w:val="nil"/>
              <w:right w:val="nil"/>
            </w:tcBorders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54DE0"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105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0-year-olds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1-year-olds</w:t>
            </w: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2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Vaccination in the preceding season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Never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Vaccinated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2-year-olds</w:t>
            </w: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2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Vaccination during the prior 2 seasons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Never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3-year-olds</w:t>
            </w:r>
          </w:p>
        </w:tc>
      </w:tr>
      <w:tr w:rsidR="00F54DE0"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2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Vaccination during the prior 3 seasons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Never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p-value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.99</w:t>
            </w:r>
          </w:p>
        </w:tc>
      </w:tr>
      <w:tr w:rsidR="00F54DE0">
        <w:tc>
          <w:tcPr>
            <w:tcW w:w="755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tabs>
                <w:tab w:val="left" w:pos="321"/>
                <w:tab w:val="left" w:pos="6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 number of subjects; S0: baseline titer; S1: post vaccination titer after the first dose; S2: post vaccination titer after the second dose; NA: not applicable due to zeros.</w:t>
            </w:r>
          </w:p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*: Subjects were categorized as “Vaccinated”,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they had received IIV in at least 1 of the prior seasons; #: Chi-squared test or Fisher’s exact method.</w:t>
            </w:r>
          </w:p>
        </w:tc>
      </w:tr>
    </w:tbl>
    <w:p w:rsidR="00F54DE0" w:rsidRDefault="00F54DE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snapToGrid w:val="0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Supplementary Table 4.  Effect estimates of prior vaccination on seroprotection rate with a threshold of 1:160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2210"/>
        <w:gridCol w:w="667"/>
        <w:gridCol w:w="1131"/>
        <w:gridCol w:w="667"/>
        <w:gridCol w:w="1131"/>
        <w:gridCol w:w="305"/>
        <w:gridCol w:w="667"/>
        <w:gridCol w:w="1131"/>
        <w:gridCol w:w="667"/>
        <w:gridCol w:w="1228"/>
        <w:gridCol w:w="305"/>
        <w:gridCol w:w="667"/>
        <w:gridCol w:w="1172"/>
        <w:gridCol w:w="667"/>
        <w:gridCol w:w="1173"/>
      </w:tblGrid>
      <w:tr w:rsidR="00F54DE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 OR</w:t>
            </w:r>
            <w:r>
              <w:rPr>
                <w:rFonts w:ascii="Century" w:hAnsi="Century" w:cs="Century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 for 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160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F54DE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Vaccination during the prior 3 seasons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Vaccinated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(2.7-22)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(0.3-1.3)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(5.6-73)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(3.0-25)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(0.2-2.9)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Age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1-year-olds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2-year-olds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(1.0-5.5)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(0.1-1.3)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(1.0-141)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3-year-olds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(1.3-7.7)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(0.1-1.2)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(0.2-1.9)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(1.7-250)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Prevaccination HI antibody titer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&lt; 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1:10 - 1:20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(1.4-15)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(3.6-48)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(4.6-44)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≥1:40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(4.0-66)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(2.1-18)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ind w:rightChars="-17" w:right="-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(16-1932)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(0.4-319)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Febrile respiratory illness in the preceding season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(1.1-7.1)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(0.5-4.3)</w:t>
            </w:r>
          </w:p>
        </w:tc>
      </w:tr>
      <w:tr w:rsidR="00F54DE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S1: post vaccination titer after the first dose; S2: post vaccination titer after the second dose; NA: not applicable due to the small number of subjects at least one of categories.</w:t>
            </w:r>
          </w:p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*: Subjects were categorized as “Vaccinated”,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they had received IIV in at least 1 of the prior seasons; </w:t>
            </w:r>
            <w:r>
              <w:rPr>
                <w:rFonts w:ascii="Century" w:hAnsi="Century" w:cs="Century"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Model included all variables shown in the table; </w:t>
            </w:r>
            <w:r>
              <w:rPr>
                <w:rFonts w:ascii="Century" w:hAnsi="Century" w:cs="Century"/>
                <w:sz w:val="24"/>
                <w:szCs w:val="24"/>
              </w:rPr>
              <w:t>‡: Wald chi-square test for the model parameter.</w:t>
            </w:r>
          </w:p>
        </w:tc>
      </w:tr>
    </w:tbl>
    <w:p w:rsidR="00F54DE0" w:rsidRDefault="00F54DE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snapToGrid w:val="0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Supplementary Table 5.  Effect estimates of age on seroprotection rate with a threshold of 1:160, without adjustment of prior vaccination status</w:t>
      </w:r>
    </w:p>
    <w:tbl>
      <w:tblPr>
        <w:tblW w:w="5000" w:type="pct"/>
        <w:tblInd w:w="-106" w:type="dxa"/>
        <w:tblBorders>
          <w:top w:val="single" w:sz="4" w:space="0" w:color="auto"/>
        </w:tblBorders>
        <w:tblLook w:val="0000"/>
      </w:tblPr>
      <w:tblGrid>
        <w:gridCol w:w="1730"/>
        <w:gridCol w:w="1062"/>
        <w:gridCol w:w="1236"/>
        <w:gridCol w:w="624"/>
        <w:gridCol w:w="1220"/>
        <w:gridCol w:w="236"/>
        <w:gridCol w:w="715"/>
        <w:gridCol w:w="1179"/>
        <w:gridCol w:w="716"/>
        <w:gridCol w:w="1074"/>
        <w:gridCol w:w="236"/>
        <w:gridCol w:w="595"/>
        <w:gridCol w:w="1149"/>
        <w:gridCol w:w="851"/>
        <w:gridCol w:w="1165"/>
      </w:tblGrid>
      <w:tr w:rsidR="00F54DE0"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43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 OR</w:t>
            </w:r>
            <w:r>
              <w:rPr>
                <w:rFonts w:ascii="Century" w:hAnsi="Century" w:cs="Century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(95% CI) for 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160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AH3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F54DE0"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Age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1-year-olds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2-year-olds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(0.7-3.9)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(0.9-4.1)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(0.4-3.3)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(0.7-5.0)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(0.9-118)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3-year-olds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(1.5-8.4)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(1.1-5.1)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(0.6-4.8)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(0.7-5.1)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(1.7-192)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Prevaccination HI antibody titer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&lt; 1:10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1:10 - 1:20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(1.8-17)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(0.6-2.7)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(0.6-59)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(3.3-41)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(4.6-43)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≥1:40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(4.8-68)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(1.9-15)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(14-1430)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(0.4-346)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 trend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.01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Febrile respiratory illness in the preceding season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(0.7-2.7)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(0.5-1.6)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(1.1-6.2)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(1.2-6.1)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(0.4-5.3)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F54DE0" w:rsidRDefault="00F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(0.5-4.4)</w:t>
            </w:r>
          </w:p>
        </w:tc>
      </w:tr>
      <w:tr w:rsidR="00F54DE0"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eastAsia="Yu Gothic UI Semibold" w:hAnsi="Times New Roman" w:cstheme="minorBidi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DE0" w:rsidRDefault="00F54DE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E0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S1: post vaccination titer after the first dose; S2: post vaccination titer after the second dose; NA: not applicable due to the small number of subjects at least one of categories.</w:t>
            </w:r>
          </w:p>
          <w:p w:rsidR="00F54DE0" w:rsidRDefault="00F54D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Model included all variables shown in the table; 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Wald chi-square test for the model parameter.</w:t>
            </w:r>
          </w:p>
        </w:tc>
      </w:tr>
    </w:tbl>
    <w:p w:rsidR="00F54DE0" w:rsidRDefault="00F54DE0">
      <w:pPr>
        <w:snapToGrid w:val="0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p w:rsidR="00F54DE0" w:rsidRDefault="00F54DE0">
      <w:pPr>
        <w:widowControl/>
        <w:jc w:val="left"/>
        <w:rPr>
          <w:rFonts w:ascii="Times New Roman" w:eastAsia="Yu Gothic UI Semibold" w:hAnsi="Times New Roman" w:cstheme="minorBidi"/>
          <w:sz w:val="24"/>
          <w:szCs w:val="24"/>
        </w:rPr>
      </w:pPr>
    </w:p>
    <w:sectPr w:rsidR="00F54DE0" w:rsidSect="00F54DE0">
      <w:pgSz w:w="15840" w:h="12240" w:orient="landscape" w:code="1"/>
      <w:pgMar w:top="907" w:right="1134" w:bottom="568" w:left="1134" w:header="567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E0" w:rsidRDefault="00F5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4DE0" w:rsidRDefault="00F5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?????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UI Semibold">
    <w:altName w:val="MS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E0" w:rsidRDefault="00F5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4DE0" w:rsidRDefault="00F54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E0"/>
    <w:rsid w:val="00F5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???" w:eastAsia="???" w:hAnsi="???" w:cs="???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????? Light" w:eastAsia="????? Light" w:hAnsi="????? Light" w:cs="?????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????? Light" w:eastAsia="????? Light" w:hAnsi="????? Light" w:cs="????? Light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4</Pages>
  <Words>1034</Words>
  <Characters>5895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Ito</dc:creator>
  <cp:keywords/>
  <dc:description/>
  <cp:lastModifiedBy>TEESLWW</cp:lastModifiedBy>
  <cp:revision>145</cp:revision>
  <cp:lastPrinted>2017-12-28T09:51:00Z</cp:lastPrinted>
  <dcterms:created xsi:type="dcterms:W3CDTF">2017-06-29T02:33:00Z</dcterms:created>
  <dcterms:modified xsi:type="dcterms:W3CDTF">2018-06-30T07:10:00Z</dcterms:modified>
</cp:coreProperties>
</file>