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C3" w:rsidRPr="009C2DC3" w:rsidRDefault="009C2DC3" w:rsidP="009C2DC3">
      <w:pPr>
        <w:widowControl/>
        <w:tabs>
          <w:tab w:val="left" w:pos="4820"/>
        </w:tabs>
        <w:spacing w:line="240" w:lineRule="exact"/>
        <w:jc w:val="left"/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</w:pPr>
      <w:r w:rsidRPr="009C2DC3">
        <w:rPr>
          <w:rFonts w:ascii="Times New Roman" w:eastAsia="ＭＳ Ｐゴシック" w:hAnsi="Times New Roman" w:cs="Times New Roman"/>
          <w:b/>
          <w:kern w:val="0"/>
          <w:sz w:val="16"/>
          <w:szCs w:val="16"/>
        </w:rPr>
        <w:t xml:space="preserve">Supplementary material 2. Transfer-wise outcomes following the transfers according to the players deciding the use of the emergency medical services 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558"/>
        <w:gridCol w:w="1981"/>
        <w:gridCol w:w="1981"/>
        <w:gridCol w:w="3399"/>
        <w:gridCol w:w="2854"/>
        <w:gridCol w:w="1381"/>
      </w:tblGrid>
      <w:tr w:rsidR="009C2DC3" w:rsidRPr="009C2DC3" w:rsidTr="00EB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Physicians (during visits)</w:t>
            </w:r>
          </w:p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(N=24) (N, %)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Physicians (on the phone)</w:t>
            </w:r>
          </w:p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(N=19) (N, %)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HCPs other than physicians (during visits) (N=4) (N, %)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Those other than HCPs</w:t>
            </w:r>
          </w:p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(N=29) (N, %)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Total</w:t>
            </w:r>
          </w:p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(N=76) (N, %)</w:t>
            </w:r>
          </w:p>
        </w:tc>
      </w:tr>
      <w:tr w:rsidR="009C2DC3" w:rsidRPr="009C2DC3" w:rsidTr="009C2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tcBorders>
              <w:top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Hospitalized</w:t>
            </w:r>
          </w:p>
        </w:tc>
        <w:tc>
          <w:tcPr>
            <w:tcW w:w="0" w:type="pct"/>
            <w:tcBorders>
              <w:top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6"/>
                <w:szCs w:val="16"/>
              </w:rPr>
            </w:pPr>
            <w:r w:rsidRPr="009C2DC3">
              <w:rPr>
                <w:rFonts w:ascii="Times New Roman" w:eastAsia="Yu Gothic" w:hAnsi="Times New Roman" w:cs="Times New Roman"/>
                <w:color w:val="000000"/>
                <w:sz w:val="16"/>
                <w:szCs w:val="16"/>
              </w:rPr>
              <w:t>21 (87.5)</w:t>
            </w:r>
          </w:p>
        </w:tc>
        <w:tc>
          <w:tcPr>
            <w:tcW w:w="0" w:type="pct"/>
            <w:tcBorders>
              <w:top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15 (78.9)</w:t>
            </w:r>
          </w:p>
        </w:tc>
        <w:tc>
          <w:tcPr>
            <w:tcW w:w="0" w:type="pct"/>
            <w:tcBorders>
              <w:top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4 (100.0)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18 (62.1)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58 (76.3)</w:t>
            </w:r>
          </w:p>
        </w:tc>
      </w:tr>
      <w:tr w:rsidR="009C2DC3" w:rsidRPr="009C2DC3" w:rsidTr="009C2D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tcBorders>
              <w:bottom w:val="single" w:sz="4" w:space="0" w:color="BFBFBF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Dead on arrival</w:t>
            </w:r>
          </w:p>
        </w:tc>
        <w:tc>
          <w:tcPr>
            <w:tcW w:w="753" w:type="pct"/>
            <w:tcBorders>
              <w:bottom w:val="single" w:sz="4" w:space="0" w:color="BFBFBF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2 (8.3)</w:t>
            </w:r>
          </w:p>
        </w:tc>
        <w:tc>
          <w:tcPr>
            <w:tcW w:w="753" w:type="pct"/>
            <w:tcBorders>
              <w:bottom w:val="single" w:sz="4" w:space="0" w:color="BFBFBF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3 (15.8)</w:t>
            </w:r>
          </w:p>
        </w:tc>
        <w:tc>
          <w:tcPr>
            <w:tcW w:w="1292" w:type="pct"/>
            <w:tcBorders>
              <w:bottom w:val="single" w:sz="4" w:space="0" w:color="BFBFBF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1085" w:type="pct"/>
            <w:tcBorders>
              <w:bottom w:val="single" w:sz="4" w:space="0" w:color="BFBFBF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526" w:type="pct"/>
            <w:tcBorders>
              <w:bottom w:val="single" w:sz="4" w:space="0" w:color="BFBFBF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5 (6.6)</w:t>
            </w:r>
          </w:p>
        </w:tc>
      </w:tr>
      <w:tr w:rsidR="009C2DC3" w:rsidRPr="009C2DC3" w:rsidTr="009C2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tcBorders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Returned home</w:t>
            </w:r>
          </w:p>
        </w:tc>
        <w:tc>
          <w:tcPr>
            <w:tcW w:w="0" w:type="pct"/>
            <w:tcBorders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(4.2)</w:t>
            </w:r>
          </w:p>
        </w:tc>
        <w:tc>
          <w:tcPr>
            <w:tcW w:w="0" w:type="pct"/>
            <w:tcBorders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1 (5.3)</w:t>
            </w:r>
          </w:p>
        </w:tc>
        <w:tc>
          <w:tcPr>
            <w:tcW w:w="0" w:type="pct"/>
            <w:tcBorders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0 (0.0)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11 (37.9)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9C2DC3" w:rsidRPr="009C2DC3" w:rsidRDefault="009C2DC3" w:rsidP="009C2DC3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DC3">
              <w:rPr>
                <w:rFonts w:ascii="Times New Roman" w:eastAsia="ＭＳ Ｐゴシック" w:hAnsi="Times New Roman" w:cs="Times New Roman"/>
                <w:sz w:val="16"/>
                <w:szCs w:val="16"/>
              </w:rPr>
              <w:t>13 (17.1)</w:t>
            </w:r>
          </w:p>
        </w:tc>
      </w:tr>
    </w:tbl>
    <w:p w:rsidR="009C2DC3" w:rsidRPr="002E5617" w:rsidRDefault="002E5617" w:rsidP="009C2DC3">
      <w:pPr>
        <w:widowControl/>
        <w:spacing w:line="240" w:lineRule="exact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</w:rPr>
      </w:pPr>
      <w:r w:rsidRPr="002E5617">
        <w:rPr>
          <w:rFonts w:ascii="Times New Roman" w:eastAsia="ＭＳ Ｐゴシック" w:hAnsi="Times New Roman" w:cs="Times New Roman" w:hint="eastAsia"/>
          <w:kern w:val="0"/>
          <w:sz w:val="16"/>
          <w:szCs w:val="16"/>
        </w:rPr>
        <w:t>H</w:t>
      </w:r>
      <w:r w:rsidRPr="002E5617">
        <w:rPr>
          <w:rFonts w:ascii="Times New Roman" w:eastAsia="ＭＳ Ｐゴシック" w:hAnsi="Times New Roman" w:cs="Times New Roman"/>
          <w:kern w:val="0"/>
          <w:sz w:val="16"/>
          <w:szCs w:val="16"/>
        </w:rPr>
        <w:t>CP=healthcare professional</w:t>
      </w:r>
    </w:p>
    <w:p w:rsidR="005D2FC6" w:rsidRDefault="005D2FC6">
      <w:bookmarkStart w:id="0" w:name="_GoBack"/>
      <w:bookmarkEnd w:id="0"/>
    </w:p>
    <w:sectPr w:rsidR="005D2FC6" w:rsidSect="009C2DC3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C3"/>
    <w:rsid w:val="002E5617"/>
    <w:rsid w:val="005D2FC6"/>
    <w:rsid w:val="009C2DC3"/>
    <w:rsid w:val="00C37734"/>
    <w:rsid w:val="00CF1EEC"/>
    <w:rsid w:val="00D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BA61C"/>
  <w15:chartTrackingRefBased/>
  <w15:docId w15:val="{B476FF28-5512-3B47-959C-F296AF0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標準の表 41"/>
    <w:basedOn w:val="a1"/>
    <w:uiPriority w:val="44"/>
    <w:rsid w:val="009C2D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小坂真琴</dc:creator>
  <cp:keywords/>
  <dc:description/>
  <cp:lastModifiedBy>小坂真琴</cp:lastModifiedBy>
  <cp:revision>3</cp:revision>
  <dcterms:created xsi:type="dcterms:W3CDTF">2020-04-10T10:12:00Z</dcterms:created>
  <dcterms:modified xsi:type="dcterms:W3CDTF">2020-05-20T11:30:00Z</dcterms:modified>
</cp:coreProperties>
</file>