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A625F7" w14:textId="54B77523" w:rsidR="004800EF" w:rsidRPr="00075CA1" w:rsidRDefault="004800EF" w:rsidP="004800EF">
      <w:pPr>
        <w:rPr>
          <w:rFonts w:cs="Times New Roman"/>
        </w:rPr>
      </w:pPr>
      <w:r w:rsidRPr="00075CA1">
        <w:rPr>
          <w:rFonts w:cs="Times New Roman"/>
          <w:b/>
        </w:rPr>
        <w:t xml:space="preserve">Supplemental Table 1: </w:t>
      </w:r>
      <w:r w:rsidRPr="00075CA1">
        <w:rPr>
          <w:rFonts w:cs="Times New Roman"/>
        </w:rPr>
        <w:t xml:space="preserve">The distribution of the number of primary open angle glaucoma (POAG) cases and controls in </w:t>
      </w:r>
      <w:r w:rsidR="00802D2C">
        <w:rPr>
          <w:rFonts w:cs="Times New Roman"/>
        </w:rPr>
        <w:t xml:space="preserve">the </w:t>
      </w:r>
      <w:r w:rsidRPr="00075CA1">
        <w:rPr>
          <w:rFonts w:cs="Times New Roman"/>
        </w:rPr>
        <w:t xml:space="preserve">NEIHBORHOOD </w:t>
      </w:r>
    </w:p>
    <w:tbl>
      <w:tblPr>
        <w:tblStyle w:val="TableGrid"/>
        <w:tblW w:w="0" w:type="auto"/>
        <w:tblLook w:val="04A0" w:firstRow="1" w:lastRow="0" w:firstColumn="1" w:lastColumn="0" w:noHBand="0" w:noVBand="1"/>
      </w:tblPr>
      <w:tblGrid>
        <w:gridCol w:w="5958"/>
        <w:gridCol w:w="1350"/>
        <w:gridCol w:w="1548"/>
      </w:tblGrid>
      <w:tr w:rsidR="004800EF" w:rsidRPr="00075CA1" w14:paraId="31F749DA" w14:textId="77777777" w:rsidTr="002C6311">
        <w:tc>
          <w:tcPr>
            <w:tcW w:w="5958" w:type="dxa"/>
          </w:tcPr>
          <w:p w14:paraId="210B38EB" w14:textId="2AC07600" w:rsidR="004800EF" w:rsidRPr="00075CA1" w:rsidRDefault="004800EF" w:rsidP="0071672F">
            <w:pPr>
              <w:rPr>
                <w:rFonts w:cs="Times New Roman"/>
                <w:sz w:val="24"/>
                <w:szCs w:val="24"/>
              </w:rPr>
            </w:pPr>
            <w:r w:rsidRPr="00075CA1">
              <w:rPr>
                <w:rFonts w:cs="Times New Roman"/>
                <w:sz w:val="24"/>
                <w:szCs w:val="24"/>
              </w:rPr>
              <w:t>NEIHBORHOOD sub</w:t>
            </w:r>
            <w:r w:rsidR="002C6311">
              <w:rPr>
                <w:rFonts w:cs="Times New Roman"/>
                <w:sz w:val="24"/>
                <w:szCs w:val="24"/>
              </w:rPr>
              <w:t>-</w:t>
            </w:r>
            <w:r w:rsidRPr="00075CA1">
              <w:rPr>
                <w:rFonts w:cs="Times New Roman"/>
                <w:sz w:val="24"/>
                <w:szCs w:val="24"/>
              </w:rPr>
              <w:t>studies</w:t>
            </w:r>
          </w:p>
        </w:tc>
        <w:tc>
          <w:tcPr>
            <w:tcW w:w="1350" w:type="dxa"/>
          </w:tcPr>
          <w:p w14:paraId="46934E16" w14:textId="347B9C44" w:rsidR="004800EF" w:rsidRPr="00075CA1" w:rsidRDefault="004800EF" w:rsidP="0071672F">
            <w:pPr>
              <w:rPr>
                <w:rFonts w:cs="Times New Roman"/>
                <w:sz w:val="24"/>
                <w:szCs w:val="24"/>
              </w:rPr>
            </w:pPr>
            <w:r w:rsidRPr="00075CA1">
              <w:rPr>
                <w:rFonts w:cs="Times New Roman"/>
                <w:sz w:val="24"/>
                <w:szCs w:val="24"/>
              </w:rPr>
              <w:t>POAG</w:t>
            </w:r>
            <w:r w:rsidR="002C6311">
              <w:rPr>
                <w:rFonts w:cs="Times New Roman"/>
                <w:sz w:val="24"/>
                <w:szCs w:val="24"/>
              </w:rPr>
              <w:t xml:space="preserve"> (N)</w:t>
            </w:r>
          </w:p>
        </w:tc>
        <w:tc>
          <w:tcPr>
            <w:tcW w:w="1548" w:type="dxa"/>
          </w:tcPr>
          <w:p w14:paraId="1C277D1C" w14:textId="0526B460" w:rsidR="004800EF" w:rsidRPr="00075CA1" w:rsidRDefault="004800EF" w:rsidP="0071672F">
            <w:pPr>
              <w:rPr>
                <w:rFonts w:cs="Times New Roman"/>
                <w:sz w:val="24"/>
                <w:szCs w:val="24"/>
              </w:rPr>
            </w:pPr>
            <w:r w:rsidRPr="00075CA1">
              <w:rPr>
                <w:rFonts w:cs="Times New Roman"/>
                <w:sz w:val="24"/>
                <w:szCs w:val="24"/>
              </w:rPr>
              <w:t>Controls</w:t>
            </w:r>
            <w:r w:rsidR="002C6311">
              <w:rPr>
                <w:rFonts w:cs="Times New Roman"/>
                <w:sz w:val="24"/>
                <w:szCs w:val="24"/>
              </w:rPr>
              <w:t xml:space="preserve"> (N)</w:t>
            </w:r>
          </w:p>
        </w:tc>
      </w:tr>
      <w:tr w:rsidR="004800EF" w:rsidRPr="00075CA1" w14:paraId="7B6D5679" w14:textId="77777777" w:rsidTr="002C6311">
        <w:tc>
          <w:tcPr>
            <w:tcW w:w="5958" w:type="dxa"/>
          </w:tcPr>
          <w:p w14:paraId="76D91040" w14:textId="774BF65E" w:rsidR="004800EF" w:rsidRPr="00075CA1" w:rsidRDefault="004800EF" w:rsidP="0071672F">
            <w:pPr>
              <w:rPr>
                <w:rFonts w:cs="Times New Roman"/>
                <w:sz w:val="24"/>
                <w:szCs w:val="24"/>
              </w:rPr>
            </w:pPr>
            <w:r w:rsidRPr="00075CA1">
              <w:rPr>
                <w:rFonts w:cs="Times New Roman"/>
                <w:sz w:val="24"/>
                <w:szCs w:val="24"/>
              </w:rPr>
              <w:t>Nurses</w:t>
            </w:r>
            <w:r w:rsidR="00CA20E9">
              <w:rPr>
                <w:rFonts w:cs="Times New Roman"/>
                <w:sz w:val="24"/>
                <w:szCs w:val="24"/>
              </w:rPr>
              <w:t>’</w:t>
            </w:r>
            <w:r w:rsidRPr="00075CA1">
              <w:rPr>
                <w:rFonts w:cs="Times New Roman"/>
                <w:sz w:val="24"/>
                <w:szCs w:val="24"/>
              </w:rPr>
              <w:t xml:space="preserve"> Health Study </w:t>
            </w:r>
            <w:proofErr w:type="spellStart"/>
            <w:r w:rsidRPr="00075CA1">
              <w:rPr>
                <w:rFonts w:cs="Times New Roman"/>
                <w:sz w:val="24"/>
                <w:szCs w:val="24"/>
              </w:rPr>
              <w:t>Affymetrix</w:t>
            </w:r>
            <w:proofErr w:type="spellEnd"/>
            <w:r w:rsidRPr="00075CA1">
              <w:rPr>
                <w:rFonts w:cs="Times New Roman"/>
                <w:sz w:val="24"/>
                <w:szCs w:val="24"/>
              </w:rPr>
              <w:t xml:space="preserve"> 6.0 Platform</w:t>
            </w:r>
          </w:p>
        </w:tc>
        <w:tc>
          <w:tcPr>
            <w:tcW w:w="1350" w:type="dxa"/>
          </w:tcPr>
          <w:p w14:paraId="00516236" w14:textId="77777777" w:rsidR="004800EF" w:rsidRPr="00075CA1" w:rsidRDefault="004800EF" w:rsidP="0071672F">
            <w:pPr>
              <w:rPr>
                <w:rFonts w:cs="Times New Roman"/>
                <w:sz w:val="24"/>
                <w:szCs w:val="24"/>
              </w:rPr>
            </w:pPr>
            <w:r w:rsidRPr="00075CA1">
              <w:rPr>
                <w:rFonts w:cs="Times New Roman"/>
                <w:sz w:val="24"/>
                <w:szCs w:val="24"/>
              </w:rPr>
              <w:t>76</w:t>
            </w:r>
          </w:p>
        </w:tc>
        <w:tc>
          <w:tcPr>
            <w:tcW w:w="1548" w:type="dxa"/>
          </w:tcPr>
          <w:p w14:paraId="4D3167F1" w14:textId="77777777" w:rsidR="004800EF" w:rsidRPr="00075CA1" w:rsidRDefault="004800EF" w:rsidP="0071672F">
            <w:pPr>
              <w:rPr>
                <w:rFonts w:cs="Times New Roman"/>
                <w:sz w:val="24"/>
                <w:szCs w:val="24"/>
              </w:rPr>
            </w:pPr>
            <w:r w:rsidRPr="00075CA1">
              <w:rPr>
                <w:rFonts w:cs="Times New Roman"/>
                <w:sz w:val="24"/>
                <w:szCs w:val="24"/>
              </w:rPr>
              <w:t>2488</w:t>
            </w:r>
          </w:p>
        </w:tc>
      </w:tr>
      <w:tr w:rsidR="004800EF" w:rsidRPr="00075CA1" w14:paraId="0F54AB7E" w14:textId="77777777" w:rsidTr="002C6311">
        <w:tc>
          <w:tcPr>
            <w:tcW w:w="5958" w:type="dxa"/>
          </w:tcPr>
          <w:p w14:paraId="2C9B6AF3" w14:textId="77777777" w:rsidR="004800EF" w:rsidRPr="00075CA1" w:rsidRDefault="004800EF" w:rsidP="0071672F">
            <w:pPr>
              <w:rPr>
                <w:rFonts w:cs="Times New Roman"/>
                <w:sz w:val="24"/>
                <w:szCs w:val="24"/>
              </w:rPr>
            </w:pPr>
            <w:r w:rsidRPr="00075CA1">
              <w:rPr>
                <w:rFonts w:cs="Times New Roman"/>
                <w:sz w:val="24"/>
                <w:szCs w:val="24"/>
              </w:rPr>
              <w:t xml:space="preserve">NHS </w:t>
            </w:r>
            <w:proofErr w:type="spellStart"/>
            <w:r w:rsidRPr="00075CA1">
              <w:rPr>
                <w:rFonts w:cs="Times New Roman"/>
                <w:sz w:val="24"/>
                <w:szCs w:val="24"/>
              </w:rPr>
              <w:t>Illumina</w:t>
            </w:r>
            <w:proofErr w:type="spellEnd"/>
            <w:r w:rsidRPr="00075CA1">
              <w:rPr>
                <w:rFonts w:cs="Times New Roman"/>
                <w:sz w:val="24"/>
                <w:szCs w:val="24"/>
              </w:rPr>
              <w:t xml:space="preserve"> Platforms</w:t>
            </w:r>
          </w:p>
        </w:tc>
        <w:tc>
          <w:tcPr>
            <w:tcW w:w="1350" w:type="dxa"/>
          </w:tcPr>
          <w:p w14:paraId="6162C404" w14:textId="77777777" w:rsidR="004800EF" w:rsidRPr="00075CA1" w:rsidRDefault="004800EF" w:rsidP="0071672F">
            <w:pPr>
              <w:rPr>
                <w:rFonts w:cs="Times New Roman"/>
                <w:sz w:val="24"/>
                <w:szCs w:val="24"/>
              </w:rPr>
            </w:pPr>
            <w:r w:rsidRPr="00075CA1">
              <w:rPr>
                <w:rFonts w:cs="Times New Roman"/>
                <w:sz w:val="24"/>
                <w:szCs w:val="24"/>
              </w:rPr>
              <w:t>259</w:t>
            </w:r>
          </w:p>
        </w:tc>
        <w:tc>
          <w:tcPr>
            <w:tcW w:w="1548" w:type="dxa"/>
          </w:tcPr>
          <w:p w14:paraId="2506C232" w14:textId="77777777" w:rsidR="004800EF" w:rsidRPr="00075CA1" w:rsidRDefault="004800EF" w:rsidP="0071672F">
            <w:pPr>
              <w:rPr>
                <w:rFonts w:cs="Times New Roman"/>
                <w:sz w:val="24"/>
                <w:szCs w:val="24"/>
              </w:rPr>
            </w:pPr>
            <w:r w:rsidRPr="00075CA1">
              <w:rPr>
                <w:rFonts w:cs="Times New Roman"/>
                <w:sz w:val="24"/>
                <w:szCs w:val="24"/>
              </w:rPr>
              <w:t>1367</w:t>
            </w:r>
          </w:p>
        </w:tc>
      </w:tr>
      <w:tr w:rsidR="004800EF" w:rsidRPr="00075CA1" w14:paraId="4EC1BCDA" w14:textId="77777777" w:rsidTr="002C6311">
        <w:tc>
          <w:tcPr>
            <w:tcW w:w="5958" w:type="dxa"/>
          </w:tcPr>
          <w:p w14:paraId="3E43C482" w14:textId="77777777" w:rsidR="004800EF" w:rsidRPr="00075CA1" w:rsidRDefault="004800EF" w:rsidP="0071672F">
            <w:pPr>
              <w:rPr>
                <w:rFonts w:cs="Times New Roman"/>
                <w:sz w:val="24"/>
                <w:szCs w:val="24"/>
              </w:rPr>
            </w:pPr>
            <w:r w:rsidRPr="00075CA1">
              <w:rPr>
                <w:rFonts w:cs="Times New Roman"/>
                <w:sz w:val="24"/>
                <w:szCs w:val="24"/>
              </w:rPr>
              <w:t>Women’s Genome Health Study</w:t>
            </w:r>
          </w:p>
        </w:tc>
        <w:tc>
          <w:tcPr>
            <w:tcW w:w="1350" w:type="dxa"/>
          </w:tcPr>
          <w:p w14:paraId="48D690DC" w14:textId="77777777" w:rsidR="004800EF" w:rsidRPr="00075CA1" w:rsidRDefault="004800EF" w:rsidP="0071672F">
            <w:pPr>
              <w:rPr>
                <w:rFonts w:cs="Times New Roman"/>
                <w:sz w:val="24"/>
                <w:szCs w:val="24"/>
              </w:rPr>
            </w:pPr>
            <w:r w:rsidRPr="00075CA1">
              <w:rPr>
                <w:rFonts w:cs="Times New Roman"/>
                <w:sz w:val="24"/>
                <w:szCs w:val="24"/>
              </w:rPr>
              <w:t>158</w:t>
            </w:r>
          </w:p>
        </w:tc>
        <w:tc>
          <w:tcPr>
            <w:tcW w:w="1548" w:type="dxa"/>
          </w:tcPr>
          <w:p w14:paraId="6A801565" w14:textId="77777777" w:rsidR="004800EF" w:rsidRPr="00075CA1" w:rsidRDefault="004800EF" w:rsidP="0071672F">
            <w:pPr>
              <w:rPr>
                <w:rFonts w:cs="Times New Roman"/>
                <w:sz w:val="24"/>
                <w:szCs w:val="24"/>
              </w:rPr>
            </w:pPr>
            <w:r w:rsidRPr="00075CA1">
              <w:rPr>
                <w:rFonts w:cs="Times New Roman"/>
                <w:sz w:val="24"/>
                <w:szCs w:val="24"/>
              </w:rPr>
              <w:t>22,335</w:t>
            </w:r>
          </w:p>
        </w:tc>
      </w:tr>
      <w:tr w:rsidR="004800EF" w:rsidRPr="00075CA1" w14:paraId="5A6A2AD7" w14:textId="77777777" w:rsidTr="002C6311">
        <w:tc>
          <w:tcPr>
            <w:tcW w:w="5958" w:type="dxa"/>
          </w:tcPr>
          <w:p w14:paraId="7976C604" w14:textId="77777777" w:rsidR="004800EF" w:rsidRPr="00075CA1" w:rsidRDefault="004800EF" w:rsidP="0071672F">
            <w:pPr>
              <w:rPr>
                <w:rFonts w:cs="Times New Roman"/>
                <w:sz w:val="24"/>
                <w:szCs w:val="24"/>
              </w:rPr>
            </w:pPr>
            <w:r w:rsidRPr="00075CA1">
              <w:rPr>
                <w:rFonts w:cs="Times New Roman"/>
                <w:sz w:val="24"/>
                <w:szCs w:val="24"/>
              </w:rPr>
              <w:t>Ocular Hypertension Treatment Study</w:t>
            </w:r>
          </w:p>
        </w:tc>
        <w:tc>
          <w:tcPr>
            <w:tcW w:w="1350" w:type="dxa"/>
          </w:tcPr>
          <w:p w14:paraId="5C978AF3" w14:textId="77777777" w:rsidR="004800EF" w:rsidRPr="00075CA1" w:rsidRDefault="004800EF" w:rsidP="0071672F">
            <w:pPr>
              <w:rPr>
                <w:rFonts w:cs="Times New Roman"/>
                <w:sz w:val="24"/>
                <w:szCs w:val="24"/>
              </w:rPr>
            </w:pPr>
            <w:r w:rsidRPr="00075CA1">
              <w:rPr>
                <w:rFonts w:cs="Times New Roman"/>
                <w:sz w:val="24"/>
                <w:szCs w:val="24"/>
              </w:rPr>
              <w:t>44</w:t>
            </w:r>
          </w:p>
        </w:tc>
        <w:tc>
          <w:tcPr>
            <w:tcW w:w="1548" w:type="dxa"/>
          </w:tcPr>
          <w:p w14:paraId="3CBA8417" w14:textId="77777777" w:rsidR="004800EF" w:rsidRPr="00075CA1" w:rsidRDefault="004800EF" w:rsidP="0071672F">
            <w:pPr>
              <w:rPr>
                <w:rFonts w:cs="Times New Roman"/>
                <w:sz w:val="24"/>
                <w:szCs w:val="24"/>
              </w:rPr>
            </w:pPr>
            <w:r w:rsidRPr="00075CA1">
              <w:rPr>
                <w:rFonts w:cs="Times New Roman"/>
                <w:sz w:val="24"/>
                <w:szCs w:val="24"/>
              </w:rPr>
              <w:t>340</w:t>
            </w:r>
          </w:p>
        </w:tc>
      </w:tr>
      <w:tr w:rsidR="004800EF" w:rsidRPr="00075CA1" w14:paraId="1F17115B" w14:textId="77777777" w:rsidTr="002C6311">
        <w:tc>
          <w:tcPr>
            <w:tcW w:w="5958" w:type="dxa"/>
          </w:tcPr>
          <w:p w14:paraId="35FA54B2" w14:textId="77777777" w:rsidR="004800EF" w:rsidRPr="00075CA1" w:rsidRDefault="004800EF" w:rsidP="0071672F">
            <w:pPr>
              <w:rPr>
                <w:rFonts w:cs="Times New Roman"/>
                <w:sz w:val="24"/>
                <w:szCs w:val="24"/>
              </w:rPr>
            </w:pPr>
            <w:r w:rsidRPr="00075CA1">
              <w:rPr>
                <w:rFonts w:cs="Times New Roman"/>
                <w:sz w:val="24"/>
                <w:szCs w:val="24"/>
              </w:rPr>
              <w:t>Mass Eye &amp; Ear Infirmary</w:t>
            </w:r>
          </w:p>
        </w:tc>
        <w:tc>
          <w:tcPr>
            <w:tcW w:w="1350" w:type="dxa"/>
          </w:tcPr>
          <w:p w14:paraId="5F8FFB4B" w14:textId="77777777" w:rsidR="004800EF" w:rsidRPr="00075CA1" w:rsidRDefault="004800EF" w:rsidP="0071672F">
            <w:pPr>
              <w:rPr>
                <w:rFonts w:cs="Times New Roman"/>
                <w:sz w:val="24"/>
                <w:szCs w:val="24"/>
              </w:rPr>
            </w:pPr>
            <w:r w:rsidRPr="00075CA1">
              <w:rPr>
                <w:rFonts w:cs="Times New Roman"/>
                <w:sz w:val="24"/>
                <w:szCs w:val="24"/>
              </w:rPr>
              <w:t>257</w:t>
            </w:r>
          </w:p>
        </w:tc>
        <w:tc>
          <w:tcPr>
            <w:tcW w:w="1548" w:type="dxa"/>
          </w:tcPr>
          <w:p w14:paraId="31A842CA" w14:textId="77777777" w:rsidR="004800EF" w:rsidRPr="00075CA1" w:rsidRDefault="004800EF" w:rsidP="0071672F">
            <w:pPr>
              <w:rPr>
                <w:rFonts w:cs="Times New Roman"/>
                <w:sz w:val="24"/>
                <w:szCs w:val="24"/>
              </w:rPr>
            </w:pPr>
            <w:r w:rsidRPr="00075CA1">
              <w:rPr>
                <w:rFonts w:cs="Times New Roman"/>
                <w:sz w:val="24"/>
                <w:szCs w:val="24"/>
              </w:rPr>
              <w:t>185</w:t>
            </w:r>
          </w:p>
        </w:tc>
      </w:tr>
      <w:tr w:rsidR="004800EF" w:rsidRPr="00075CA1" w14:paraId="30FD7F7E" w14:textId="77777777" w:rsidTr="002C6311">
        <w:tc>
          <w:tcPr>
            <w:tcW w:w="5958" w:type="dxa"/>
          </w:tcPr>
          <w:p w14:paraId="53019EF5" w14:textId="77777777" w:rsidR="004800EF" w:rsidRPr="00075CA1" w:rsidRDefault="004800EF" w:rsidP="0071672F">
            <w:pPr>
              <w:rPr>
                <w:rFonts w:cs="Times New Roman"/>
                <w:sz w:val="24"/>
                <w:szCs w:val="24"/>
              </w:rPr>
            </w:pPr>
            <w:r w:rsidRPr="00075CA1">
              <w:rPr>
                <w:rFonts w:cs="Times New Roman"/>
                <w:sz w:val="24"/>
                <w:szCs w:val="24"/>
              </w:rPr>
              <w:t>National Eye Institute Glaucoma Human Genetics Collaboration</w:t>
            </w:r>
          </w:p>
        </w:tc>
        <w:tc>
          <w:tcPr>
            <w:tcW w:w="1350" w:type="dxa"/>
          </w:tcPr>
          <w:p w14:paraId="003C011D" w14:textId="77777777" w:rsidR="004800EF" w:rsidRPr="00075CA1" w:rsidRDefault="004800EF" w:rsidP="0071672F">
            <w:pPr>
              <w:rPr>
                <w:rFonts w:cs="Times New Roman"/>
                <w:sz w:val="24"/>
                <w:szCs w:val="24"/>
              </w:rPr>
            </w:pPr>
            <w:r w:rsidRPr="00075CA1">
              <w:rPr>
                <w:rFonts w:cs="Times New Roman"/>
                <w:sz w:val="24"/>
                <w:szCs w:val="24"/>
              </w:rPr>
              <w:t>1104</w:t>
            </w:r>
          </w:p>
        </w:tc>
        <w:tc>
          <w:tcPr>
            <w:tcW w:w="1548" w:type="dxa"/>
          </w:tcPr>
          <w:p w14:paraId="19035C6D" w14:textId="77777777" w:rsidR="004800EF" w:rsidRPr="00075CA1" w:rsidRDefault="004800EF" w:rsidP="0071672F">
            <w:pPr>
              <w:rPr>
                <w:rFonts w:cs="Times New Roman"/>
                <w:sz w:val="24"/>
                <w:szCs w:val="24"/>
              </w:rPr>
            </w:pPr>
            <w:r w:rsidRPr="00075CA1">
              <w:rPr>
                <w:rFonts w:cs="Times New Roman"/>
                <w:sz w:val="24"/>
                <w:szCs w:val="24"/>
              </w:rPr>
              <w:t>1237</w:t>
            </w:r>
          </w:p>
        </w:tc>
      </w:tr>
      <w:tr w:rsidR="004800EF" w:rsidRPr="00075CA1" w14:paraId="1A8B25DB" w14:textId="77777777" w:rsidTr="002C6311">
        <w:tc>
          <w:tcPr>
            <w:tcW w:w="5958" w:type="dxa"/>
          </w:tcPr>
          <w:p w14:paraId="0810C7F8" w14:textId="77777777" w:rsidR="004800EF" w:rsidRPr="00075CA1" w:rsidRDefault="004800EF" w:rsidP="0071672F">
            <w:pPr>
              <w:rPr>
                <w:rFonts w:cs="Times New Roman"/>
                <w:sz w:val="24"/>
                <w:szCs w:val="24"/>
              </w:rPr>
            </w:pPr>
            <w:r w:rsidRPr="00075CA1">
              <w:rPr>
                <w:rFonts w:cs="Times New Roman"/>
                <w:sz w:val="24"/>
                <w:szCs w:val="24"/>
              </w:rPr>
              <w:t>Marshfield</w:t>
            </w:r>
          </w:p>
        </w:tc>
        <w:tc>
          <w:tcPr>
            <w:tcW w:w="1350" w:type="dxa"/>
          </w:tcPr>
          <w:p w14:paraId="06D42DD1" w14:textId="77777777" w:rsidR="004800EF" w:rsidRPr="00075CA1" w:rsidRDefault="004800EF" w:rsidP="0071672F">
            <w:pPr>
              <w:rPr>
                <w:rFonts w:cs="Times New Roman"/>
                <w:sz w:val="24"/>
                <w:szCs w:val="24"/>
              </w:rPr>
            </w:pPr>
            <w:r w:rsidRPr="00075CA1">
              <w:rPr>
                <w:rFonts w:cs="Times New Roman"/>
                <w:sz w:val="24"/>
                <w:szCs w:val="24"/>
              </w:rPr>
              <w:t>50</w:t>
            </w:r>
          </w:p>
        </w:tc>
        <w:tc>
          <w:tcPr>
            <w:tcW w:w="1548" w:type="dxa"/>
          </w:tcPr>
          <w:p w14:paraId="14EE71A9" w14:textId="77777777" w:rsidR="004800EF" w:rsidRPr="00075CA1" w:rsidRDefault="004800EF" w:rsidP="0071672F">
            <w:pPr>
              <w:rPr>
                <w:rFonts w:cs="Times New Roman"/>
                <w:sz w:val="24"/>
                <w:szCs w:val="24"/>
              </w:rPr>
            </w:pPr>
            <w:r w:rsidRPr="00075CA1">
              <w:rPr>
                <w:rFonts w:cs="Times New Roman"/>
                <w:sz w:val="24"/>
                <w:szCs w:val="24"/>
              </w:rPr>
              <w:t>1104</w:t>
            </w:r>
          </w:p>
        </w:tc>
      </w:tr>
      <w:tr w:rsidR="004800EF" w:rsidRPr="00075CA1" w14:paraId="4B082951" w14:textId="77777777" w:rsidTr="002C6311">
        <w:tc>
          <w:tcPr>
            <w:tcW w:w="5958" w:type="dxa"/>
          </w:tcPr>
          <w:p w14:paraId="673804A5" w14:textId="77777777" w:rsidR="004800EF" w:rsidRPr="00075CA1" w:rsidRDefault="004800EF" w:rsidP="0071672F">
            <w:pPr>
              <w:rPr>
                <w:rFonts w:cs="Times New Roman"/>
                <w:sz w:val="24"/>
                <w:szCs w:val="24"/>
              </w:rPr>
            </w:pPr>
            <w:r w:rsidRPr="00075CA1">
              <w:rPr>
                <w:rFonts w:cs="Times New Roman"/>
                <w:sz w:val="24"/>
                <w:szCs w:val="24"/>
              </w:rPr>
              <w:t>Iowa</w:t>
            </w:r>
          </w:p>
        </w:tc>
        <w:tc>
          <w:tcPr>
            <w:tcW w:w="1350" w:type="dxa"/>
          </w:tcPr>
          <w:p w14:paraId="6B170FB8" w14:textId="77777777" w:rsidR="004800EF" w:rsidRPr="00075CA1" w:rsidRDefault="004800EF" w:rsidP="0071672F">
            <w:pPr>
              <w:rPr>
                <w:rFonts w:cs="Times New Roman"/>
                <w:sz w:val="24"/>
                <w:szCs w:val="24"/>
              </w:rPr>
            </w:pPr>
            <w:r w:rsidRPr="00075CA1">
              <w:rPr>
                <w:rFonts w:cs="Times New Roman"/>
                <w:sz w:val="24"/>
                <w:szCs w:val="24"/>
              </w:rPr>
              <w:t>212</w:t>
            </w:r>
          </w:p>
        </w:tc>
        <w:tc>
          <w:tcPr>
            <w:tcW w:w="1548" w:type="dxa"/>
          </w:tcPr>
          <w:p w14:paraId="6EC3079E" w14:textId="77777777" w:rsidR="004800EF" w:rsidRPr="00075CA1" w:rsidRDefault="004800EF" w:rsidP="0071672F">
            <w:pPr>
              <w:rPr>
                <w:rFonts w:cs="Times New Roman"/>
                <w:sz w:val="24"/>
                <w:szCs w:val="24"/>
              </w:rPr>
            </w:pPr>
            <w:r w:rsidRPr="00075CA1">
              <w:rPr>
                <w:rFonts w:cs="Times New Roman"/>
                <w:sz w:val="24"/>
                <w:szCs w:val="24"/>
              </w:rPr>
              <w:t>54</w:t>
            </w:r>
          </w:p>
        </w:tc>
      </w:tr>
    </w:tbl>
    <w:p w14:paraId="1325D814" w14:textId="77777777" w:rsidR="004800EF" w:rsidRPr="00075CA1" w:rsidRDefault="004800EF" w:rsidP="004800EF">
      <w:pPr>
        <w:rPr>
          <w:rFonts w:cs="Times New Roman"/>
          <w:b/>
        </w:rPr>
      </w:pPr>
    </w:p>
    <w:p w14:paraId="2DDF2DF7" w14:textId="07F0BC7E" w:rsidR="004800EF" w:rsidRPr="00075CA1" w:rsidRDefault="004800EF" w:rsidP="004800EF">
      <w:pPr>
        <w:rPr>
          <w:rFonts w:cs="Times New Roman"/>
        </w:rPr>
      </w:pPr>
      <w:r w:rsidRPr="00075CA1">
        <w:rPr>
          <w:rFonts w:cs="Times New Roman"/>
          <w:i/>
        </w:rPr>
        <w:t xml:space="preserve">Nurses Heath Study (NHS) </w:t>
      </w:r>
      <w:proofErr w:type="spellStart"/>
      <w:r w:rsidRPr="00075CA1">
        <w:rPr>
          <w:rFonts w:cs="Times New Roman"/>
          <w:i/>
        </w:rPr>
        <w:t>Affymetrix</w:t>
      </w:r>
      <w:proofErr w:type="spellEnd"/>
      <w:r w:rsidRPr="00075CA1">
        <w:rPr>
          <w:rFonts w:cs="Times New Roman"/>
          <w:i/>
        </w:rPr>
        <w:t xml:space="preserve"> 6.0 Platform </w:t>
      </w:r>
      <w:r w:rsidRPr="00075CA1">
        <w:rPr>
          <w:rFonts w:cs="Times New Roman"/>
        </w:rPr>
        <w:t xml:space="preserve"> – POAG cases were identified as </w:t>
      </w:r>
      <w:proofErr w:type="gramStart"/>
      <w:r w:rsidRPr="00075CA1">
        <w:rPr>
          <w:rFonts w:cs="Times New Roman"/>
        </w:rPr>
        <w:t>previously</w:t>
      </w:r>
      <w:proofErr w:type="gramEnd"/>
      <w:r w:rsidRPr="00075CA1">
        <w:rPr>
          <w:rFonts w:cs="Times New Roman"/>
        </w:rPr>
        <w:t xml:space="preserve"> described.</w:t>
      </w:r>
      <w:r w:rsidRPr="00075CA1">
        <w:rPr>
          <w:rFonts w:cs="Times New Roman"/>
          <w:vertAlign w:val="superscript"/>
        </w:rPr>
        <w:t>1</w:t>
      </w:r>
      <w:r w:rsidRPr="00075CA1">
        <w:rPr>
          <w:rFonts w:cs="Times New Roman"/>
        </w:rPr>
        <w:t xml:space="preserve"> POAG cases and controls that were genotyped on the </w:t>
      </w:r>
      <w:proofErr w:type="spellStart"/>
      <w:r w:rsidRPr="00075CA1">
        <w:rPr>
          <w:rFonts w:cs="Times New Roman"/>
        </w:rPr>
        <w:t>Affymetrix</w:t>
      </w:r>
      <w:proofErr w:type="spellEnd"/>
      <w:r w:rsidRPr="00075CA1">
        <w:rPr>
          <w:rFonts w:cs="Times New Roman"/>
        </w:rPr>
        <w:t xml:space="preserve"> platform included studies of type 2 diabetes (T2D) and coronary heart disease.  We applied exclusion criteria to remove expected and unexpected duplicates, controls without an ophthalmic exam between 2004-2010, non-Caucasians, and cases that could not be confirmed by our methods, leaving 76 cases and 2488 controls. Given the strong evidence for a positive association between T2D and POAG</w:t>
      </w:r>
      <w:proofErr w:type="gramStart"/>
      <w:r w:rsidR="00655FA4">
        <w:rPr>
          <w:rFonts w:cs="Times New Roman"/>
        </w:rPr>
        <w:t>,</w:t>
      </w:r>
      <w:r w:rsidRPr="00075CA1">
        <w:rPr>
          <w:rFonts w:cs="Times New Roman"/>
          <w:vertAlign w:val="superscript"/>
        </w:rPr>
        <w:t>2,3</w:t>
      </w:r>
      <w:proofErr w:type="gramEnd"/>
      <w:r w:rsidRPr="00075CA1">
        <w:rPr>
          <w:rFonts w:cs="Times New Roman"/>
        </w:rPr>
        <w:t xml:space="preserve"> we controlled for diabetes status in this dataset.</w:t>
      </w:r>
    </w:p>
    <w:p w14:paraId="65F32722" w14:textId="77777777" w:rsidR="004800EF" w:rsidRPr="00075CA1" w:rsidRDefault="004800EF" w:rsidP="004800EF">
      <w:pPr>
        <w:rPr>
          <w:rFonts w:cs="Times New Roman"/>
        </w:rPr>
      </w:pPr>
      <w:r w:rsidRPr="00075CA1">
        <w:rPr>
          <w:rFonts w:cs="Times New Roman"/>
          <w:i/>
        </w:rPr>
        <w:t xml:space="preserve">NHS </w:t>
      </w:r>
      <w:proofErr w:type="spellStart"/>
      <w:r w:rsidRPr="00075CA1">
        <w:rPr>
          <w:rFonts w:cs="Times New Roman"/>
          <w:i/>
        </w:rPr>
        <w:t>Illumina</w:t>
      </w:r>
      <w:proofErr w:type="spellEnd"/>
      <w:r w:rsidRPr="00075CA1">
        <w:rPr>
          <w:rFonts w:cs="Times New Roman"/>
          <w:i/>
        </w:rPr>
        <w:t xml:space="preserve"> Platform</w:t>
      </w:r>
      <w:r w:rsidRPr="00075CA1">
        <w:rPr>
          <w:rFonts w:cs="Times New Roman"/>
        </w:rPr>
        <w:t xml:space="preserve"> - POAG cases were identified as previously described</w:t>
      </w:r>
      <w:r w:rsidRPr="00075CA1">
        <w:rPr>
          <w:rFonts w:cs="Times New Roman"/>
          <w:vertAlign w:val="superscript"/>
        </w:rPr>
        <w:t>1</w:t>
      </w:r>
      <w:r w:rsidRPr="00075CA1">
        <w:rPr>
          <w:rFonts w:cs="Times New Roman"/>
        </w:rPr>
        <w:t xml:space="preserve"> and matched to controls drawn from a longitudinal cohort at risk for glaucoma. These cases and controls were genotyped as part of the GLAUGEN (Glaucoma Genes and Environment) study</w:t>
      </w:r>
      <w:proofErr w:type="gramStart"/>
      <w:r w:rsidRPr="00075CA1">
        <w:rPr>
          <w:rFonts w:cs="Times New Roman"/>
        </w:rPr>
        <w:t>,</w:t>
      </w:r>
      <w:r w:rsidRPr="00075CA1">
        <w:rPr>
          <w:rFonts w:cs="Times New Roman"/>
          <w:vertAlign w:val="superscript"/>
        </w:rPr>
        <w:t>4</w:t>
      </w:r>
      <w:proofErr w:type="gramEnd"/>
      <w:r w:rsidRPr="00075CA1">
        <w:rPr>
          <w:rFonts w:cs="Times New Roman"/>
          <w:vertAlign w:val="superscript"/>
        </w:rPr>
        <w:t xml:space="preserve"> </w:t>
      </w:r>
      <w:r w:rsidRPr="00075CA1">
        <w:rPr>
          <w:rFonts w:cs="Times New Roman"/>
        </w:rPr>
        <w:t>a subset of genome wide association studies supported by the National Human Genome Research Institute.</w:t>
      </w:r>
      <w:r w:rsidRPr="00075CA1">
        <w:rPr>
          <w:rFonts w:cs="Times New Roman"/>
          <w:vertAlign w:val="superscript"/>
        </w:rPr>
        <w:t xml:space="preserve">5 </w:t>
      </w:r>
      <w:r w:rsidRPr="00075CA1">
        <w:rPr>
          <w:rFonts w:cs="Times New Roman"/>
        </w:rPr>
        <w:t xml:space="preserve">Other POAG cases and controls that were genotyped on various </w:t>
      </w:r>
      <w:proofErr w:type="spellStart"/>
      <w:r w:rsidRPr="00075CA1">
        <w:rPr>
          <w:rFonts w:cs="Times New Roman"/>
        </w:rPr>
        <w:t>Illumina</w:t>
      </w:r>
      <w:proofErr w:type="spellEnd"/>
      <w:r w:rsidRPr="00075CA1">
        <w:rPr>
          <w:rFonts w:cs="Times New Roman"/>
        </w:rPr>
        <w:t xml:space="preserve"> platforms were added</w:t>
      </w:r>
      <w:r w:rsidR="00542E81" w:rsidRPr="00075CA1">
        <w:rPr>
          <w:rFonts w:cs="Times New Roman"/>
        </w:rPr>
        <w:t>,</w:t>
      </w:r>
      <w:r w:rsidRPr="00075CA1">
        <w:rPr>
          <w:rFonts w:cs="Times New Roman"/>
        </w:rPr>
        <w:t xml:space="preserve"> including genome wide studies of breast cancer, pancreatic cancer and kidney stones (in NHS and NHS2). After applying the same exclusion criteria above plus also excluding cancer cases and all POAG cases with pre-existing cancer, 259 POAG cases and 1367 controls remained.</w:t>
      </w:r>
    </w:p>
    <w:p w14:paraId="3C312B5A" w14:textId="77777777" w:rsidR="004800EF" w:rsidRPr="00075CA1" w:rsidRDefault="004800EF" w:rsidP="004800EF">
      <w:pPr>
        <w:rPr>
          <w:rFonts w:cs="Times New Roman"/>
        </w:rPr>
      </w:pPr>
      <w:r w:rsidRPr="00075CA1">
        <w:rPr>
          <w:rFonts w:cs="Times New Roman"/>
          <w:i/>
        </w:rPr>
        <w:t>Women</w:t>
      </w:r>
      <w:r w:rsidR="00542E81" w:rsidRPr="00075CA1">
        <w:rPr>
          <w:rFonts w:cs="Times New Roman"/>
          <w:i/>
        </w:rPr>
        <w:t>’</w:t>
      </w:r>
      <w:r w:rsidRPr="00075CA1">
        <w:rPr>
          <w:rFonts w:cs="Times New Roman"/>
          <w:i/>
        </w:rPr>
        <w:t>s Genome Health Study (WGHS)</w:t>
      </w:r>
      <w:r w:rsidRPr="00075CA1">
        <w:rPr>
          <w:rFonts w:cs="Times New Roman"/>
        </w:rPr>
        <w:t xml:space="preserve"> – This is a POAG case-cohort study where case identification occurred as previously described.</w:t>
      </w:r>
      <w:r w:rsidRPr="00075CA1">
        <w:rPr>
          <w:rFonts w:cs="Times New Roman"/>
          <w:vertAlign w:val="superscript"/>
        </w:rPr>
        <w:t xml:space="preserve">1 </w:t>
      </w:r>
      <w:r w:rsidRPr="00075CA1">
        <w:rPr>
          <w:rFonts w:cs="Times New Roman"/>
        </w:rPr>
        <w:t>The WGHS has been previously described</w:t>
      </w:r>
      <w:r w:rsidRPr="00075CA1">
        <w:rPr>
          <w:rFonts w:cs="Times New Roman"/>
          <w:vertAlign w:val="superscript"/>
        </w:rPr>
        <w:t xml:space="preserve">6 </w:t>
      </w:r>
      <w:r w:rsidRPr="00075CA1">
        <w:rPr>
          <w:rFonts w:cs="Times New Roman"/>
        </w:rPr>
        <w:t>and has contributed to the understanding of the genetic architecture for various complex traits.</w:t>
      </w:r>
    </w:p>
    <w:p w14:paraId="4558FA08" w14:textId="4B1D960C" w:rsidR="004800EF" w:rsidRPr="00075CA1" w:rsidRDefault="004800EF" w:rsidP="004800EF">
      <w:pPr>
        <w:rPr>
          <w:rFonts w:cs="Times New Roman"/>
        </w:rPr>
      </w:pPr>
      <w:r w:rsidRPr="00075CA1">
        <w:rPr>
          <w:rFonts w:cs="Times New Roman"/>
          <w:i/>
        </w:rPr>
        <w:t>Ocular Hypertension Treatment Study (OHTS)</w:t>
      </w:r>
      <w:r w:rsidRPr="00075CA1">
        <w:rPr>
          <w:rFonts w:cs="Times New Roman"/>
        </w:rPr>
        <w:t xml:space="preserve"> – The OHTS was a multi-center randomized clinical trial (RCT) of patients with elevated intraocular pressure (IOP), normal optic nerves and full visual fields.</w:t>
      </w:r>
      <w:r w:rsidRPr="00075CA1">
        <w:rPr>
          <w:rFonts w:cs="Times New Roman"/>
          <w:vertAlign w:val="superscript"/>
        </w:rPr>
        <w:t>7</w:t>
      </w:r>
      <w:r w:rsidRPr="00075CA1">
        <w:rPr>
          <w:rFonts w:cs="Times New Roman"/>
        </w:rPr>
        <w:t xml:space="preserve"> In this N</w:t>
      </w:r>
      <w:r w:rsidR="00741D8E">
        <w:rPr>
          <w:rFonts w:cs="Times New Roman"/>
        </w:rPr>
        <w:t xml:space="preserve">ational </w:t>
      </w:r>
      <w:r w:rsidRPr="00075CA1">
        <w:rPr>
          <w:rFonts w:cs="Times New Roman"/>
        </w:rPr>
        <w:t>E</w:t>
      </w:r>
      <w:r w:rsidR="00741D8E">
        <w:rPr>
          <w:rFonts w:cs="Times New Roman"/>
        </w:rPr>
        <w:t xml:space="preserve">ye </w:t>
      </w:r>
      <w:r w:rsidRPr="00075CA1">
        <w:rPr>
          <w:rFonts w:cs="Times New Roman"/>
        </w:rPr>
        <w:t>I</w:t>
      </w:r>
      <w:r w:rsidR="00741D8E">
        <w:rPr>
          <w:rFonts w:cs="Times New Roman"/>
        </w:rPr>
        <w:t>nstitute</w:t>
      </w:r>
      <w:bookmarkStart w:id="0" w:name="_GoBack"/>
      <w:bookmarkEnd w:id="0"/>
      <w:r w:rsidRPr="00075CA1">
        <w:rPr>
          <w:rFonts w:cs="Times New Roman"/>
        </w:rPr>
        <w:t xml:space="preserve">-sponsored study, patients were randomized to glaucoma treatment versus observation. Patients who converted to POAG either had an optic disc change, visual field loss or both as determined at disc reading centers or visual field reading centers that were masked to treatment status.  </w:t>
      </w:r>
    </w:p>
    <w:p w14:paraId="017CD2B0" w14:textId="6C8FB479" w:rsidR="004800EF" w:rsidRPr="00075CA1" w:rsidRDefault="004800EF" w:rsidP="004800EF">
      <w:pPr>
        <w:rPr>
          <w:rFonts w:cs="Times New Roman"/>
        </w:rPr>
      </w:pPr>
      <w:r w:rsidRPr="00075CA1">
        <w:rPr>
          <w:rFonts w:cs="Times New Roman"/>
          <w:i/>
        </w:rPr>
        <w:lastRenderedPageBreak/>
        <w:t>Mass Eye &amp; Ear Infirmary</w:t>
      </w:r>
      <w:r w:rsidRPr="00075CA1">
        <w:rPr>
          <w:rFonts w:cs="Times New Roman"/>
        </w:rPr>
        <w:t xml:space="preserve">  - This is a clinic-based case control dataset collected in the Boston area and were ge</w:t>
      </w:r>
      <w:r w:rsidR="009D1E98" w:rsidRPr="00075CA1">
        <w:rPr>
          <w:rFonts w:cs="Times New Roman"/>
        </w:rPr>
        <w:t xml:space="preserve">notyped as part of the GLAUGEN </w:t>
      </w:r>
      <w:r w:rsidRPr="00075CA1">
        <w:rPr>
          <w:rFonts w:cs="Times New Roman"/>
        </w:rPr>
        <w:t>study.</w:t>
      </w:r>
      <w:r w:rsidRPr="00075CA1">
        <w:rPr>
          <w:rFonts w:cs="Times New Roman"/>
          <w:vertAlign w:val="superscript"/>
        </w:rPr>
        <w:t>4</w:t>
      </w:r>
      <w:r w:rsidRPr="00075CA1">
        <w:rPr>
          <w:rFonts w:cs="Times New Roman"/>
        </w:rPr>
        <w:t xml:space="preserve"> </w:t>
      </w:r>
    </w:p>
    <w:p w14:paraId="2CAB4BE2" w14:textId="0FACBBBA" w:rsidR="004800EF" w:rsidRPr="00075CA1" w:rsidRDefault="004800EF" w:rsidP="004800EF">
      <w:pPr>
        <w:rPr>
          <w:rFonts w:cs="Times New Roman"/>
        </w:rPr>
      </w:pPr>
      <w:r w:rsidRPr="00075CA1">
        <w:rPr>
          <w:rFonts w:cs="Times New Roman"/>
          <w:i/>
        </w:rPr>
        <w:t>National Eye Institute Glaucoma Human Genetics Collaboration (NEIGHBOR)</w:t>
      </w:r>
      <w:r w:rsidRPr="00075CA1">
        <w:rPr>
          <w:rFonts w:cs="Times New Roman"/>
        </w:rPr>
        <w:t xml:space="preserve"> – The NEIGHBOR dataset consists of case-control sets from 9 academic centers (Duke, Marshfield Clinic, University of Michigan, University of Pittsburgh, University of California San Diego, Stanford University, West Virginia University, Johns Hopkins University and University of Miami) plus cases from 2 glaucoma RCTs (</w:t>
      </w:r>
      <w:r w:rsidR="009D1E98" w:rsidRPr="00075CA1">
        <w:rPr>
          <w:rFonts w:cs="Times New Roman"/>
        </w:rPr>
        <w:t xml:space="preserve">the </w:t>
      </w:r>
      <w:r w:rsidRPr="00075CA1">
        <w:rPr>
          <w:rFonts w:cs="Times New Roman"/>
        </w:rPr>
        <w:t>Advanced Glaucoma intervention Study and the Collaborative Glaucoma Intervention Study)</w:t>
      </w:r>
      <w:proofErr w:type="gramStart"/>
      <w:r w:rsidRPr="00075CA1">
        <w:rPr>
          <w:rFonts w:cs="Times New Roman"/>
        </w:rPr>
        <w:t>.</w:t>
      </w:r>
      <w:r w:rsidRPr="00075CA1">
        <w:rPr>
          <w:rFonts w:cs="Times New Roman"/>
          <w:vertAlign w:val="superscript"/>
        </w:rPr>
        <w:t>8</w:t>
      </w:r>
      <w:proofErr w:type="gramEnd"/>
      <w:r w:rsidRPr="00075CA1">
        <w:rPr>
          <w:rFonts w:cs="Times New Roman"/>
        </w:rPr>
        <w:t xml:space="preserve"> The case definition was comparable to the definition used in the NHS except patients could have only one visual field with loss consistent with g</w:t>
      </w:r>
      <w:r w:rsidR="0071672F">
        <w:rPr>
          <w:rFonts w:cs="Times New Roman"/>
        </w:rPr>
        <w:t xml:space="preserve">laucoma as long as there was cup-disc ratio </w:t>
      </w:r>
      <w:r w:rsidRPr="00075CA1">
        <w:rPr>
          <w:rFonts w:cs="Times New Roman"/>
        </w:rPr>
        <w:t>≥</w:t>
      </w:r>
      <w:r w:rsidR="0071672F">
        <w:rPr>
          <w:rFonts w:cs="Times New Roman"/>
        </w:rPr>
        <w:t xml:space="preserve"> </w:t>
      </w:r>
      <w:r w:rsidRPr="00075CA1">
        <w:rPr>
          <w:rFonts w:cs="Times New Roman"/>
        </w:rPr>
        <w:t xml:space="preserve">0.7. </w:t>
      </w:r>
    </w:p>
    <w:p w14:paraId="428ADB71" w14:textId="77777777" w:rsidR="004800EF" w:rsidRPr="00075CA1" w:rsidRDefault="004800EF" w:rsidP="004800EF">
      <w:pPr>
        <w:rPr>
          <w:rFonts w:cs="Times New Roman"/>
        </w:rPr>
      </w:pPr>
      <w:r w:rsidRPr="00075CA1">
        <w:rPr>
          <w:rFonts w:cs="Times New Roman"/>
          <w:i/>
        </w:rPr>
        <w:t>Marshfield</w:t>
      </w:r>
      <w:r w:rsidRPr="00075CA1">
        <w:rPr>
          <w:rFonts w:cs="Times New Roman"/>
        </w:rPr>
        <w:t xml:space="preserve"> – This is a clinic-based case control group from Marshfield clinic distinct from the case control set genotyped as part of NEIGHBOR.  POAG cases had a cup disc ratio ≥ 0.8 or at least one visual field consistent with glaucoma.</w:t>
      </w:r>
    </w:p>
    <w:p w14:paraId="6411682F" w14:textId="77777777" w:rsidR="004800EF" w:rsidRPr="00075CA1" w:rsidRDefault="004800EF" w:rsidP="004800EF">
      <w:pPr>
        <w:rPr>
          <w:rFonts w:cs="Times New Roman"/>
        </w:rPr>
      </w:pPr>
      <w:r w:rsidRPr="00075CA1">
        <w:rPr>
          <w:rFonts w:cs="Times New Roman"/>
          <w:i/>
        </w:rPr>
        <w:t>Iowa</w:t>
      </w:r>
      <w:r w:rsidRPr="00075CA1">
        <w:rPr>
          <w:rFonts w:cs="Times New Roman"/>
        </w:rPr>
        <w:t xml:space="preserve"> - This is a clinic-based case control group from University of Iowa.  Cases were defined as described above for NEIGHBOR.</w:t>
      </w:r>
    </w:p>
    <w:p w14:paraId="0AD6CB6A" w14:textId="087F64E8" w:rsidR="004800EF" w:rsidRPr="00075CA1" w:rsidRDefault="004800EF" w:rsidP="004800EF">
      <w:pPr>
        <w:rPr>
          <w:rFonts w:cs="Times New Roman"/>
        </w:rPr>
      </w:pPr>
      <w:r w:rsidRPr="00075CA1">
        <w:rPr>
          <w:rFonts w:cs="Times New Roman"/>
        </w:rPr>
        <w:t>For each dataset details regarding the genotype data cleaning, handling of population stratification and approach to imputation are addressed in the supplemental material of Bailey et al.</w:t>
      </w:r>
      <w:r w:rsidR="00075CA1" w:rsidRPr="00075CA1">
        <w:rPr>
          <w:rFonts w:cs="Times New Roman"/>
          <w:vertAlign w:val="superscript"/>
        </w:rPr>
        <w:t>24</w:t>
      </w:r>
      <w:r w:rsidR="00075CA1" w:rsidRPr="00075CA1">
        <w:rPr>
          <w:rFonts w:cs="Times New Roman"/>
        </w:rPr>
        <w:t xml:space="preserve"> in the man text.</w:t>
      </w:r>
      <w:r w:rsidRPr="00075CA1">
        <w:rPr>
          <w:rFonts w:cs="Times New Roman"/>
        </w:rPr>
        <w:t xml:space="preserve"> </w:t>
      </w:r>
    </w:p>
    <w:p w14:paraId="6D464A0B" w14:textId="77777777" w:rsidR="004800EF" w:rsidRPr="00075CA1" w:rsidRDefault="004800EF" w:rsidP="004800EF">
      <w:pPr>
        <w:rPr>
          <w:rFonts w:cs="Times New Roman"/>
        </w:rPr>
      </w:pPr>
      <w:r w:rsidRPr="00075CA1">
        <w:rPr>
          <w:rFonts w:cs="Times New Roman"/>
        </w:rPr>
        <w:t>References:</w:t>
      </w:r>
    </w:p>
    <w:p w14:paraId="3C936C1A" w14:textId="77777777" w:rsidR="004800EF" w:rsidRPr="00075CA1" w:rsidRDefault="004800EF" w:rsidP="004800EF">
      <w:r w:rsidRPr="00075CA1">
        <w:rPr>
          <w:rFonts w:cs="Times New Roman"/>
        </w:rPr>
        <w:t xml:space="preserve">1. </w:t>
      </w:r>
      <w:r w:rsidRPr="00075CA1">
        <w:t>Pasquale LR, et al. Anthropometric Measures and their Relation to Incident Primary Open-Angle Glaucoma. Ophthalmology 2010</w:t>
      </w:r>
      <w:proofErr w:type="gramStart"/>
      <w:r w:rsidRPr="00075CA1">
        <w:t>;117:1521</w:t>
      </w:r>
      <w:proofErr w:type="gramEnd"/>
      <w:r w:rsidRPr="00075CA1">
        <w:t>-29.</w:t>
      </w:r>
    </w:p>
    <w:p w14:paraId="7EA6EEB1" w14:textId="77777777" w:rsidR="004800EF" w:rsidRPr="00075CA1" w:rsidRDefault="004800EF" w:rsidP="004800EF">
      <w:r w:rsidRPr="00075CA1">
        <w:t>2. Pasquale LR, et al. Prospective study of type 2 diabetes mellitus and risk of primary open-angle glaucoma in women. Ophthalmology. 2006 Jul</w:t>
      </w:r>
      <w:proofErr w:type="gramStart"/>
      <w:r w:rsidRPr="00075CA1">
        <w:t>;113</w:t>
      </w:r>
      <w:proofErr w:type="gramEnd"/>
      <w:r w:rsidRPr="00075CA1">
        <w:t>(7):1081-6.</w:t>
      </w:r>
    </w:p>
    <w:p w14:paraId="652006EB" w14:textId="77777777" w:rsidR="004800EF" w:rsidRPr="00075CA1" w:rsidRDefault="004800EF" w:rsidP="004800EF">
      <w:r w:rsidRPr="00075CA1">
        <w:t>3. Zhao D, et al. Diabetes, fasting glucose and the risk of glaucoma: a meta-analysis. Ophthalmology 2015</w:t>
      </w:r>
      <w:proofErr w:type="gramStart"/>
      <w:r w:rsidRPr="00075CA1">
        <w:t>;122:72</w:t>
      </w:r>
      <w:proofErr w:type="gramEnd"/>
      <w:r w:rsidRPr="00075CA1">
        <w:t>-8.</w:t>
      </w:r>
    </w:p>
    <w:p w14:paraId="18B640B6" w14:textId="77777777" w:rsidR="004800EF" w:rsidRPr="00075CA1" w:rsidRDefault="004800EF" w:rsidP="004800EF">
      <w:r w:rsidRPr="00075CA1">
        <w:t xml:space="preserve">4. </w:t>
      </w:r>
      <w:proofErr w:type="spellStart"/>
      <w:r w:rsidRPr="00075CA1">
        <w:t>Wiggs</w:t>
      </w:r>
      <w:proofErr w:type="spellEnd"/>
      <w:r w:rsidRPr="00075CA1">
        <w:t xml:space="preserve"> JL, et al. Common variants near CAV1 and CAV2 are associated with primary open-angle glaucoma in Caucasians from the USA. Hum </w:t>
      </w:r>
      <w:proofErr w:type="spellStart"/>
      <w:r w:rsidRPr="00075CA1">
        <w:t>Mol</w:t>
      </w:r>
      <w:proofErr w:type="spellEnd"/>
      <w:r w:rsidRPr="00075CA1">
        <w:t xml:space="preserve"> Genet. 2011</w:t>
      </w:r>
      <w:proofErr w:type="gramStart"/>
      <w:r w:rsidRPr="00075CA1">
        <w:t>;20:4707</w:t>
      </w:r>
      <w:proofErr w:type="gramEnd"/>
      <w:r w:rsidRPr="00075CA1">
        <w:t>-13.</w:t>
      </w:r>
    </w:p>
    <w:p w14:paraId="22DD49B4" w14:textId="77777777" w:rsidR="004800EF" w:rsidRPr="00075CA1" w:rsidRDefault="004800EF" w:rsidP="004800EF">
      <w:r w:rsidRPr="00075CA1">
        <w:t xml:space="preserve">5. </w:t>
      </w:r>
      <w:proofErr w:type="spellStart"/>
      <w:r w:rsidRPr="00075CA1">
        <w:t>Cornelis</w:t>
      </w:r>
      <w:proofErr w:type="spellEnd"/>
      <w:r w:rsidRPr="00075CA1">
        <w:t xml:space="preserve"> MC, et al. The Gene, Environment Association Studies Consortium (GENEVA): Maximizing the knowledge obtained from GWAS by collaboration across studies of multiple conditions. Genetic Epidemiology, 2010</w:t>
      </w:r>
      <w:proofErr w:type="gramStart"/>
      <w:r w:rsidRPr="00075CA1">
        <w:t>;34:364</w:t>
      </w:r>
      <w:proofErr w:type="gramEnd"/>
      <w:r w:rsidRPr="00075CA1">
        <w:t>-72.</w:t>
      </w:r>
    </w:p>
    <w:p w14:paraId="1E615217" w14:textId="77777777" w:rsidR="004800EF" w:rsidRPr="00075CA1" w:rsidRDefault="004800EF" w:rsidP="004800EF">
      <w:r w:rsidRPr="00075CA1">
        <w:t xml:space="preserve">6. </w:t>
      </w:r>
      <w:proofErr w:type="spellStart"/>
      <w:r w:rsidRPr="00075CA1">
        <w:t>Ridker</w:t>
      </w:r>
      <w:proofErr w:type="spellEnd"/>
      <w:r w:rsidRPr="00075CA1">
        <w:t xml:space="preserve"> PM, et al. Women’s Genome Health Study Working Group. Rationale, design and methodology of the Women’s Genome </w:t>
      </w:r>
      <w:proofErr w:type="spellStart"/>
      <w:r w:rsidRPr="00075CA1">
        <w:t>Hea</w:t>
      </w:r>
      <w:proofErr w:type="gramStart"/>
      <w:r w:rsidRPr="00075CA1">
        <w:t>;th</w:t>
      </w:r>
      <w:proofErr w:type="spellEnd"/>
      <w:proofErr w:type="gramEnd"/>
      <w:r w:rsidRPr="00075CA1">
        <w:t xml:space="preserve"> Study: a genome-wide association study of more than 25,000 initially healthy American women. </w:t>
      </w:r>
      <w:proofErr w:type="spellStart"/>
      <w:r w:rsidRPr="00075CA1">
        <w:t>Clin</w:t>
      </w:r>
      <w:proofErr w:type="spellEnd"/>
      <w:r w:rsidRPr="00075CA1">
        <w:t xml:space="preserve"> </w:t>
      </w:r>
      <w:proofErr w:type="spellStart"/>
      <w:r w:rsidRPr="00075CA1">
        <w:t>Chem</w:t>
      </w:r>
      <w:proofErr w:type="spellEnd"/>
      <w:r w:rsidRPr="00075CA1">
        <w:t xml:space="preserve"> 2008; 54:249-55.</w:t>
      </w:r>
    </w:p>
    <w:p w14:paraId="1696EBB7" w14:textId="77777777" w:rsidR="004800EF" w:rsidRPr="00075CA1" w:rsidRDefault="004800EF" w:rsidP="004800EF">
      <w:r w:rsidRPr="00075CA1">
        <w:t xml:space="preserve">7. Gordon MO, </w:t>
      </w:r>
      <w:proofErr w:type="spellStart"/>
      <w:r w:rsidRPr="00075CA1">
        <w:t>Kass</w:t>
      </w:r>
      <w:proofErr w:type="spellEnd"/>
      <w:r w:rsidRPr="00075CA1">
        <w:t xml:space="preserve"> MA. The Ocular Hypertension Treatment Study: design and baseline description of the participants. Arch </w:t>
      </w:r>
      <w:proofErr w:type="spellStart"/>
      <w:r w:rsidRPr="00075CA1">
        <w:t>Ophthalmol</w:t>
      </w:r>
      <w:proofErr w:type="spellEnd"/>
      <w:r w:rsidRPr="00075CA1">
        <w:t>. 1999</w:t>
      </w:r>
      <w:proofErr w:type="gramStart"/>
      <w:r w:rsidRPr="00075CA1">
        <w:t>;117:573</w:t>
      </w:r>
      <w:proofErr w:type="gramEnd"/>
      <w:r w:rsidRPr="00075CA1">
        <w:t>-83.</w:t>
      </w:r>
    </w:p>
    <w:p w14:paraId="36DD772A" w14:textId="77777777" w:rsidR="004800EF" w:rsidRPr="00075CA1" w:rsidRDefault="004800EF" w:rsidP="004800EF">
      <w:r w:rsidRPr="00075CA1">
        <w:t xml:space="preserve">8. </w:t>
      </w:r>
      <w:proofErr w:type="spellStart"/>
      <w:r w:rsidRPr="00075CA1">
        <w:t>Wiggs</w:t>
      </w:r>
      <w:proofErr w:type="spellEnd"/>
      <w:r w:rsidRPr="00075CA1">
        <w:t xml:space="preserve"> JL, et al. Common variants at 9p21 and 8q22 are associated with increased susceptibility to optic nerve degeneration in glaucoma. </w:t>
      </w:r>
      <w:proofErr w:type="spellStart"/>
      <w:r w:rsidRPr="00075CA1">
        <w:t>PLoS</w:t>
      </w:r>
      <w:proofErr w:type="spellEnd"/>
      <w:r w:rsidRPr="00075CA1">
        <w:t xml:space="preserve"> Genet. 2012;8(4)</w:t>
      </w:r>
      <w:proofErr w:type="gramStart"/>
      <w:r w:rsidRPr="00075CA1">
        <w:t>:e1002654</w:t>
      </w:r>
      <w:proofErr w:type="gramEnd"/>
      <w:r w:rsidRPr="00075CA1">
        <w:t>.</w:t>
      </w:r>
    </w:p>
    <w:p w14:paraId="69315C20" w14:textId="77777777" w:rsidR="00C63947" w:rsidRPr="00075CA1" w:rsidRDefault="00C63947"/>
    <w:sectPr w:rsidR="00C63947" w:rsidRPr="00075CA1" w:rsidSect="005719C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0EF"/>
    <w:rsid w:val="00075CA1"/>
    <w:rsid w:val="002C6311"/>
    <w:rsid w:val="004800EF"/>
    <w:rsid w:val="00542E81"/>
    <w:rsid w:val="005719C7"/>
    <w:rsid w:val="00655FA4"/>
    <w:rsid w:val="0071672F"/>
    <w:rsid w:val="00741D8E"/>
    <w:rsid w:val="00802D2C"/>
    <w:rsid w:val="009D1E98"/>
    <w:rsid w:val="00C63947"/>
    <w:rsid w:val="00CA20E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9E8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0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00EF"/>
    <w:pPr>
      <w:spacing w:after="0"/>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0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00EF"/>
    <w:pPr>
      <w:spacing w:after="0"/>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806</Words>
  <Characters>4599</Characters>
  <Application>Microsoft Macintosh Word</Application>
  <DocSecurity>0</DocSecurity>
  <Lines>38</Lines>
  <Paragraphs>10</Paragraphs>
  <ScaleCrop>false</ScaleCrop>
  <Company>Mass Eye and Ear Infirmary</Company>
  <LinksUpToDate>false</LinksUpToDate>
  <CharactersWithSpaces>5395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Pasquale</dc:creator>
  <cp:keywords/>
  <dc:description/>
  <cp:lastModifiedBy>Louis Pasquale</cp:lastModifiedBy>
  <cp:revision>4</cp:revision>
  <dcterms:created xsi:type="dcterms:W3CDTF">2016-06-18T10:46:00Z</dcterms:created>
  <dcterms:modified xsi:type="dcterms:W3CDTF">2016-06-18T10:49:00Z</dcterms:modified>
</cp:coreProperties>
</file>