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BC733" w14:textId="77777777" w:rsidR="005343C3" w:rsidRDefault="005343C3" w:rsidP="005343C3">
      <w:pPr>
        <w:pStyle w:val="Heading1"/>
        <w:jc w:val="center"/>
      </w:pPr>
      <w:bookmarkStart w:id="0" w:name="_Hlk68682868"/>
      <w:r>
        <w:t>Supplemental DIGITAL CONTENT</w:t>
      </w:r>
    </w:p>
    <w:p w14:paraId="3D15BA62" w14:textId="77777777" w:rsidR="005343C3" w:rsidRDefault="005343C3" w:rsidP="005343C3">
      <w:pPr>
        <w:spacing w:line="240" w:lineRule="auto"/>
        <w:jc w:val="center"/>
        <w:rPr>
          <w:rFonts w:cs="Arial"/>
          <w:b/>
        </w:rPr>
      </w:pPr>
      <w:r>
        <w:rPr>
          <w:rFonts w:cs="Arial"/>
          <w:b/>
        </w:rPr>
        <w:t>Impact of Sleep Disturbances on Employment and Work Productivity Among Midlife Women in the US SWAN Database: A Brief Report</w:t>
      </w:r>
    </w:p>
    <w:p w14:paraId="059C06B0" w14:textId="77777777" w:rsidR="005343C3" w:rsidRDefault="005343C3" w:rsidP="005343C3">
      <w:pPr>
        <w:spacing w:line="240" w:lineRule="auto"/>
        <w:jc w:val="center"/>
        <w:rPr>
          <w:rFonts w:cs="Arial"/>
          <w:b/>
        </w:rPr>
      </w:pPr>
    </w:p>
    <w:p w14:paraId="59C6F1E2" w14:textId="4D6CDFBD" w:rsidR="005343C3" w:rsidRDefault="005343C3" w:rsidP="005343C3">
      <w:pPr>
        <w:keepNext/>
        <w:spacing w:line="240" w:lineRule="auto"/>
        <w:jc w:val="center"/>
        <w:rPr>
          <w:vertAlign w:val="superscript"/>
        </w:rPr>
      </w:pPr>
      <w:r w:rsidRPr="00293457">
        <w:t>Risa Kagan</w:t>
      </w:r>
      <w:r>
        <w:t>, MD,</w:t>
      </w:r>
      <w:r w:rsidRPr="0016615C">
        <w:t xml:space="preserve"> FACOG,</w:t>
      </w:r>
      <w:r>
        <w:t xml:space="preserve"> </w:t>
      </w:r>
      <w:r w:rsidRPr="0016615C">
        <w:t>CCD,</w:t>
      </w:r>
      <w:r>
        <w:t xml:space="preserve"> </w:t>
      </w:r>
      <w:r w:rsidRPr="0016615C">
        <w:t>NCMP</w:t>
      </w:r>
      <w:r>
        <w:t xml:space="preserve">; </w:t>
      </w:r>
      <w:r w:rsidRPr="00293457">
        <w:t xml:space="preserve">Aki </w:t>
      </w:r>
      <w:proofErr w:type="spellStart"/>
      <w:r w:rsidRPr="00293457">
        <w:t>Shiozawa</w:t>
      </w:r>
      <w:proofErr w:type="spellEnd"/>
      <w:r w:rsidRPr="00293457">
        <w:t>,</w:t>
      </w:r>
      <w:r>
        <w:t xml:space="preserve"> MPH, MBA, DrPH; </w:t>
      </w:r>
      <w:r>
        <w:br/>
      </w:r>
      <w:r w:rsidRPr="00293457">
        <w:t>Andrew J. Epstein,</w:t>
      </w:r>
      <w:r>
        <w:t xml:space="preserve"> </w:t>
      </w:r>
      <w:r w:rsidRPr="0016615C">
        <w:t>P</w:t>
      </w:r>
      <w:r w:rsidR="00E13EA8">
        <w:t>h</w:t>
      </w:r>
      <w:r w:rsidRPr="0016615C">
        <w:t>D, MPP</w:t>
      </w:r>
      <w:r>
        <w:t xml:space="preserve">; </w:t>
      </w:r>
      <w:r w:rsidRPr="00293457">
        <w:t>Robert Espinosa</w:t>
      </w:r>
      <w:r>
        <w:t>, MBA</w:t>
      </w:r>
    </w:p>
    <w:p w14:paraId="403A44A4" w14:textId="77777777" w:rsidR="005343C3" w:rsidRDefault="005343C3" w:rsidP="005343C3">
      <w:pPr>
        <w:keepNext/>
        <w:spacing w:line="240" w:lineRule="auto"/>
        <w:jc w:val="center"/>
      </w:pPr>
    </w:p>
    <w:p w14:paraId="166823BE" w14:textId="3826845E" w:rsidR="005343C3" w:rsidRDefault="005343C3" w:rsidP="005343C3">
      <w:pPr>
        <w:tabs>
          <w:tab w:val="clear" w:pos="0"/>
        </w:tabs>
        <w:spacing w:line="240" w:lineRule="auto"/>
        <w:jc w:val="center"/>
      </w:pPr>
      <w:r>
        <w:t xml:space="preserve">Corresponding author: Risa Kagan, MD </w:t>
      </w:r>
      <w:r>
        <w:br/>
        <w:t>phone: 510-204-5600; email: kaganr@sutterhealth.org</w:t>
      </w:r>
    </w:p>
    <w:p w14:paraId="342FF389" w14:textId="77777777" w:rsidR="005343C3" w:rsidRDefault="005343C3" w:rsidP="005343C3"/>
    <w:p w14:paraId="46B89640" w14:textId="77777777" w:rsidR="005343C3" w:rsidRDefault="005343C3" w:rsidP="005343C3">
      <w:pPr>
        <w:tabs>
          <w:tab w:val="clear" w:pos="0"/>
        </w:tabs>
        <w:spacing w:line="360" w:lineRule="auto"/>
        <w:ind w:left="540" w:hanging="540"/>
        <w:outlineLvl w:val="9"/>
      </w:pPr>
    </w:p>
    <w:p w14:paraId="63D83882" w14:textId="77777777" w:rsidR="00404BA3" w:rsidRDefault="00404BA3" w:rsidP="005343C3">
      <w:pPr>
        <w:pStyle w:val="Heading1"/>
        <w:spacing w:line="360" w:lineRule="auto"/>
      </w:pPr>
      <w:bookmarkStart w:id="1" w:name="_Hlk57726281"/>
      <w:bookmarkStart w:id="2" w:name="_Hlk55466768"/>
      <w:bookmarkEnd w:id="0"/>
      <w:r>
        <w:t>Supplemental DIGITAL CONTENT</w:t>
      </w:r>
    </w:p>
    <w:p w14:paraId="78FCCBC8" w14:textId="77777777" w:rsidR="00404BA3" w:rsidRDefault="00404BA3" w:rsidP="005343C3">
      <w:pPr>
        <w:spacing w:line="360" w:lineRule="auto"/>
      </w:pPr>
      <w:r w:rsidRPr="008C345A">
        <w:t xml:space="preserve">Supplemental Digital Content 1. Additional </w:t>
      </w:r>
      <w:r>
        <w:t>M</w:t>
      </w:r>
      <w:r w:rsidRPr="008C345A">
        <w:t xml:space="preserve">ethods </w:t>
      </w:r>
    </w:p>
    <w:p w14:paraId="1522C1D4" w14:textId="77777777" w:rsidR="00404BA3" w:rsidRPr="008C345A" w:rsidRDefault="00404BA3" w:rsidP="005343C3">
      <w:pPr>
        <w:spacing w:line="360" w:lineRule="auto"/>
      </w:pPr>
      <w:r>
        <w:t>Supplemental Digital Content 2. Calculations of Individual and National Economic Burden</w:t>
      </w:r>
    </w:p>
    <w:p w14:paraId="4230E0CD" w14:textId="77777777" w:rsidR="005343C3" w:rsidRDefault="005343C3" w:rsidP="005343C3">
      <w:pPr>
        <w:tabs>
          <w:tab w:val="clear" w:pos="0"/>
        </w:tabs>
        <w:spacing w:line="360" w:lineRule="auto"/>
        <w:outlineLvl w:val="9"/>
      </w:pPr>
    </w:p>
    <w:p w14:paraId="1D47D088" w14:textId="77777777" w:rsidR="005343C3" w:rsidRDefault="005343C3" w:rsidP="005343C3">
      <w:pPr>
        <w:tabs>
          <w:tab w:val="clear" w:pos="0"/>
        </w:tabs>
        <w:spacing w:line="360" w:lineRule="auto"/>
        <w:outlineLvl w:val="9"/>
      </w:pPr>
    </w:p>
    <w:p w14:paraId="538D5811" w14:textId="77777777" w:rsidR="00404BA3" w:rsidRDefault="00404BA3" w:rsidP="005343C3">
      <w:pPr>
        <w:pStyle w:val="Heading2"/>
        <w:spacing w:line="360" w:lineRule="auto"/>
      </w:pPr>
      <w:r>
        <w:t>Supplemental Digital Content 1. Additional Methods</w:t>
      </w:r>
    </w:p>
    <w:p w14:paraId="70785E03" w14:textId="77777777" w:rsidR="00404BA3" w:rsidRDefault="00404BA3" w:rsidP="005343C3">
      <w:pPr>
        <w:pStyle w:val="Heading3"/>
        <w:spacing w:line="360" w:lineRule="auto"/>
      </w:pPr>
      <w:r>
        <w:t>Definition of Employment Status</w:t>
      </w:r>
    </w:p>
    <w:p w14:paraId="54BB9120" w14:textId="77777777" w:rsidR="00404BA3" w:rsidRDefault="00404BA3" w:rsidP="005343C3">
      <w:pPr>
        <w:spacing w:line="360" w:lineRule="auto"/>
      </w:pPr>
      <w:r>
        <w:t>As noted in the article, the study was based on a secondary analysis of data from the multisite, longitudinal, epidemiologic SWAN database and the analysis was limited to data from women who reported paid employment at the baseline visit and at least 1 follow-up visit. Employment status (yes/no) was</w:t>
      </w:r>
      <w:r w:rsidRPr="00E12C3D">
        <w:t xml:space="preserve"> binary indicator for whether a </w:t>
      </w:r>
      <w:r>
        <w:t>woman</w:t>
      </w:r>
      <w:r w:rsidRPr="00E12C3D">
        <w:t xml:space="preserve"> was working based on whether she reported (a) being employed for pay (</w:t>
      </w:r>
      <w:r>
        <w:t xml:space="preserve">SWAN variable name </w:t>
      </w:r>
      <w:r w:rsidRPr="00E12C3D">
        <w:t xml:space="preserve">EMPLYPA), (b) working for pay in the past </w:t>
      </w:r>
      <w:r>
        <w:t>2</w:t>
      </w:r>
      <w:r w:rsidRPr="00E12C3D">
        <w:t xml:space="preserve"> weeks (JOB), or (c) having positive hours worked for pay (HOURSPA). Because the </w:t>
      </w:r>
      <w:r>
        <w:t>3</w:t>
      </w:r>
      <w:r w:rsidRPr="00E12C3D">
        <w:t xml:space="preserve"> constituent variables were collected on different schedules and sometimes conflict</w:t>
      </w:r>
      <w:r>
        <w:t>ed</w:t>
      </w:r>
      <w:r w:rsidRPr="00E12C3D">
        <w:t xml:space="preserve">, </w:t>
      </w:r>
      <w:r>
        <w:t>a</w:t>
      </w:r>
      <w:r w:rsidRPr="00E12C3D">
        <w:t xml:space="preserve"> </w:t>
      </w:r>
      <w:r>
        <w:t>woman was</w:t>
      </w:r>
      <w:r w:rsidRPr="00E12C3D">
        <w:t xml:space="preserve"> coded as working based on any evidence of working. </w:t>
      </w:r>
      <w:r>
        <w:t>A woman was coded as unemployed if she actively responded as not working.</w:t>
      </w:r>
    </w:p>
    <w:p w14:paraId="3ABB522A" w14:textId="77777777" w:rsidR="00404BA3" w:rsidRDefault="00404BA3" w:rsidP="005343C3">
      <w:pPr>
        <w:spacing w:line="360" w:lineRule="auto"/>
      </w:pPr>
    </w:p>
    <w:p w14:paraId="3F4BF16C" w14:textId="77777777" w:rsidR="00404BA3" w:rsidRDefault="00404BA3" w:rsidP="005343C3">
      <w:pPr>
        <w:pStyle w:val="Heading3"/>
        <w:spacing w:line="360" w:lineRule="auto"/>
      </w:pPr>
      <w:r>
        <w:lastRenderedPageBreak/>
        <w:t>Covariates</w:t>
      </w:r>
    </w:p>
    <w:p w14:paraId="5F797FBE" w14:textId="77777777" w:rsidR="00404BA3" w:rsidRDefault="00404BA3" w:rsidP="005343C3">
      <w:pPr>
        <w:spacing w:line="360" w:lineRule="auto"/>
      </w:pPr>
      <w:r>
        <w:t>Baseline covariates included age at baseline visit (42</w:t>
      </w:r>
      <w:r>
        <w:rPr>
          <w:rFonts w:cstheme="minorHAnsi"/>
        </w:rPr>
        <w:t>-</w:t>
      </w:r>
      <w:r>
        <w:t xml:space="preserve">52 years) and study visit number. Covariates with little to no within-person variation over time included race, smoking status, comorbidity count (0, 1, 2, </w:t>
      </w:r>
      <w:r>
        <w:rPr>
          <w:rFonts w:cs="Arial"/>
        </w:rPr>
        <w:t>≥</w:t>
      </w:r>
      <w:r>
        <w:t xml:space="preserve">3), marital status (currently married, formerly married, or single/never married), number of children in the household (0, 1, 2, 3, </w:t>
      </w:r>
      <w:r>
        <w:rPr>
          <w:rFonts w:cs="Arial"/>
        </w:rPr>
        <w:t>≥</w:t>
      </w:r>
      <w:r>
        <w:t xml:space="preserve">4), and household income category ($0 to &lt;$20K, $20K to &lt;$50K, $50K to &lt;$100K, </w:t>
      </w:r>
      <w:r>
        <w:rPr>
          <w:rFonts w:cs="Arial"/>
        </w:rPr>
        <w:t>≥</w:t>
      </w:r>
      <w:r>
        <w:t>$100K).</w:t>
      </w:r>
      <w:r w:rsidDel="00AC6293">
        <w:t xml:space="preserve"> </w:t>
      </w:r>
    </w:p>
    <w:p w14:paraId="53268F1D" w14:textId="77777777" w:rsidR="00404BA3" w:rsidRDefault="00404BA3" w:rsidP="005343C3">
      <w:pPr>
        <w:spacing w:line="360" w:lineRule="auto"/>
      </w:pPr>
      <w:r>
        <w:tab/>
        <w:t xml:space="preserve">Covariates that may have varied substantially within person over time included </w:t>
      </w:r>
      <w:r w:rsidRPr="00BB5122">
        <w:t xml:space="preserve">Center for Epidemiologic Studies </w:t>
      </w:r>
      <w:r>
        <w:t>-</w:t>
      </w:r>
      <w:r w:rsidRPr="00BB5122">
        <w:t xml:space="preserve"> Depression Scale (CES</w:t>
      </w:r>
      <w:r>
        <w:t>-</w:t>
      </w:r>
      <w:r w:rsidRPr="00BB5122">
        <w:t xml:space="preserve">D) </w:t>
      </w:r>
      <w:r>
        <w:t xml:space="preserve">score and binary indicators for 7 self-reported stressors (poor work conditions, higher workload, overnight hospital stay, financial problems, relationship problems, legal problems, and family illness). </w:t>
      </w:r>
      <w:bookmarkStart w:id="3" w:name="_Hlk68175225"/>
      <w:r>
        <w:t xml:space="preserve">The count of comorbidities included 10 conditions: </w:t>
      </w:r>
      <w:r w:rsidRPr="00CB4448">
        <w:t>diabetes</w:t>
      </w:r>
      <w:r>
        <w:t xml:space="preserve">, </w:t>
      </w:r>
      <w:r w:rsidRPr="00CB4448">
        <w:t>hypertension, cholesterol, migraines</w:t>
      </w:r>
      <w:r>
        <w:t xml:space="preserve">, stroke, </w:t>
      </w:r>
      <w:r w:rsidRPr="00CB4448">
        <w:t>arthritis</w:t>
      </w:r>
      <w:r>
        <w:t xml:space="preserve">, heart attack, angina, cancer, obesity (body mass index [BMI] &gt;30). </w:t>
      </w:r>
      <w:bookmarkEnd w:id="3"/>
      <w:r>
        <w:t>Number of children in the household and the height and weight components of BMI were imputed via last observation carried forward. Comorbidities not collected at the baseline visit were imputed with the values from the first follow-up visit.</w:t>
      </w:r>
    </w:p>
    <w:p w14:paraId="094D2561" w14:textId="77777777" w:rsidR="00404BA3" w:rsidRDefault="00404BA3" w:rsidP="005343C3">
      <w:pPr>
        <w:spacing w:line="360" w:lineRule="auto"/>
        <w:ind w:firstLine="360"/>
      </w:pPr>
      <w:r w:rsidRPr="00015C8E">
        <w:t>Descriptive statistics were calculated for all covariates stratified by level of exposure</w:t>
      </w:r>
      <w:r>
        <w:t>,</w:t>
      </w:r>
      <w:r w:rsidRPr="00015C8E">
        <w:t xml:space="preserve"> and statistical tests of </w:t>
      </w:r>
      <w:r>
        <w:t>the</w:t>
      </w:r>
      <w:r w:rsidRPr="00015C8E">
        <w:t xml:space="preserve"> equality of covariate values across exposure levels</w:t>
      </w:r>
      <w:r>
        <w:t xml:space="preserve"> were conducted, including analysis of variance </w:t>
      </w:r>
      <w:r w:rsidRPr="00015C8E">
        <w:t>for equality of means for continuous covariates, and χ</w:t>
      </w:r>
      <w:r w:rsidRPr="00015C8E">
        <w:rPr>
          <w:vertAlign w:val="superscript"/>
        </w:rPr>
        <w:t>2</w:t>
      </w:r>
      <w:r w:rsidRPr="00015C8E">
        <w:t xml:space="preserve"> test for categorical covariates.</w:t>
      </w:r>
    </w:p>
    <w:p w14:paraId="6F9FA58B" w14:textId="77777777" w:rsidR="00404BA3" w:rsidRDefault="00404BA3" w:rsidP="005343C3">
      <w:pPr>
        <w:spacing w:line="360" w:lineRule="auto"/>
      </w:pPr>
    </w:p>
    <w:p w14:paraId="5A9EC53F" w14:textId="77777777" w:rsidR="00404BA3" w:rsidRDefault="00404BA3" w:rsidP="005343C3">
      <w:pPr>
        <w:pStyle w:val="Heading3"/>
        <w:spacing w:line="360" w:lineRule="auto"/>
      </w:pPr>
      <w:r>
        <w:t>Quantifying Hours Worked</w:t>
      </w:r>
    </w:p>
    <w:p w14:paraId="1801F68E" w14:textId="35178DEB" w:rsidR="00404BA3" w:rsidRDefault="00404BA3" w:rsidP="005343C3">
      <w:pPr>
        <w:spacing w:line="360" w:lineRule="auto"/>
      </w:pPr>
      <w:r>
        <w:t>Using the SWAN data, a regression analysis was conducted to assess the impact of change in any sleep problem from visit t</w:t>
      </w:r>
      <w:r>
        <w:rPr>
          <w:rFonts w:ascii="Calibri" w:hAnsi="Calibri" w:cs="Calibri"/>
        </w:rPr>
        <w:t>‒</w:t>
      </w:r>
      <w:r>
        <w:t>2 to visit t</w:t>
      </w:r>
      <w:r>
        <w:rPr>
          <w:rFonts w:ascii="Calibri" w:hAnsi="Calibri" w:cs="Calibri"/>
        </w:rPr>
        <w:t>‒</w:t>
      </w:r>
      <w:r>
        <w:t xml:space="preserve">1 on the number of hours worked as reported at visit t. </w:t>
      </w:r>
      <w:r w:rsidRPr="00FC6BD5">
        <w:t xml:space="preserve">Hours worked was a continuous measure of the number of hours a </w:t>
      </w:r>
      <w:r>
        <w:t>woman</w:t>
      </w:r>
      <w:r w:rsidRPr="00FC6BD5">
        <w:t xml:space="preserve"> reported working for pay per week and was imputed as the midpoint of each range (1</w:t>
      </w:r>
      <w:r>
        <w:rPr>
          <w:rFonts w:ascii="Calibri" w:hAnsi="Calibri" w:cs="Calibri"/>
        </w:rPr>
        <w:t>‒</w:t>
      </w:r>
      <w:r w:rsidRPr="00FC6BD5">
        <w:t>10, 11</w:t>
      </w:r>
      <w:r>
        <w:rPr>
          <w:rFonts w:ascii="Calibri" w:hAnsi="Calibri" w:cs="Calibri"/>
        </w:rPr>
        <w:t>‒</w:t>
      </w:r>
      <w:r w:rsidRPr="00FC6BD5">
        <w:t>19, 20</w:t>
      </w:r>
      <w:r>
        <w:rPr>
          <w:rFonts w:ascii="Calibri" w:hAnsi="Calibri" w:cs="Calibri"/>
        </w:rPr>
        <w:t>‒</w:t>
      </w:r>
      <w:r w:rsidRPr="00FC6BD5">
        <w:t>34, 35</w:t>
      </w:r>
      <w:r>
        <w:rPr>
          <w:rFonts w:ascii="Calibri" w:hAnsi="Calibri" w:cs="Calibri"/>
        </w:rPr>
        <w:t>‒</w:t>
      </w:r>
      <w:r w:rsidRPr="00FC6BD5">
        <w:t>40, 41</w:t>
      </w:r>
      <w:r>
        <w:rPr>
          <w:rFonts w:ascii="Calibri" w:hAnsi="Calibri" w:cs="Calibri"/>
        </w:rPr>
        <w:t>‒</w:t>
      </w:r>
      <w:r w:rsidRPr="00FC6BD5">
        <w:t>60), except for zero (unemployed) and the top-coded range (&gt;60), which took the value 61 hours.</w:t>
      </w:r>
    </w:p>
    <w:p w14:paraId="63AC46C3" w14:textId="77777777" w:rsidR="00BE6F6F" w:rsidRPr="00BE6F6F" w:rsidRDefault="00BE6F6F" w:rsidP="00BE6F6F">
      <w:pPr>
        <w:jc w:val="right"/>
      </w:pPr>
    </w:p>
    <w:p w14:paraId="1E5C51F2" w14:textId="77777777" w:rsidR="00404BA3" w:rsidRDefault="00404BA3" w:rsidP="005343C3">
      <w:pPr>
        <w:spacing w:line="360" w:lineRule="auto"/>
        <w:ind w:firstLine="360"/>
      </w:pPr>
      <w:r w:rsidRPr="005A143C">
        <w:lastRenderedPageBreak/>
        <w:t xml:space="preserve">The change in overall hours worked (as measured from </w:t>
      </w:r>
      <w:r>
        <w:t>v</w:t>
      </w:r>
      <w:r w:rsidRPr="005A143C">
        <w:t xml:space="preserve">isit t−1 to </w:t>
      </w:r>
      <w:r>
        <w:t>v</w:t>
      </w:r>
      <w:r w:rsidRPr="005A143C">
        <w:t>isit t) in</w:t>
      </w:r>
      <w:r w:rsidRPr="00FC6BD5">
        <w:t xml:space="preserve"> the same sample was modeled using </w:t>
      </w:r>
      <w:r>
        <w:t xml:space="preserve">a lagged first-differences model specification estimated via </w:t>
      </w:r>
      <w:r w:rsidRPr="00FC6BD5">
        <w:t>linear regression with the variance-covariance matrix adjusted to be made robust to heteroskedasticity and to account for multiple visits per respondent.</w:t>
      </w:r>
      <w:r>
        <w:rPr>
          <w:vertAlign w:val="superscript"/>
        </w:rPr>
        <w:t>1</w:t>
      </w:r>
      <w:r w:rsidRPr="00FC6BD5">
        <w:t xml:space="preserve"> </w:t>
      </w:r>
      <w:r>
        <w:t>Time-invariant covariates were controlled for via the first-differencing (</w:t>
      </w:r>
      <w:proofErr w:type="spellStart"/>
      <w:r>
        <w:t>ie</w:t>
      </w:r>
      <w:proofErr w:type="spellEnd"/>
      <w:r>
        <w:t>, subtracting values at t</w:t>
      </w:r>
      <w:r>
        <w:rPr>
          <w:rFonts w:ascii="Calibri" w:hAnsi="Calibri" w:cs="Calibri"/>
        </w:rPr>
        <w:t>‒</w:t>
      </w:r>
      <w:r>
        <w:t>1 from those at t) while the 8 covariates that exhibited within-person change over time (CES-D and the 7 indicators for stressors) were adjusted for in the model specification as changes from visit t</w:t>
      </w:r>
      <w:r>
        <w:rPr>
          <w:rFonts w:ascii="Calibri" w:hAnsi="Calibri" w:cs="Calibri"/>
        </w:rPr>
        <w:t>‒</w:t>
      </w:r>
      <w:r>
        <w:t>2 to visit t</w:t>
      </w:r>
      <w:r>
        <w:rPr>
          <w:rFonts w:ascii="Calibri" w:hAnsi="Calibri" w:cs="Calibri"/>
        </w:rPr>
        <w:t>‒</w:t>
      </w:r>
      <w:r>
        <w:t xml:space="preserve">1. </w:t>
      </w:r>
      <w:r w:rsidRPr="00FC6BD5">
        <w:t>As a robustness check, these models were also estimated as a mixed linear regression model with a Toeplitz 1 error structure to account for the serial correlation in error terms between adjacent visits.</w:t>
      </w:r>
      <w:r>
        <w:rPr>
          <w:vertAlign w:val="superscript"/>
        </w:rPr>
        <w:t>2</w:t>
      </w:r>
    </w:p>
    <w:p w14:paraId="56C078C5" w14:textId="77777777" w:rsidR="00404BA3" w:rsidRDefault="00404BA3" w:rsidP="005343C3">
      <w:pPr>
        <w:spacing w:line="360" w:lineRule="auto"/>
      </w:pPr>
    </w:p>
    <w:p w14:paraId="30E5FED3" w14:textId="77777777" w:rsidR="00404BA3" w:rsidRDefault="00404BA3" w:rsidP="005343C3">
      <w:pPr>
        <w:spacing w:line="360" w:lineRule="auto"/>
        <w:rPr>
          <w:i/>
          <w:iCs/>
        </w:rPr>
      </w:pPr>
      <w:r>
        <w:rPr>
          <w:i/>
          <w:iCs/>
        </w:rPr>
        <w:t>Handling of Missing Data</w:t>
      </w:r>
    </w:p>
    <w:p w14:paraId="026DB5A7" w14:textId="77777777" w:rsidR="00404BA3" w:rsidRDefault="00404BA3" w:rsidP="005343C3">
      <w:pPr>
        <w:spacing w:line="360" w:lineRule="auto"/>
      </w:pPr>
      <w:r>
        <w:t>Missing data for the outcome number of children in household</w:t>
      </w:r>
      <w:r w:rsidRPr="004603BB">
        <w:t xml:space="preserve"> were imputed using last observation carr</w:t>
      </w:r>
      <w:r>
        <w:t>ied</w:t>
      </w:r>
      <w:r w:rsidRPr="004603BB">
        <w:t xml:space="preserve"> forward (LOCF). </w:t>
      </w:r>
      <w:r>
        <w:t xml:space="preserve">All other missing data were handled via listwise deletion for all samples. </w:t>
      </w:r>
    </w:p>
    <w:p w14:paraId="45DE88B5" w14:textId="77777777" w:rsidR="00404BA3" w:rsidRDefault="00404BA3" w:rsidP="005343C3">
      <w:pPr>
        <w:spacing w:line="360" w:lineRule="auto"/>
      </w:pPr>
    </w:p>
    <w:p w14:paraId="052F54B6" w14:textId="77777777" w:rsidR="00404BA3" w:rsidRDefault="00404BA3" w:rsidP="005343C3">
      <w:pPr>
        <w:spacing w:line="360" w:lineRule="auto"/>
        <w:rPr>
          <w:b/>
          <w:bCs/>
        </w:rPr>
      </w:pPr>
      <w:r>
        <w:rPr>
          <w:b/>
          <w:bCs/>
        </w:rPr>
        <w:t>References</w:t>
      </w:r>
    </w:p>
    <w:p w14:paraId="03D18324" w14:textId="77777777" w:rsidR="00404BA3" w:rsidRDefault="00404BA3" w:rsidP="005343C3">
      <w:pPr>
        <w:tabs>
          <w:tab w:val="clear" w:pos="0"/>
        </w:tabs>
        <w:spacing w:line="360" w:lineRule="auto"/>
        <w:ind w:left="540" w:hanging="540"/>
        <w:rPr>
          <w:bCs/>
        </w:rPr>
      </w:pPr>
      <w:r w:rsidRPr="00AC5A24">
        <w:t>1.</w:t>
      </w:r>
      <w:r w:rsidRPr="00AC5A24">
        <w:tab/>
      </w:r>
      <w:r w:rsidRPr="002E4D95">
        <w:rPr>
          <w:bCs/>
        </w:rPr>
        <w:t xml:space="preserve">Wooldridge JM. </w:t>
      </w:r>
      <w:r w:rsidRPr="002E4D95">
        <w:rPr>
          <w:bCs/>
          <w:i/>
        </w:rPr>
        <w:t>Econometric Analysis of Cross Section and Panel Data</w:t>
      </w:r>
      <w:r w:rsidRPr="002E4D95">
        <w:rPr>
          <w:bCs/>
        </w:rPr>
        <w:t>. Cambridge, MA: MIT Press; 2010</w:t>
      </w:r>
      <w:r>
        <w:rPr>
          <w:bCs/>
        </w:rPr>
        <w:t>.</w:t>
      </w:r>
    </w:p>
    <w:p w14:paraId="17A0B853" w14:textId="77777777" w:rsidR="00404BA3" w:rsidRPr="00AC5A24" w:rsidRDefault="00404BA3" w:rsidP="005343C3">
      <w:pPr>
        <w:tabs>
          <w:tab w:val="clear" w:pos="0"/>
        </w:tabs>
        <w:spacing w:line="360" w:lineRule="auto"/>
        <w:ind w:left="540" w:hanging="540"/>
        <w:rPr>
          <w:i/>
          <w:iCs/>
        </w:rPr>
      </w:pPr>
      <w:r>
        <w:rPr>
          <w:bCs/>
        </w:rPr>
        <w:t>2.</w:t>
      </w:r>
      <w:r>
        <w:rPr>
          <w:bCs/>
        </w:rPr>
        <w:tab/>
      </w:r>
      <w:r w:rsidRPr="002E4D95">
        <w:rPr>
          <w:bCs/>
        </w:rPr>
        <w:t>Allison PD. Asymmetric fixed-effects models for panel data. Socius. 2019;5:1-12</w:t>
      </w:r>
      <w:r>
        <w:rPr>
          <w:bCs/>
        </w:rPr>
        <w:t>.</w:t>
      </w:r>
    </w:p>
    <w:p w14:paraId="0BCBFD21" w14:textId="77777777" w:rsidR="00404BA3" w:rsidRDefault="00404BA3" w:rsidP="005343C3">
      <w:pPr>
        <w:tabs>
          <w:tab w:val="clear" w:pos="0"/>
        </w:tabs>
        <w:spacing w:line="360" w:lineRule="auto"/>
        <w:outlineLvl w:val="9"/>
        <w:rPr>
          <w:rFonts w:cs="Arial"/>
          <w:b/>
          <w:bCs/>
          <w:iCs/>
        </w:rPr>
      </w:pPr>
      <w:r>
        <w:br w:type="page"/>
      </w:r>
    </w:p>
    <w:p w14:paraId="2BBA9E93" w14:textId="77777777" w:rsidR="00404BA3" w:rsidRPr="003076F5" w:rsidRDefault="00404BA3" w:rsidP="005343C3">
      <w:pPr>
        <w:pStyle w:val="Heading2"/>
        <w:spacing w:line="360" w:lineRule="auto"/>
      </w:pPr>
      <w:r>
        <w:lastRenderedPageBreak/>
        <w:t>Supplemental Digital Content 2. Calculations of Individual and National Economic Burden</w:t>
      </w:r>
    </w:p>
    <w:p w14:paraId="31624119" w14:textId="77777777" w:rsidR="00404BA3" w:rsidRDefault="00404BA3" w:rsidP="005343C3">
      <w:pPr>
        <w:spacing w:line="360" w:lineRule="auto"/>
        <w:rPr>
          <w:b/>
          <w:bCs/>
        </w:rPr>
      </w:pPr>
    </w:p>
    <w:p w14:paraId="216831CD" w14:textId="77777777" w:rsidR="00404BA3" w:rsidRDefault="00404BA3" w:rsidP="005343C3">
      <w:pPr>
        <w:spacing w:line="360" w:lineRule="auto"/>
        <w:rPr>
          <w:b/>
          <w:bCs/>
        </w:rPr>
      </w:pPr>
      <w:r>
        <w:rPr>
          <w:b/>
          <w:bCs/>
        </w:rPr>
        <w:t>Table 1. Individual Economic Burden (US$) Associated With New-Onset Sleep Disturbance in Women Aged 35</w:t>
      </w:r>
      <w:r>
        <w:rPr>
          <w:rFonts w:ascii="Calibri" w:hAnsi="Calibri" w:cs="Calibri"/>
          <w:b/>
          <w:bCs/>
        </w:rPr>
        <w:t>‒</w:t>
      </w:r>
      <w:r>
        <w:rPr>
          <w:b/>
          <w:bCs/>
        </w:rPr>
        <w:t>64 Years</w:t>
      </w:r>
    </w:p>
    <w:tbl>
      <w:tblPr>
        <w:tblStyle w:val="TableGrid"/>
        <w:tblW w:w="0" w:type="auto"/>
        <w:tblLook w:val="04A0" w:firstRow="1" w:lastRow="0" w:firstColumn="1" w:lastColumn="0" w:noHBand="0" w:noVBand="1"/>
      </w:tblPr>
      <w:tblGrid>
        <w:gridCol w:w="2157"/>
        <w:gridCol w:w="2157"/>
        <w:gridCol w:w="2158"/>
        <w:gridCol w:w="2158"/>
      </w:tblGrid>
      <w:tr w:rsidR="00404BA3" w14:paraId="56DED0A2" w14:textId="77777777" w:rsidTr="0090423E">
        <w:tc>
          <w:tcPr>
            <w:tcW w:w="2157" w:type="dxa"/>
          </w:tcPr>
          <w:p w14:paraId="354B5785" w14:textId="77777777" w:rsidR="00404BA3" w:rsidRDefault="00404BA3" w:rsidP="005343C3">
            <w:pPr>
              <w:spacing w:line="360" w:lineRule="auto"/>
              <w:rPr>
                <w:b/>
                <w:bCs/>
              </w:rPr>
            </w:pPr>
            <w:r>
              <w:rPr>
                <w:b/>
                <w:bCs/>
              </w:rPr>
              <w:t>Age Category, Years</w:t>
            </w:r>
          </w:p>
        </w:tc>
        <w:tc>
          <w:tcPr>
            <w:tcW w:w="2157" w:type="dxa"/>
          </w:tcPr>
          <w:p w14:paraId="26695F30" w14:textId="77777777" w:rsidR="00404BA3" w:rsidRDefault="00404BA3" w:rsidP="005343C3">
            <w:pPr>
              <w:spacing w:line="360" w:lineRule="auto"/>
              <w:rPr>
                <w:b/>
                <w:bCs/>
              </w:rPr>
            </w:pPr>
            <w:r>
              <w:rPr>
                <w:b/>
                <w:bCs/>
              </w:rPr>
              <w:t xml:space="preserve">Reduction in Hours Worked Per </w:t>
            </w:r>
            <w:proofErr w:type="spellStart"/>
            <w:r>
              <w:rPr>
                <w:b/>
                <w:bCs/>
              </w:rPr>
              <w:t>Week</w:t>
            </w:r>
            <w:r w:rsidRPr="00116526">
              <w:rPr>
                <w:b/>
                <w:bCs/>
                <w:vertAlign w:val="superscript"/>
              </w:rPr>
              <w:t>a</w:t>
            </w:r>
            <w:proofErr w:type="spellEnd"/>
          </w:p>
        </w:tc>
        <w:tc>
          <w:tcPr>
            <w:tcW w:w="2158" w:type="dxa"/>
          </w:tcPr>
          <w:p w14:paraId="33756E0F" w14:textId="77777777" w:rsidR="00404BA3" w:rsidRDefault="00404BA3" w:rsidP="005343C3">
            <w:pPr>
              <w:spacing w:line="360" w:lineRule="auto"/>
              <w:rPr>
                <w:b/>
                <w:bCs/>
              </w:rPr>
            </w:pPr>
            <w:r>
              <w:rPr>
                <w:b/>
                <w:bCs/>
              </w:rPr>
              <w:t>Median Hourly Wage (2019 Q4 data)</w:t>
            </w:r>
            <w:r w:rsidRPr="00116526">
              <w:rPr>
                <w:b/>
                <w:bCs/>
                <w:vertAlign w:val="superscript"/>
              </w:rPr>
              <w:t>b</w:t>
            </w:r>
          </w:p>
        </w:tc>
        <w:tc>
          <w:tcPr>
            <w:tcW w:w="2158" w:type="dxa"/>
          </w:tcPr>
          <w:p w14:paraId="3B0C0313" w14:textId="77777777" w:rsidR="00404BA3" w:rsidRDefault="00404BA3" w:rsidP="005343C3">
            <w:pPr>
              <w:spacing w:line="360" w:lineRule="auto"/>
              <w:rPr>
                <w:b/>
                <w:bCs/>
              </w:rPr>
            </w:pPr>
            <w:r>
              <w:rPr>
                <w:b/>
                <w:bCs/>
              </w:rPr>
              <w:t xml:space="preserve">Annual Economic </w:t>
            </w:r>
            <w:proofErr w:type="spellStart"/>
            <w:r>
              <w:rPr>
                <w:b/>
                <w:bCs/>
              </w:rPr>
              <w:t>Burden</w:t>
            </w:r>
            <w:r w:rsidRPr="00116526">
              <w:rPr>
                <w:b/>
                <w:bCs/>
                <w:vertAlign w:val="superscript"/>
              </w:rPr>
              <w:t>c</w:t>
            </w:r>
            <w:proofErr w:type="spellEnd"/>
          </w:p>
        </w:tc>
      </w:tr>
      <w:tr w:rsidR="00404BA3" w14:paraId="47A84D5F" w14:textId="77777777" w:rsidTr="0090423E">
        <w:tc>
          <w:tcPr>
            <w:tcW w:w="2157" w:type="dxa"/>
          </w:tcPr>
          <w:p w14:paraId="3CF6C3CC" w14:textId="77777777" w:rsidR="00404BA3" w:rsidRPr="00116526" w:rsidRDefault="00404BA3" w:rsidP="005343C3">
            <w:pPr>
              <w:spacing w:line="360" w:lineRule="auto"/>
            </w:pPr>
            <w:r w:rsidRPr="00116526">
              <w:t>35</w:t>
            </w:r>
            <w:r w:rsidRPr="00116526">
              <w:rPr>
                <w:rFonts w:cs="Arial"/>
              </w:rPr>
              <w:t>‒44</w:t>
            </w:r>
          </w:p>
        </w:tc>
        <w:tc>
          <w:tcPr>
            <w:tcW w:w="2157" w:type="dxa"/>
          </w:tcPr>
          <w:p w14:paraId="61C246FE" w14:textId="77777777" w:rsidR="00404BA3" w:rsidRPr="00116526" w:rsidRDefault="00404BA3" w:rsidP="005343C3">
            <w:pPr>
              <w:spacing w:line="360" w:lineRule="auto"/>
            </w:pPr>
            <w:r>
              <w:t>0.4371</w:t>
            </w:r>
          </w:p>
        </w:tc>
        <w:tc>
          <w:tcPr>
            <w:tcW w:w="2158" w:type="dxa"/>
          </w:tcPr>
          <w:p w14:paraId="752A6EF6" w14:textId="77777777" w:rsidR="00404BA3" w:rsidRPr="00116526" w:rsidRDefault="00404BA3" w:rsidP="005343C3">
            <w:pPr>
              <w:spacing w:line="360" w:lineRule="auto"/>
            </w:pPr>
            <w:r>
              <w:t>$23.075</w:t>
            </w:r>
          </w:p>
        </w:tc>
        <w:tc>
          <w:tcPr>
            <w:tcW w:w="2158" w:type="dxa"/>
          </w:tcPr>
          <w:p w14:paraId="77EFDAC2" w14:textId="77777777" w:rsidR="00404BA3" w:rsidRPr="00116526" w:rsidRDefault="00404BA3" w:rsidP="005343C3">
            <w:pPr>
              <w:spacing w:line="360" w:lineRule="auto"/>
            </w:pPr>
            <w:r>
              <w:t>$524</w:t>
            </w:r>
          </w:p>
        </w:tc>
      </w:tr>
      <w:tr w:rsidR="00404BA3" w14:paraId="77D15A79" w14:textId="77777777" w:rsidTr="0090423E">
        <w:tc>
          <w:tcPr>
            <w:tcW w:w="2157" w:type="dxa"/>
          </w:tcPr>
          <w:p w14:paraId="1EAD09F5" w14:textId="77777777" w:rsidR="00404BA3" w:rsidRPr="00116526" w:rsidRDefault="00404BA3" w:rsidP="005343C3">
            <w:pPr>
              <w:spacing w:line="360" w:lineRule="auto"/>
            </w:pPr>
            <w:r>
              <w:t>45</w:t>
            </w:r>
            <w:r w:rsidRPr="00116526">
              <w:rPr>
                <w:rFonts w:cs="Arial"/>
              </w:rPr>
              <w:t>‒</w:t>
            </w:r>
            <w:r>
              <w:rPr>
                <w:rFonts w:cs="Arial"/>
              </w:rPr>
              <w:t>54</w:t>
            </w:r>
          </w:p>
        </w:tc>
        <w:tc>
          <w:tcPr>
            <w:tcW w:w="2157" w:type="dxa"/>
          </w:tcPr>
          <w:p w14:paraId="6F63CAAD" w14:textId="77777777" w:rsidR="00404BA3" w:rsidRPr="00116526" w:rsidRDefault="00404BA3" w:rsidP="005343C3">
            <w:pPr>
              <w:spacing w:line="360" w:lineRule="auto"/>
            </w:pPr>
            <w:r>
              <w:t>0.4371</w:t>
            </w:r>
          </w:p>
        </w:tc>
        <w:tc>
          <w:tcPr>
            <w:tcW w:w="2158" w:type="dxa"/>
          </w:tcPr>
          <w:p w14:paraId="62634469" w14:textId="77777777" w:rsidR="00404BA3" w:rsidRPr="00116526" w:rsidRDefault="00404BA3" w:rsidP="005343C3">
            <w:pPr>
              <w:spacing w:line="360" w:lineRule="auto"/>
            </w:pPr>
            <w:r>
              <w:t>$22.725</w:t>
            </w:r>
          </w:p>
        </w:tc>
        <w:tc>
          <w:tcPr>
            <w:tcW w:w="2158" w:type="dxa"/>
          </w:tcPr>
          <w:p w14:paraId="154449D6" w14:textId="77777777" w:rsidR="00404BA3" w:rsidRPr="00116526" w:rsidRDefault="00404BA3" w:rsidP="005343C3">
            <w:pPr>
              <w:spacing w:line="360" w:lineRule="auto"/>
            </w:pPr>
            <w:r>
              <w:t>$517</w:t>
            </w:r>
          </w:p>
        </w:tc>
      </w:tr>
      <w:tr w:rsidR="00404BA3" w14:paraId="08A9D1C1" w14:textId="77777777" w:rsidTr="0090423E">
        <w:tc>
          <w:tcPr>
            <w:tcW w:w="2157" w:type="dxa"/>
          </w:tcPr>
          <w:p w14:paraId="3588DBF4" w14:textId="77777777" w:rsidR="00404BA3" w:rsidRPr="00116526" w:rsidRDefault="00404BA3" w:rsidP="005343C3">
            <w:pPr>
              <w:spacing w:line="360" w:lineRule="auto"/>
            </w:pPr>
            <w:r>
              <w:rPr>
                <w:rFonts w:cs="Arial"/>
              </w:rPr>
              <w:t>55</w:t>
            </w:r>
            <w:r w:rsidRPr="00116526">
              <w:rPr>
                <w:rFonts w:cs="Arial"/>
              </w:rPr>
              <w:t>‒</w:t>
            </w:r>
            <w:r>
              <w:rPr>
                <w:rFonts w:cs="Arial"/>
              </w:rPr>
              <w:t>64</w:t>
            </w:r>
          </w:p>
        </w:tc>
        <w:tc>
          <w:tcPr>
            <w:tcW w:w="2157" w:type="dxa"/>
          </w:tcPr>
          <w:p w14:paraId="5E6AED31" w14:textId="77777777" w:rsidR="00404BA3" w:rsidRPr="00116526" w:rsidRDefault="00404BA3" w:rsidP="005343C3">
            <w:pPr>
              <w:spacing w:line="360" w:lineRule="auto"/>
            </w:pPr>
            <w:r>
              <w:t>0.4371</w:t>
            </w:r>
          </w:p>
        </w:tc>
        <w:tc>
          <w:tcPr>
            <w:tcW w:w="2158" w:type="dxa"/>
          </w:tcPr>
          <w:p w14:paraId="471A4A91" w14:textId="77777777" w:rsidR="00404BA3" w:rsidRPr="00116526" w:rsidRDefault="00404BA3" w:rsidP="005343C3">
            <w:pPr>
              <w:spacing w:line="360" w:lineRule="auto"/>
            </w:pPr>
            <w:r>
              <w:t>$23.05</w:t>
            </w:r>
          </w:p>
        </w:tc>
        <w:tc>
          <w:tcPr>
            <w:tcW w:w="2158" w:type="dxa"/>
          </w:tcPr>
          <w:p w14:paraId="56AB6761" w14:textId="77777777" w:rsidR="00404BA3" w:rsidRPr="00116526" w:rsidRDefault="00404BA3" w:rsidP="005343C3">
            <w:pPr>
              <w:spacing w:line="360" w:lineRule="auto"/>
            </w:pPr>
            <w:r>
              <w:t>$524</w:t>
            </w:r>
          </w:p>
        </w:tc>
      </w:tr>
    </w:tbl>
    <w:p w14:paraId="75E08099" w14:textId="77777777" w:rsidR="00404BA3" w:rsidRPr="005B0117" w:rsidRDefault="00404BA3" w:rsidP="005343C3">
      <w:pPr>
        <w:spacing w:line="360" w:lineRule="auto"/>
        <w:rPr>
          <w:sz w:val="20"/>
          <w:szCs w:val="20"/>
        </w:rPr>
      </w:pPr>
      <w:proofErr w:type="spellStart"/>
      <w:r w:rsidRPr="005B0117">
        <w:rPr>
          <w:sz w:val="20"/>
          <w:szCs w:val="20"/>
          <w:vertAlign w:val="superscript"/>
        </w:rPr>
        <w:t>a</w:t>
      </w:r>
      <w:r w:rsidRPr="005B0117">
        <w:rPr>
          <w:sz w:val="20"/>
          <w:szCs w:val="20"/>
        </w:rPr>
        <w:t>Represents</w:t>
      </w:r>
      <w:proofErr w:type="spellEnd"/>
      <w:r w:rsidRPr="005B0117">
        <w:rPr>
          <w:sz w:val="20"/>
          <w:szCs w:val="20"/>
        </w:rPr>
        <w:t xml:space="preserve"> the unrounded result from </w:t>
      </w:r>
      <w:r>
        <w:rPr>
          <w:sz w:val="20"/>
          <w:szCs w:val="20"/>
        </w:rPr>
        <w:t>our</w:t>
      </w:r>
      <w:r w:rsidRPr="005B0117">
        <w:rPr>
          <w:sz w:val="20"/>
          <w:szCs w:val="20"/>
        </w:rPr>
        <w:t xml:space="preserve"> SWAN database analysis</w:t>
      </w:r>
      <w:r>
        <w:rPr>
          <w:sz w:val="20"/>
          <w:szCs w:val="20"/>
        </w:rPr>
        <w:t>.</w:t>
      </w:r>
    </w:p>
    <w:p w14:paraId="40B26338" w14:textId="77777777" w:rsidR="00404BA3" w:rsidRPr="005B0117" w:rsidRDefault="00404BA3" w:rsidP="005343C3">
      <w:pPr>
        <w:spacing w:line="360" w:lineRule="auto"/>
        <w:rPr>
          <w:sz w:val="20"/>
          <w:szCs w:val="20"/>
        </w:rPr>
      </w:pPr>
      <w:proofErr w:type="spellStart"/>
      <w:r w:rsidRPr="005B0117">
        <w:rPr>
          <w:sz w:val="20"/>
          <w:szCs w:val="20"/>
          <w:vertAlign w:val="superscript"/>
        </w:rPr>
        <w:t>b</w:t>
      </w:r>
      <w:r w:rsidRPr="005B0117">
        <w:rPr>
          <w:sz w:val="20"/>
          <w:szCs w:val="20"/>
        </w:rPr>
        <w:t>Median</w:t>
      </w:r>
      <w:proofErr w:type="spellEnd"/>
      <w:r w:rsidRPr="005B0117">
        <w:rPr>
          <w:sz w:val="20"/>
          <w:szCs w:val="20"/>
        </w:rPr>
        <w:t xml:space="preserve"> hourly wage calculated as median weekly wage (from the Bureau of Labor Statistics</w:t>
      </w:r>
      <w:r>
        <w:rPr>
          <w:sz w:val="20"/>
          <w:szCs w:val="20"/>
          <w:vertAlign w:val="superscript"/>
        </w:rPr>
        <w:t>1</w:t>
      </w:r>
      <w:r w:rsidRPr="005B0117">
        <w:rPr>
          <w:sz w:val="20"/>
          <w:szCs w:val="20"/>
        </w:rPr>
        <w:t>) divided by 40</w:t>
      </w:r>
      <w:r>
        <w:rPr>
          <w:sz w:val="20"/>
          <w:szCs w:val="20"/>
        </w:rPr>
        <w:t>.</w:t>
      </w:r>
    </w:p>
    <w:p w14:paraId="16953C14" w14:textId="77777777" w:rsidR="00404BA3" w:rsidRDefault="00404BA3" w:rsidP="005343C3">
      <w:pPr>
        <w:spacing w:line="360" w:lineRule="auto"/>
        <w:rPr>
          <w:sz w:val="20"/>
          <w:szCs w:val="20"/>
        </w:rPr>
      </w:pPr>
      <w:proofErr w:type="spellStart"/>
      <w:r w:rsidRPr="005B0117">
        <w:rPr>
          <w:sz w:val="20"/>
          <w:szCs w:val="20"/>
          <w:vertAlign w:val="superscript"/>
        </w:rPr>
        <w:t>c</w:t>
      </w:r>
      <w:r w:rsidRPr="005B0117">
        <w:rPr>
          <w:sz w:val="20"/>
          <w:szCs w:val="20"/>
        </w:rPr>
        <w:t>Annual</w:t>
      </w:r>
      <w:proofErr w:type="spellEnd"/>
      <w:r w:rsidRPr="005B0117">
        <w:rPr>
          <w:sz w:val="20"/>
          <w:szCs w:val="20"/>
        </w:rPr>
        <w:t xml:space="preserve"> economic burden calculated as reduction in hours worked per week </w:t>
      </w:r>
      <w:r>
        <w:rPr>
          <w:sz w:val="20"/>
          <w:szCs w:val="20"/>
        </w:rPr>
        <w:t>multiplied by</w:t>
      </w:r>
      <w:r w:rsidRPr="005B0117">
        <w:rPr>
          <w:sz w:val="20"/>
          <w:szCs w:val="20"/>
        </w:rPr>
        <w:t xml:space="preserve"> median hourly wage </w:t>
      </w:r>
      <w:r>
        <w:rPr>
          <w:sz w:val="20"/>
          <w:szCs w:val="20"/>
        </w:rPr>
        <w:t>and</w:t>
      </w:r>
      <w:r w:rsidRPr="005B0117">
        <w:rPr>
          <w:sz w:val="20"/>
          <w:szCs w:val="20"/>
        </w:rPr>
        <w:t xml:space="preserve"> 52</w:t>
      </w:r>
      <w:r>
        <w:rPr>
          <w:sz w:val="20"/>
          <w:szCs w:val="20"/>
        </w:rPr>
        <w:t>.</w:t>
      </w:r>
    </w:p>
    <w:p w14:paraId="762E91D8" w14:textId="77777777" w:rsidR="00404BA3" w:rsidRPr="005B0117" w:rsidRDefault="00404BA3" w:rsidP="005343C3">
      <w:pPr>
        <w:spacing w:line="360" w:lineRule="auto"/>
        <w:rPr>
          <w:sz w:val="20"/>
          <w:szCs w:val="20"/>
        </w:rPr>
      </w:pPr>
      <w:r>
        <w:rPr>
          <w:sz w:val="20"/>
          <w:szCs w:val="20"/>
        </w:rPr>
        <w:t xml:space="preserve">Q4, fourth quarter; SWAN, </w:t>
      </w:r>
      <w:r w:rsidRPr="004A01E7">
        <w:rPr>
          <w:sz w:val="20"/>
          <w:szCs w:val="20"/>
        </w:rPr>
        <w:t>Study of Women’s Health Across the Nation</w:t>
      </w:r>
      <w:r>
        <w:rPr>
          <w:sz w:val="20"/>
          <w:szCs w:val="20"/>
        </w:rPr>
        <w:t>; US, United States.</w:t>
      </w:r>
    </w:p>
    <w:p w14:paraId="739E0FB7" w14:textId="77777777" w:rsidR="00404BA3" w:rsidRDefault="00404BA3" w:rsidP="005343C3">
      <w:pPr>
        <w:spacing w:line="360" w:lineRule="auto"/>
      </w:pPr>
    </w:p>
    <w:p w14:paraId="11CDD040" w14:textId="77777777" w:rsidR="00404BA3" w:rsidRDefault="00404BA3" w:rsidP="005343C3">
      <w:pPr>
        <w:tabs>
          <w:tab w:val="clear" w:pos="0"/>
        </w:tabs>
        <w:spacing w:line="360" w:lineRule="auto"/>
        <w:outlineLvl w:val="9"/>
        <w:rPr>
          <w:b/>
          <w:bCs/>
        </w:rPr>
      </w:pPr>
      <w:r>
        <w:rPr>
          <w:b/>
          <w:bCs/>
        </w:rPr>
        <w:br w:type="page"/>
      </w:r>
    </w:p>
    <w:p w14:paraId="1FBAE8F7" w14:textId="77777777" w:rsidR="00404BA3" w:rsidRDefault="00404BA3" w:rsidP="005343C3">
      <w:pPr>
        <w:spacing w:line="360" w:lineRule="auto"/>
        <w:rPr>
          <w:b/>
          <w:bCs/>
        </w:rPr>
      </w:pPr>
      <w:r w:rsidRPr="005B0117">
        <w:rPr>
          <w:b/>
          <w:bCs/>
        </w:rPr>
        <w:lastRenderedPageBreak/>
        <w:t xml:space="preserve">Table </w:t>
      </w:r>
      <w:r>
        <w:rPr>
          <w:b/>
          <w:bCs/>
        </w:rPr>
        <w:t>2</w:t>
      </w:r>
      <w:r w:rsidRPr="005B0117">
        <w:rPr>
          <w:b/>
          <w:bCs/>
        </w:rPr>
        <w:t xml:space="preserve">. National Economic Burden </w:t>
      </w:r>
      <w:r>
        <w:rPr>
          <w:b/>
          <w:bCs/>
        </w:rPr>
        <w:t xml:space="preserve">(US$) </w:t>
      </w:r>
      <w:r w:rsidRPr="005B0117">
        <w:rPr>
          <w:b/>
          <w:bCs/>
        </w:rPr>
        <w:t>Associated With New-Onset Sleep Disturbance in Women Age</w:t>
      </w:r>
      <w:r>
        <w:rPr>
          <w:b/>
          <w:bCs/>
        </w:rPr>
        <w:t>d</w:t>
      </w:r>
      <w:r w:rsidRPr="005B0117">
        <w:rPr>
          <w:b/>
          <w:bCs/>
        </w:rPr>
        <w:t xml:space="preserve"> 42</w:t>
      </w:r>
      <w:r w:rsidRPr="005B0117">
        <w:rPr>
          <w:rFonts w:ascii="Calibri" w:hAnsi="Calibri" w:cs="Calibri"/>
          <w:b/>
          <w:bCs/>
        </w:rPr>
        <w:t>‒</w:t>
      </w:r>
      <w:r w:rsidRPr="005B0117">
        <w:rPr>
          <w:b/>
          <w:bCs/>
        </w:rPr>
        <w:t>64</w:t>
      </w:r>
      <w:r>
        <w:rPr>
          <w:b/>
          <w:bCs/>
        </w:rPr>
        <w:t xml:space="preserve"> Years</w:t>
      </w:r>
    </w:p>
    <w:tbl>
      <w:tblPr>
        <w:tblStyle w:val="TableGrid"/>
        <w:tblW w:w="0" w:type="auto"/>
        <w:tblLook w:val="04A0" w:firstRow="1" w:lastRow="0" w:firstColumn="1" w:lastColumn="0" w:noHBand="0" w:noVBand="1"/>
      </w:tblPr>
      <w:tblGrid>
        <w:gridCol w:w="1726"/>
        <w:gridCol w:w="1726"/>
        <w:gridCol w:w="1726"/>
        <w:gridCol w:w="1726"/>
        <w:gridCol w:w="1726"/>
      </w:tblGrid>
      <w:tr w:rsidR="00404BA3" w14:paraId="4AD221C2" w14:textId="77777777" w:rsidTr="0090423E">
        <w:tc>
          <w:tcPr>
            <w:tcW w:w="1726" w:type="dxa"/>
          </w:tcPr>
          <w:p w14:paraId="60880AAB" w14:textId="77777777" w:rsidR="00404BA3" w:rsidRDefault="00404BA3" w:rsidP="005343C3">
            <w:pPr>
              <w:spacing w:line="360" w:lineRule="auto"/>
              <w:rPr>
                <w:b/>
                <w:bCs/>
              </w:rPr>
            </w:pPr>
            <w:r>
              <w:rPr>
                <w:b/>
                <w:bCs/>
              </w:rPr>
              <w:t>Age Category, Years</w:t>
            </w:r>
          </w:p>
        </w:tc>
        <w:tc>
          <w:tcPr>
            <w:tcW w:w="1726" w:type="dxa"/>
          </w:tcPr>
          <w:p w14:paraId="5E0E3223" w14:textId="77777777" w:rsidR="00404BA3" w:rsidRDefault="00404BA3" w:rsidP="005343C3">
            <w:pPr>
              <w:spacing w:line="360" w:lineRule="auto"/>
              <w:rPr>
                <w:b/>
                <w:bCs/>
              </w:rPr>
            </w:pPr>
            <w:r>
              <w:rPr>
                <w:b/>
                <w:bCs/>
              </w:rPr>
              <w:t xml:space="preserve">Number of Women in US Civilian </w:t>
            </w:r>
            <w:proofErr w:type="spellStart"/>
            <w:r>
              <w:rPr>
                <w:b/>
                <w:bCs/>
              </w:rPr>
              <w:t>Population</w:t>
            </w:r>
            <w:r w:rsidRPr="00FC6C69">
              <w:rPr>
                <w:b/>
                <w:bCs/>
                <w:vertAlign w:val="superscript"/>
              </w:rPr>
              <w:t>a</w:t>
            </w:r>
            <w:proofErr w:type="spellEnd"/>
          </w:p>
        </w:tc>
        <w:tc>
          <w:tcPr>
            <w:tcW w:w="1726" w:type="dxa"/>
          </w:tcPr>
          <w:p w14:paraId="61A657C2" w14:textId="77777777" w:rsidR="00404BA3" w:rsidRDefault="00404BA3" w:rsidP="005343C3">
            <w:pPr>
              <w:spacing w:line="360" w:lineRule="auto"/>
              <w:rPr>
                <w:b/>
                <w:bCs/>
              </w:rPr>
            </w:pPr>
            <w:r>
              <w:rPr>
                <w:b/>
                <w:bCs/>
              </w:rPr>
              <w:t xml:space="preserve">Labor Force Participation </w:t>
            </w:r>
            <w:proofErr w:type="spellStart"/>
            <w:r>
              <w:rPr>
                <w:b/>
                <w:bCs/>
              </w:rPr>
              <w:t>Rate</w:t>
            </w:r>
            <w:r w:rsidRPr="00FC6C69">
              <w:rPr>
                <w:b/>
                <w:bCs/>
                <w:vertAlign w:val="superscript"/>
              </w:rPr>
              <w:t>a</w:t>
            </w:r>
            <w:proofErr w:type="spellEnd"/>
          </w:p>
        </w:tc>
        <w:tc>
          <w:tcPr>
            <w:tcW w:w="1726" w:type="dxa"/>
          </w:tcPr>
          <w:p w14:paraId="45818EA9" w14:textId="77777777" w:rsidR="00404BA3" w:rsidRDefault="00404BA3" w:rsidP="005343C3">
            <w:pPr>
              <w:spacing w:line="360" w:lineRule="auto"/>
              <w:rPr>
                <w:b/>
                <w:bCs/>
              </w:rPr>
            </w:pPr>
            <w:r>
              <w:rPr>
                <w:b/>
                <w:bCs/>
              </w:rPr>
              <w:t xml:space="preserve">Risk of New-Onset Sleep </w:t>
            </w:r>
            <w:proofErr w:type="spellStart"/>
            <w:r>
              <w:rPr>
                <w:b/>
                <w:bCs/>
              </w:rPr>
              <w:t>Problem</w:t>
            </w:r>
            <w:r w:rsidRPr="00FC6C69">
              <w:rPr>
                <w:b/>
                <w:bCs/>
                <w:vertAlign w:val="superscript"/>
              </w:rPr>
              <w:t>b</w:t>
            </w:r>
            <w:proofErr w:type="spellEnd"/>
          </w:p>
        </w:tc>
        <w:tc>
          <w:tcPr>
            <w:tcW w:w="1726" w:type="dxa"/>
          </w:tcPr>
          <w:p w14:paraId="164AB36D" w14:textId="77777777" w:rsidR="00404BA3" w:rsidRDefault="00404BA3" w:rsidP="005343C3">
            <w:pPr>
              <w:spacing w:line="360" w:lineRule="auto"/>
              <w:rPr>
                <w:b/>
                <w:bCs/>
              </w:rPr>
            </w:pPr>
            <w:r>
              <w:rPr>
                <w:b/>
                <w:bCs/>
              </w:rPr>
              <w:t xml:space="preserve">Annual Economic Burden, </w:t>
            </w:r>
            <w:proofErr w:type="spellStart"/>
            <w:r>
              <w:rPr>
                <w:b/>
                <w:bCs/>
              </w:rPr>
              <w:t>Millions</w:t>
            </w:r>
            <w:r>
              <w:rPr>
                <w:b/>
                <w:bCs/>
                <w:vertAlign w:val="superscript"/>
              </w:rPr>
              <w:t>c</w:t>
            </w:r>
            <w:proofErr w:type="spellEnd"/>
          </w:p>
        </w:tc>
      </w:tr>
      <w:tr w:rsidR="00404BA3" w14:paraId="1FB27EC2" w14:textId="77777777" w:rsidTr="0090423E">
        <w:tc>
          <w:tcPr>
            <w:tcW w:w="1726" w:type="dxa"/>
          </w:tcPr>
          <w:p w14:paraId="7A65DC0D" w14:textId="77777777" w:rsidR="00404BA3" w:rsidRPr="005B0117" w:rsidRDefault="00404BA3" w:rsidP="005343C3">
            <w:pPr>
              <w:spacing w:line="360" w:lineRule="auto"/>
            </w:pPr>
            <w:r>
              <w:t>42</w:t>
            </w:r>
            <w:r w:rsidRPr="00116526">
              <w:rPr>
                <w:rFonts w:cs="Arial"/>
              </w:rPr>
              <w:t>‒</w:t>
            </w:r>
            <w:r>
              <w:rPr>
                <w:rFonts w:cs="Arial"/>
              </w:rPr>
              <w:t>44</w:t>
            </w:r>
            <w:r>
              <w:rPr>
                <w:rFonts w:cs="Arial"/>
                <w:vertAlign w:val="superscript"/>
              </w:rPr>
              <w:t>d</w:t>
            </w:r>
          </w:p>
        </w:tc>
        <w:tc>
          <w:tcPr>
            <w:tcW w:w="1726" w:type="dxa"/>
          </w:tcPr>
          <w:p w14:paraId="30B7D0FD" w14:textId="77777777" w:rsidR="00404BA3" w:rsidRPr="005B0117" w:rsidRDefault="00404BA3" w:rsidP="005343C3">
            <w:pPr>
              <w:spacing w:line="360" w:lineRule="auto"/>
            </w:pPr>
            <w:r>
              <w:t>5,998,800</w:t>
            </w:r>
          </w:p>
        </w:tc>
        <w:tc>
          <w:tcPr>
            <w:tcW w:w="1726" w:type="dxa"/>
          </w:tcPr>
          <w:p w14:paraId="16D953E7" w14:textId="77777777" w:rsidR="00404BA3" w:rsidRPr="005B0117" w:rsidRDefault="00404BA3" w:rsidP="005343C3">
            <w:pPr>
              <w:spacing w:line="360" w:lineRule="auto"/>
            </w:pPr>
            <w:r>
              <w:t>74%</w:t>
            </w:r>
          </w:p>
        </w:tc>
        <w:tc>
          <w:tcPr>
            <w:tcW w:w="1726" w:type="dxa"/>
          </w:tcPr>
          <w:p w14:paraId="2A747E2A" w14:textId="77777777" w:rsidR="00404BA3" w:rsidRPr="005B0117" w:rsidRDefault="00404BA3" w:rsidP="005343C3">
            <w:pPr>
              <w:spacing w:line="360" w:lineRule="auto"/>
            </w:pPr>
            <w:r>
              <w:t>0.130</w:t>
            </w:r>
          </w:p>
        </w:tc>
        <w:tc>
          <w:tcPr>
            <w:tcW w:w="1726" w:type="dxa"/>
          </w:tcPr>
          <w:p w14:paraId="5218E268" w14:textId="77777777" w:rsidR="00404BA3" w:rsidRPr="005B0117" w:rsidRDefault="00404BA3" w:rsidP="005343C3">
            <w:pPr>
              <w:spacing w:line="360" w:lineRule="auto"/>
            </w:pPr>
            <w:r>
              <w:t>$303</w:t>
            </w:r>
          </w:p>
        </w:tc>
      </w:tr>
      <w:tr w:rsidR="00404BA3" w14:paraId="50F3921E" w14:textId="77777777" w:rsidTr="0090423E">
        <w:tc>
          <w:tcPr>
            <w:tcW w:w="1726" w:type="dxa"/>
          </w:tcPr>
          <w:p w14:paraId="1DB59D30" w14:textId="77777777" w:rsidR="00404BA3" w:rsidRPr="005B0117" w:rsidRDefault="00404BA3" w:rsidP="005343C3">
            <w:pPr>
              <w:spacing w:line="360" w:lineRule="auto"/>
            </w:pPr>
            <w:r>
              <w:t>45</w:t>
            </w:r>
            <w:r w:rsidRPr="00116526">
              <w:rPr>
                <w:rFonts w:cs="Arial"/>
              </w:rPr>
              <w:t>‒</w:t>
            </w:r>
            <w:r>
              <w:rPr>
                <w:rFonts w:cs="Arial"/>
              </w:rPr>
              <w:t>49</w:t>
            </w:r>
          </w:p>
        </w:tc>
        <w:tc>
          <w:tcPr>
            <w:tcW w:w="1726" w:type="dxa"/>
          </w:tcPr>
          <w:p w14:paraId="5B5C0391" w14:textId="77777777" w:rsidR="00404BA3" w:rsidRPr="005B0117" w:rsidRDefault="00404BA3" w:rsidP="005343C3">
            <w:pPr>
              <w:spacing w:line="360" w:lineRule="auto"/>
            </w:pPr>
            <w:r>
              <w:t>10,293,000</w:t>
            </w:r>
          </w:p>
        </w:tc>
        <w:tc>
          <w:tcPr>
            <w:tcW w:w="1726" w:type="dxa"/>
          </w:tcPr>
          <w:p w14:paraId="7401B64D" w14:textId="77777777" w:rsidR="00404BA3" w:rsidRPr="005B0117" w:rsidRDefault="00404BA3" w:rsidP="005343C3">
            <w:pPr>
              <w:spacing w:line="360" w:lineRule="auto"/>
            </w:pPr>
            <w:r>
              <w:t>75%</w:t>
            </w:r>
          </w:p>
        </w:tc>
        <w:tc>
          <w:tcPr>
            <w:tcW w:w="1726" w:type="dxa"/>
          </w:tcPr>
          <w:p w14:paraId="00BBA602" w14:textId="77777777" w:rsidR="00404BA3" w:rsidRPr="005B0117" w:rsidRDefault="00404BA3" w:rsidP="005343C3">
            <w:pPr>
              <w:spacing w:line="360" w:lineRule="auto"/>
            </w:pPr>
            <w:r>
              <w:t>0.126</w:t>
            </w:r>
          </w:p>
        </w:tc>
        <w:tc>
          <w:tcPr>
            <w:tcW w:w="1726" w:type="dxa"/>
          </w:tcPr>
          <w:p w14:paraId="39DC3BEC" w14:textId="77777777" w:rsidR="00404BA3" w:rsidRPr="005B0117" w:rsidRDefault="00404BA3" w:rsidP="005343C3">
            <w:pPr>
              <w:spacing w:line="360" w:lineRule="auto"/>
            </w:pPr>
            <w:r>
              <w:t>$506</w:t>
            </w:r>
          </w:p>
        </w:tc>
      </w:tr>
      <w:tr w:rsidR="00404BA3" w14:paraId="3D51CF1F" w14:textId="77777777" w:rsidTr="0090423E">
        <w:tc>
          <w:tcPr>
            <w:tcW w:w="1726" w:type="dxa"/>
          </w:tcPr>
          <w:p w14:paraId="2B3975D9" w14:textId="77777777" w:rsidR="00404BA3" w:rsidRPr="005B0117" w:rsidRDefault="00404BA3" w:rsidP="005343C3">
            <w:pPr>
              <w:spacing w:line="360" w:lineRule="auto"/>
            </w:pPr>
            <w:r>
              <w:t>50</w:t>
            </w:r>
            <w:r w:rsidRPr="00116526">
              <w:rPr>
                <w:rFonts w:cs="Arial"/>
              </w:rPr>
              <w:t>‒</w:t>
            </w:r>
            <w:r>
              <w:rPr>
                <w:rFonts w:cs="Arial"/>
              </w:rPr>
              <w:t>54</w:t>
            </w:r>
          </w:p>
        </w:tc>
        <w:tc>
          <w:tcPr>
            <w:tcW w:w="1726" w:type="dxa"/>
          </w:tcPr>
          <w:p w14:paraId="566ABD5A" w14:textId="77777777" w:rsidR="00404BA3" w:rsidRPr="005B0117" w:rsidRDefault="00404BA3" w:rsidP="005343C3">
            <w:pPr>
              <w:spacing w:line="360" w:lineRule="auto"/>
            </w:pPr>
            <w:r>
              <w:t>10,377,000</w:t>
            </w:r>
          </w:p>
        </w:tc>
        <w:tc>
          <w:tcPr>
            <w:tcW w:w="1726" w:type="dxa"/>
          </w:tcPr>
          <w:p w14:paraId="57EF1663" w14:textId="77777777" w:rsidR="00404BA3" w:rsidRPr="005B0117" w:rsidRDefault="00404BA3" w:rsidP="005343C3">
            <w:pPr>
              <w:spacing w:line="360" w:lineRule="auto"/>
            </w:pPr>
            <w:r>
              <w:t>72%</w:t>
            </w:r>
          </w:p>
        </w:tc>
        <w:tc>
          <w:tcPr>
            <w:tcW w:w="1726" w:type="dxa"/>
          </w:tcPr>
          <w:p w14:paraId="0A3AB500" w14:textId="77777777" w:rsidR="00404BA3" w:rsidRPr="005B0117" w:rsidRDefault="00404BA3" w:rsidP="005343C3">
            <w:pPr>
              <w:spacing w:line="360" w:lineRule="auto"/>
            </w:pPr>
            <w:r>
              <w:t>0.140</w:t>
            </w:r>
          </w:p>
        </w:tc>
        <w:tc>
          <w:tcPr>
            <w:tcW w:w="1726" w:type="dxa"/>
          </w:tcPr>
          <w:p w14:paraId="093E7D19" w14:textId="77777777" w:rsidR="00404BA3" w:rsidRPr="005B0117" w:rsidRDefault="00404BA3" w:rsidP="005343C3">
            <w:pPr>
              <w:spacing w:line="360" w:lineRule="auto"/>
            </w:pPr>
            <w:r>
              <w:t>$539</w:t>
            </w:r>
          </w:p>
        </w:tc>
      </w:tr>
      <w:tr w:rsidR="00404BA3" w14:paraId="647E2BEE" w14:textId="77777777" w:rsidTr="0090423E">
        <w:tc>
          <w:tcPr>
            <w:tcW w:w="1726" w:type="dxa"/>
          </w:tcPr>
          <w:p w14:paraId="0683A418" w14:textId="77777777" w:rsidR="00404BA3" w:rsidRPr="005B0117" w:rsidRDefault="00404BA3" w:rsidP="005343C3">
            <w:pPr>
              <w:spacing w:line="360" w:lineRule="auto"/>
            </w:pPr>
            <w:r>
              <w:t>55</w:t>
            </w:r>
            <w:r w:rsidRPr="00116526">
              <w:rPr>
                <w:rFonts w:cs="Arial"/>
              </w:rPr>
              <w:t>‒</w:t>
            </w:r>
            <w:r>
              <w:rPr>
                <w:rFonts w:cs="Arial"/>
              </w:rPr>
              <w:t>59</w:t>
            </w:r>
          </w:p>
        </w:tc>
        <w:tc>
          <w:tcPr>
            <w:tcW w:w="1726" w:type="dxa"/>
          </w:tcPr>
          <w:p w14:paraId="033AD94E" w14:textId="77777777" w:rsidR="00404BA3" w:rsidRPr="005B0117" w:rsidRDefault="00404BA3" w:rsidP="005343C3">
            <w:pPr>
              <w:spacing w:line="360" w:lineRule="auto"/>
            </w:pPr>
            <w:r>
              <w:t>11,135,000</w:t>
            </w:r>
          </w:p>
        </w:tc>
        <w:tc>
          <w:tcPr>
            <w:tcW w:w="1726" w:type="dxa"/>
          </w:tcPr>
          <w:p w14:paraId="03AF3BBD" w14:textId="77777777" w:rsidR="00404BA3" w:rsidRPr="005B0117" w:rsidRDefault="00404BA3" w:rsidP="005343C3">
            <w:pPr>
              <w:spacing w:line="360" w:lineRule="auto"/>
            </w:pPr>
            <w:r>
              <w:t>65%</w:t>
            </w:r>
          </w:p>
        </w:tc>
        <w:tc>
          <w:tcPr>
            <w:tcW w:w="1726" w:type="dxa"/>
          </w:tcPr>
          <w:p w14:paraId="74937031" w14:textId="77777777" w:rsidR="00404BA3" w:rsidRPr="005B0117" w:rsidRDefault="00404BA3" w:rsidP="005343C3">
            <w:pPr>
              <w:spacing w:line="360" w:lineRule="auto"/>
            </w:pPr>
            <w:r>
              <w:t>0.139</w:t>
            </w:r>
          </w:p>
        </w:tc>
        <w:tc>
          <w:tcPr>
            <w:tcW w:w="1726" w:type="dxa"/>
          </w:tcPr>
          <w:p w14:paraId="5743F0EA" w14:textId="77777777" w:rsidR="00404BA3" w:rsidRPr="005B0117" w:rsidRDefault="00404BA3" w:rsidP="005343C3">
            <w:pPr>
              <w:spacing w:line="360" w:lineRule="auto"/>
            </w:pPr>
            <w:r>
              <w:t>$528</w:t>
            </w:r>
          </w:p>
        </w:tc>
      </w:tr>
      <w:tr w:rsidR="00404BA3" w14:paraId="6F2C1ACD" w14:textId="77777777" w:rsidTr="0090423E">
        <w:tc>
          <w:tcPr>
            <w:tcW w:w="1726" w:type="dxa"/>
          </w:tcPr>
          <w:p w14:paraId="57682B04" w14:textId="77777777" w:rsidR="00404BA3" w:rsidRPr="005B0117" w:rsidRDefault="00404BA3" w:rsidP="005343C3">
            <w:pPr>
              <w:spacing w:line="360" w:lineRule="auto"/>
            </w:pPr>
            <w:r>
              <w:t>60</w:t>
            </w:r>
            <w:r w:rsidRPr="00116526">
              <w:rPr>
                <w:rFonts w:cs="Arial"/>
              </w:rPr>
              <w:t>‒</w:t>
            </w:r>
            <w:r>
              <w:rPr>
                <w:rFonts w:cs="Arial"/>
              </w:rPr>
              <w:t>64</w:t>
            </w:r>
          </w:p>
        </w:tc>
        <w:tc>
          <w:tcPr>
            <w:tcW w:w="1726" w:type="dxa"/>
          </w:tcPr>
          <w:p w14:paraId="52472553" w14:textId="77777777" w:rsidR="00404BA3" w:rsidRPr="005B0117" w:rsidRDefault="00404BA3" w:rsidP="005343C3">
            <w:pPr>
              <w:spacing w:line="360" w:lineRule="auto"/>
            </w:pPr>
            <w:r>
              <w:t>10,771,000</w:t>
            </w:r>
          </w:p>
        </w:tc>
        <w:tc>
          <w:tcPr>
            <w:tcW w:w="1726" w:type="dxa"/>
          </w:tcPr>
          <w:p w14:paraId="0E6FB813" w14:textId="77777777" w:rsidR="00404BA3" w:rsidRPr="005B0117" w:rsidRDefault="00404BA3" w:rsidP="005343C3">
            <w:pPr>
              <w:spacing w:line="360" w:lineRule="auto"/>
            </w:pPr>
            <w:r>
              <w:t>50%</w:t>
            </w:r>
          </w:p>
        </w:tc>
        <w:tc>
          <w:tcPr>
            <w:tcW w:w="1726" w:type="dxa"/>
          </w:tcPr>
          <w:p w14:paraId="6EF558FD" w14:textId="77777777" w:rsidR="00404BA3" w:rsidRPr="005B0117" w:rsidRDefault="00404BA3" w:rsidP="005343C3">
            <w:pPr>
              <w:spacing w:line="360" w:lineRule="auto"/>
            </w:pPr>
            <w:r>
              <w:t>0.104</w:t>
            </w:r>
          </w:p>
        </w:tc>
        <w:tc>
          <w:tcPr>
            <w:tcW w:w="1726" w:type="dxa"/>
          </w:tcPr>
          <w:p w14:paraId="5563C291" w14:textId="77777777" w:rsidR="00404BA3" w:rsidRPr="005B0117" w:rsidRDefault="00404BA3" w:rsidP="005343C3">
            <w:pPr>
              <w:spacing w:line="360" w:lineRule="auto"/>
            </w:pPr>
            <w:r>
              <w:t>$296</w:t>
            </w:r>
          </w:p>
        </w:tc>
      </w:tr>
      <w:tr w:rsidR="00404BA3" w14:paraId="740C7B34" w14:textId="77777777" w:rsidTr="0090423E">
        <w:tc>
          <w:tcPr>
            <w:tcW w:w="1726" w:type="dxa"/>
          </w:tcPr>
          <w:p w14:paraId="0A0D1A6B" w14:textId="77777777" w:rsidR="00404BA3" w:rsidRPr="005B0117" w:rsidRDefault="00404BA3" w:rsidP="005343C3">
            <w:pPr>
              <w:spacing w:line="360" w:lineRule="auto"/>
              <w:rPr>
                <w:b/>
                <w:bCs/>
              </w:rPr>
            </w:pPr>
            <w:r w:rsidRPr="005B0117">
              <w:rPr>
                <w:b/>
                <w:bCs/>
              </w:rPr>
              <w:t xml:space="preserve">Total: </w:t>
            </w:r>
            <w:r w:rsidRPr="005B0117">
              <w:rPr>
                <w:b/>
                <w:bCs/>
              </w:rPr>
              <w:br/>
              <w:t>42</w:t>
            </w:r>
            <w:r w:rsidRPr="005B0117">
              <w:rPr>
                <w:rFonts w:cs="Arial"/>
                <w:b/>
                <w:bCs/>
              </w:rPr>
              <w:t>‒64</w:t>
            </w:r>
          </w:p>
        </w:tc>
        <w:tc>
          <w:tcPr>
            <w:tcW w:w="1726" w:type="dxa"/>
          </w:tcPr>
          <w:p w14:paraId="33BB3CBC" w14:textId="77777777" w:rsidR="00404BA3" w:rsidRPr="005B0117" w:rsidRDefault="00404BA3" w:rsidP="005343C3">
            <w:pPr>
              <w:spacing w:line="360" w:lineRule="auto"/>
              <w:rPr>
                <w:b/>
                <w:bCs/>
              </w:rPr>
            </w:pPr>
            <w:r w:rsidRPr="005B0117">
              <w:rPr>
                <w:b/>
                <w:bCs/>
              </w:rPr>
              <w:t>48,574,800</w:t>
            </w:r>
          </w:p>
        </w:tc>
        <w:tc>
          <w:tcPr>
            <w:tcW w:w="1726" w:type="dxa"/>
          </w:tcPr>
          <w:p w14:paraId="3115C52D" w14:textId="77777777" w:rsidR="00404BA3" w:rsidRPr="005B0117" w:rsidRDefault="00404BA3" w:rsidP="005343C3">
            <w:pPr>
              <w:spacing w:line="360" w:lineRule="auto"/>
              <w:rPr>
                <w:b/>
                <w:bCs/>
              </w:rPr>
            </w:pPr>
            <w:r w:rsidRPr="005B0117">
              <w:rPr>
                <w:b/>
                <w:bCs/>
              </w:rPr>
              <w:t>67%</w:t>
            </w:r>
          </w:p>
        </w:tc>
        <w:tc>
          <w:tcPr>
            <w:tcW w:w="1726" w:type="dxa"/>
          </w:tcPr>
          <w:p w14:paraId="2B3A10C3" w14:textId="74BC0247" w:rsidR="00404BA3" w:rsidRPr="005B0117" w:rsidRDefault="005A1A08" w:rsidP="005343C3">
            <w:pPr>
              <w:spacing w:line="360" w:lineRule="auto"/>
              <w:rPr>
                <w:b/>
                <w:bCs/>
              </w:rPr>
            </w:pPr>
            <w:r>
              <w:rPr>
                <w:b/>
                <w:bCs/>
              </w:rPr>
              <w:t>—</w:t>
            </w:r>
          </w:p>
        </w:tc>
        <w:tc>
          <w:tcPr>
            <w:tcW w:w="1726" w:type="dxa"/>
          </w:tcPr>
          <w:p w14:paraId="6DA1D244" w14:textId="77777777" w:rsidR="00404BA3" w:rsidRPr="005B0117" w:rsidRDefault="00404BA3" w:rsidP="005343C3">
            <w:pPr>
              <w:spacing w:line="360" w:lineRule="auto"/>
              <w:rPr>
                <w:b/>
                <w:bCs/>
              </w:rPr>
            </w:pPr>
            <w:r w:rsidRPr="005B0117">
              <w:rPr>
                <w:b/>
                <w:bCs/>
              </w:rPr>
              <w:t>$2171</w:t>
            </w:r>
          </w:p>
        </w:tc>
      </w:tr>
    </w:tbl>
    <w:p w14:paraId="1DDF6783" w14:textId="77777777" w:rsidR="00404BA3" w:rsidRDefault="00404BA3" w:rsidP="005343C3">
      <w:pPr>
        <w:spacing w:line="360" w:lineRule="auto"/>
        <w:rPr>
          <w:sz w:val="20"/>
          <w:szCs w:val="20"/>
        </w:rPr>
      </w:pPr>
      <w:proofErr w:type="spellStart"/>
      <w:r w:rsidRPr="00FC6C69">
        <w:rPr>
          <w:sz w:val="20"/>
          <w:szCs w:val="20"/>
          <w:vertAlign w:val="superscript"/>
        </w:rPr>
        <w:t>a</w:t>
      </w:r>
      <w:r>
        <w:rPr>
          <w:sz w:val="20"/>
          <w:szCs w:val="20"/>
        </w:rPr>
        <w:t>Based</w:t>
      </w:r>
      <w:proofErr w:type="spellEnd"/>
      <w:r>
        <w:rPr>
          <w:sz w:val="20"/>
          <w:szCs w:val="20"/>
        </w:rPr>
        <w:t xml:space="preserve"> on 2019 data from </w:t>
      </w:r>
      <w:r w:rsidRPr="005B0117">
        <w:rPr>
          <w:sz w:val="20"/>
          <w:szCs w:val="20"/>
        </w:rPr>
        <w:t>the Bureau of Labor Statistics</w:t>
      </w:r>
      <w:r>
        <w:rPr>
          <w:sz w:val="20"/>
          <w:szCs w:val="20"/>
        </w:rPr>
        <w:t>.</w:t>
      </w:r>
      <w:r>
        <w:rPr>
          <w:sz w:val="20"/>
          <w:szCs w:val="20"/>
          <w:vertAlign w:val="superscript"/>
        </w:rPr>
        <w:t>2</w:t>
      </w:r>
    </w:p>
    <w:p w14:paraId="1E92DC8A" w14:textId="77777777" w:rsidR="00404BA3" w:rsidRPr="00155EC4" w:rsidRDefault="00404BA3" w:rsidP="005343C3">
      <w:pPr>
        <w:spacing w:line="360" w:lineRule="auto"/>
        <w:rPr>
          <w:sz w:val="20"/>
          <w:szCs w:val="20"/>
        </w:rPr>
      </w:pPr>
      <w:proofErr w:type="spellStart"/>
      <w:r w:rsidRPr="00FC6C69">
        <w:rPr>
          <w:sz w:val="20"/>
          <w:szCs w:val="20"/>
          <w:vertAlign w:val="superscript"/>
        </w:rPr>
        <w:t>b</w:t>
      </w:r>
      <w:r>
        <w:rPr>
          <w:sz w:val="20"/>
          <w:szCs w:val="20"/>
        </w:rPr>
        <w:t>The</w:t>
      </w:r>
      <w:proofErr w:type="spellEnd"/>
      <w:r>
        <w:rPr>
          <w:sz w:val="20"/>
          <w:szCs w:val="20"/>
        </w:rPr>
        <w:t xml:space="preserve"> sample of 15,354 person-visit observations in SWAN that had </w:t>
      </w:r>
      <w:proofErr w:type="spellStart"/>
      <w:r>
        <w:rPr>
          <w:sz w:val="20"/>
          <w:szCs w:val="20"/>
        </w:rPr>
        <w:t>nonmissing</w:t>
      </w:r>
      <w:proofErr w:type="spellEnd"/>
      <w:r>
        <w:rPr>
          <w:sz w:val="20"/>
          <w:szCs w:val="20"/>
        </w:rPr>
        <w:t xml:space="preserve"> information on sleep problems for the prior and current visit was used to calculate the proportion with onset of a sleep problem (transition from none to at least 1) to estimate risk of new-onset sleep problem. </w:t>
      </w:r>
      <w:r w:rsidRPr="00EB4EB8">
        <w:rPr>
          <w:sz w:val="20"/>
          <w:szCs w:val="20"/>
        </w:rPr>
        <w:t>For each visit</w:t>
      </w:r>
      <w:r>
        <w:rPr>
          <w:sz w:val="20"/>
          <w:szCs w:val="20"/>
        </w:rPr>
        <w:t xml:space="preserve"> (t)</w:t>
      </w:r>
      <w:r w:rsidRPr="00EB4EB8">
        <w:rPr>
          <w:sz w:val="20"/>
          <w:szCs w:val="20"/>
        </w:rPr>
        <w:t>, we classified a participant as having sleep difficulties if she reported trouble falling asleep, waking early, or sleep interruptions at least 3 times in the past 2 weeks.</w:t>
      </w:r>
      <w:r>
        <w:rPr>
          <w:sz w:val="20"/>
          <w:szCs w:val="20"/>
        </w:rPr>
        <w:t xml:space="preserve"> Sleep disturbances were considered new-onset if they were present at the preceding visit (t-1) but not the visit prior to that (t-2).</w:t>
      </w:r>
    </w:p>
    <w:p w14:paraId="03236CB5" w14:textId="77777777" w:rsidR="00404BA3" w:rsidRDefault="00404BA3" w:rsidP="005343C3">
      <w:pPr>
        <w:spacing w:line="360" w:lineRule="auto"/>
        <w:rPr>
          <w:sz w:val="20"/>
          <w:szCs w:val="20"/>
        </w:rPr>
      </w:pPr>
      <w:proofErr w:type="spellStart"/>
      <w:r>
        <w:rPr>
          <w:sz w:val="20"/>
          <w:szCs w:val="20"/>
          <w:vertAlign w:val="superscript"/>
        </w:rPr>
        <w:t>c</w:t>
      </w:r>
      <w:r w:rsidRPr="003026F9">
        <w:rPr>
          <w:sz w:val="20"/>
          <w:szCs w:val="20"/>
        </w:rPr>
        <w:t>Annual</w:t>
      </w:r>
      <w:proofErr w:type="spellEnd"/>
      <w:r w:rsidRPr="003026F9">
        <w:rPr>
          <w:sz w:val="20"/>
          <w:szCs w:val="20"/>
        </w:rPr>
        <w:t xml:space="preserve"> economic burden calculated as </w:t>
      </w:r>
      <w:r>
        <w:rPr>
          <w:sz w:val="20"/>
          <w:szCs w:val="20"/>
        </w:rPr>
        <w:t>number</w:t>
      </w:r>
      <w:r w:rsidRPr="003026F9">
        <w:rPr>
          <w:sz w:val="20"/>
          <w:szCs w:val="20"/>
        </w:rPr>
        <w:t xml:space="preserve"> of women in the civilian population multiplied by the labor force participation rate, risk of sleep problem, effect of sleep on hours worked, hourly wage, and 52</w:t>
      </w:r>
      <w:r>
        <w:rPr>
          <w:sz w:val="20"/>
          <w:szCs w:val="20"/>
        </w:rPr>
        <w:t xml:space="preserve"> weeks</w:t>
      </w:r>
      <w:r w:rsidRPr="003026F9">
        <w:rPr>
          <w:sz w:val="20"/>
          <w:szCs w:val="20"/>
        </w:rPr>
        <w:t xml:space="preserve">. </w:t>
      </w:r>
      <w:r>
        <w:rPr>
          <w:sz w:val="20"/>
          <w:szCs w:val="20"/>
        </w:rPr>
        <w:t>(</w:t>
      </w:r>
      <w:r w:rsidRPr="003026F9">
        <w:rPr>
          <w:sz w:val="20"/>
          <w:szCs w:val="20"/>
        </w:rPr>
        <w:t xml:space="preserve">See </w:t>
      </w:r>
      <w:r>
        <w:rPr>
          <w:sz w:val="20"/>
          <w:szCs w:val="20"/>
        </w:rPr>
        <w:t>Table 1, Supplementary Digital Content</w:t>
      </w:r>
      <w:r w:rsidRPr="003026F9">
        <w:rPr>
          <w:sz w:val="20"/>
          <w:szCs w:val="20"/>
        </w:rPr>
        <w:t xml:space="preserve"> for hourly wage and effect of sleep on hours worked by age group.</w:t>
      </w:r>
      <w:r>
        <w:rPr>
          <w:sz w:val="20"/>
          <w:szCs w:val="20"/>
        </w:rPr>
        <w:t>)</w:t>
      </w:r>
    </w:p>
    <w:p w14:paraId="010E15AD" w14:textId="77777777" w:rsidR="00404BA3" w:rsidRDefault="00404BA3" w:rsidP="005343C3">
      <w:pPr>
        <w:spacing w:line="360" w:lineRule="auto"/>
      </w:pPr>
      <w:proofErr w:type="spellStart"/>
      <w:r>
        <w:rPr>
          <w:sz w:val="20"/>
          <w:szCs w:val="20"/>
          <w:vertAlign w:val="superscript"/>
        </w:rPr>
        <w:t>d</w:t>
      </w:r>
      <w:r w:rsidRPr="00FC6C69">
        <w:rPr>
          <w:sz w:val="20"/>
          <w:szCs w:val="20"/>
        </w:rPr>
        <w:t>The</w:t>
      </w:r>
      <w:proofErr w:type="spellEnd"/>
      <w:r w:rsidRPr="00FC6C69">
        <w:rPr>
          <w:sz w:val="20"/>
          <w:szCs w:val="20"/>
        </w:rPr>
        <w:t xml:space="preserve"> 40 to 44 years age group was multiplied by 60% to adjust to 42 to 44 years, assuming a uniform population distribution across years of age</w:t>
      </w:r>
      <w:r>
        <w:t>.</w:t>
      </w:r>
      <w:bookmarkEnd w:id="1"/>
      <w:bookmarkEnd w:id="2"/>
    </w:p>
    <w:p w14:paraId="146250FD" w14:textId="77777777" w:rsidR="00404BA3" w:rsidRDefault="00404BA3" w:rsidP="005343C3">
      <w:pPr>
        <w:spacing w:line="360" w:lineRule="auto"/>
        <w:rPr>
          <w:sz w:val="20"/>
          <w:szCs w:val="20"/>
        </w:rPr>
      </w:pPr>
      <w:r w:rsidRPr="004A01E7">
        <w:rPr>
          <w:sz w:val="20"/>
          <w:szCs w:val="20"/>
        </w:rPr>
        <w:t>SWAN, Study of Women’s Health Across the Nation</w:t>
      </w:r>
      <w:r>
        <w:rPr>
          <w:sz w:val="20"/>
          <w:szCs w:val="20"/>
        </w:rPr>
        <w:t>; US, United States</w:t>
      </w:r>
      <w:r w:rsidRPr="004A01E7">
        <w:rPr>
          <w:sz w:val="20"/>
          <w:szCs w:val="20"/>
        </w:rPr>
        <w:t>.</w:t>
      </w:r>
    </w:p>
    <w:p w14:paraId="1AC9BACB" w14:textId="77777777" w:rsidR="00404BA3" w:rsidRDefault="00404BA3" w:rsidP="005343C3">
      <w:pPr>
        <w:spacing w:line="360" w:lineRule="auto"/>
        <w:rPr>
          <w:sz w:val="20"/>
          <w:szCs w:val="20"/>
        </w:rPr>
      </w:pPr>
    </w:p>
    <w:p w14:paraId="480FD000" w14:textId="77777777" w:rsidR="00404BA3" w:rsidRPr="00155EC4" w:rsidRDefault="00404BA3" w:rsidP="005343C3">
      <w:pPr>
        <w:tabs>
          <w:tab w:val="clear" w:pos="0"/>
        </w:tabs>
        <w:spacing w:line="360" w:lineRule="auto"/>
        <w:outlineLvl w:val="9"/>
      </w:pPr>
      <w:r>
        <w:rPr>
          <w:b/>
          <w:bCs/>
        </w:rPr>
        <w:br w:type="page"/>
      </w:r>
    </w:p>
    <w:p w14:paraId="21AB5C47" w14:textId="77777777" w:rsidR="00404BA3" w:rsidRPr="00155EC4" w:rsidRDefault="00404BA3" w:rsidP="005343C3">
      <w:pPr>
        <w:spacing w:line="360" w:lineRule="auto"/>
      </w:pPr>
      <w:r w:rsidRPr="00155EC4">
        <w:rPr>
          <w:b/>
          <w:bCs/>
        </w:rPr>
        <w:lastRenderedPageBreak/>
        <w:t>References</w:t>
      </w:r>
    </w:p>
    <w:p w14:paraId="45FFE62F" w14:textId="77777777" w:rsidR="00404BA3" w:rsidRPr="00155EC4" w:rsidRDefault="00404BA3" w:rsidP="005343C3">
      <w:pPr>
        <w:pStyle w:val="EndNoteBibliography"/>
        <w:spacing w:line="360" w:lineRule="auto"/>
        <w:ind w:left="540" w:hanging="540"/>
        <w:rPr>
          <w:bCs/>
        </w:rPr>
      </w:pPr>
      <w:r w:rsidRPr="00155EC4">
        <w:rPr>
          <w:bCs/>
        </w:rPr>
        <w:t>1.</w:t>
      </w:r>
      <w:r w:rsidRPr="00155EC4">
        <w:rPr>
          <w:bCs/>
        </w:rPr>
        <w:tab/>
        <w:t xml:space="preserve">U.S. Bureau of Labor Statistics. Usual weekly earnings of wage and salary workers [news release]. Available at: </w:t>
      </w:r>
      <w:hyperlink r:id="rId7" w:history="1">
        <w:r w:rsidRPr="00155EC4">
          <w:rPr>
            <w:rStyle w:val="Hyperlink"/>
            <w:bCs/>
          </w:rPr>
          <w:t>https://www.bls.gov/news.release/archives/wkyeng_01172020.htm</w:t>
        </w:r>
      </w:hyperlink>
      <w:r w:rsidRPr="00155EC4">
        <w:rPr>
          <w:bCs/>
        </w:rPr>
        <w:t>. Accessed: January 26, 2021.</w:t>
      </w:r>
    </w:p>
    <w:p w14:paraId="052E837A" w14:textId="77777777" w:rsidR="00404BA3" w:rsidRPr="00155EC4" w:rsidRDefault="00404BA3" w:rsidP="005343C3">
      <w:pPr>
        <w:pStyle w:val="EndNoteBibliography"/>
        <w:spacing w:line="360" w:lineRule="auto"/>
        <w:ind w:left="540" w:hanging="540"/>
        <w:rPr>
          <w:bCs/>
        </w:rPr>
      </w:pPr>
      <w:r w:rsidRPr="00155EC4">
        <w:rPr>
          <w:bCs/>
        </w:rPr>
        <w:t>2.</w:t>
      </w:r>
      <w:r w:rsidRPr="00155EC4">
        <w:rPr>
          <w:bCs/>
        </w:rPr>
        <w:tab/>
        <w:t xml:space="preserve">U.S. Bureau of Labor Statistics. Employment status of the civilian noninstitutional population by age, sex, and race. Available at: </w:t>
      </w:r>
      <w:hyperlink r:id="rId8" w:history="1">
        <w:r w:rsidRPr="00155EC4">
          <w:rPr>
            <w:rStyle w:val="Hyperlink"/>
            <w:bCs/>
          </w:rPr>
          <w:t>https://www.bls.gov/cps/cpsaat03.htm</w:t>
        </w:r>
      </w:hyperlink>
      <w:r w:rsidRPr="00155EC4">
        <w:rPr>
          <w:bCs/>
        </w:rPr>
        <w:t>. Accessed: January 26, 2021.</w:t>
      </w:r>
    </w:p>
    <w:p w14:paraId="3382F270" w14:textId="77777777" w:rsidR="00932310" w:rsidRDefault="00932310" w:rsidP="005343C3">
      <w:pPr>
        <w:spacing w:line="360" w:lineRule="auto"/>
      </w:pPr>
    </w:p>
    <w:sectPr w:rsidR="00932310" w:rsidSect="00253DC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07871" w14:textId="77777777" w:rsidR="003A41A3" w:rsidRDefault="003A41A3" w:rsidP="003A41A3">
      <w:pPr>
        <w:spacing w:line="240" w:lineRule="auto"/>
      </w:pPr>
      <w:r>
        <w:separator/>
      </w:r>
    </w:p>
  </w:endnote>
  <w:endnote w:type="continuationSeparator" w:id="0">
    <w:p w14:paraId="26C37341" w14:textId="77777777" w:rsidR="003A41A3" w:rsidRDefault="003A41A3" w:rsidP="003A41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9429437"/>
      <w:docPartObj>
        <w:docPartGallery w:val="Page Numbers (Bottom of Page)"/>
        <w:docPartUnique/>
      </w:docPartObj>
    </w:sdtPr>
    <w:sdtEndPr>
      <w:rPr>
        <w:noProof/>
        <w:sz w:val="22"/>
        <w:szCs w:val="22"/>
      </w:rPr>
    </w:sdtEndPr>
    <w:sdtContent>
      <w:p w14:paraId="4EAB9832" w14:textId="77777777" w:rsidR="008E0D01" w:rsidRPr="00BE6F6F" w:rsidRDefault="003A41A3">
        <w:pPr>
          <w:pStyle w:val="Footer"/>
          <w:jc w:val="right"/>
          <w:rPr>
            <w:sz w:val="22"/>
            <w:szCs w:val="22"/>
          </w:rPr>
        </w:pPr>
        <w:r w:rsidRPr="00BE6F6F">
          <w:rPr>
            <w:sz w:val="22"/>
            <w:szCs w:val="22"/>
          </w:rPr>
          <w:fldChar w:fldCharType="begin"/>
        </w:r>
        <w:r w:rsidRPr="00BE6F6F">
          <w:rPr>
            <w:sz w:val="22"/>
            <w:szCs w:val="22"/>
          </w:rPr>
          <w:instrText xml:space="preserve"> PAGE   \* MERGEFORMAT </w:instrText>
        </w:r>
        <w:r w:rsidRPr="00BE6F6F">
          <w:rPr>
            <w:sz w:val="22"/>
            <w:szCs w:val="22"/>
          </w:rPr>
          <w:fldChar w:fldCharType="separate"/>
        </w:r>
        <w:r w:rsidRPr="00BE6F6F">
          <w:rPr>
            <w:noProof/>
            <w:sz w:val="22"/>
            <w:szCs w:val="22"/>
          </w:rPr>
          <w:t>2</w:t>
        </w:r>
        <w:r w:rsidRPr="00BE6F6F">
          <w:rPr>
            <w:noProof/>
            <w:sz w:val="22"/>
            <w:szCs w:val="22"/>
          </w:rPr>
          <w:fldChar w:fldCharType="end"/>
        </w:r>
      </w:p>
    </w:sdtContent>
  </w:sdt>
  <w:p w14:paraId="27FA940D" w14:textId="77777777" w:rsidR="008E0D01" w:rsidRDefault="00392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11A68" w14:textId="77777777" w:rsidR="003A41A3" w:rsidRDefault="003A41A3" w:rsidP="003A41A3">
      <w:pPr>
        <w:spacing w:line="240" w:lineRule="auto"/>
      </w:pPr>
      <w:r>
        <w:separator/>
      </w:r>
    </w:p>
  </w:footnote>
  <w:footnote w:type="continuationSeparator" w:id="0">
    <w:p w14:paraId="3B879EE5" w14:textId="77777777" w:rsidR="003A41A3" w:rsidRDefault="003A41A3" w:rsidP="003A41A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275B47"/>
    <w:multiLevelType w:val="hybridMultilevel"/>
    <w:tmpl w:val="182480B8"/>
    <w:lvl w:ilvl="0" w:tplc="74123F46">
      <w:start w:val="1"/>
      <w:numFmt w:val="bullet"/>
      <w:lvlText w:val=""/>
      <w:lvlJc w:val="left"/>
      <w:pPr>
        <w:tabs>
          <w:tab w:val="num" w:pos="1464"/>
        </w:tabs>
        <w:ind w:left="1464"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807AC8"/>
    <w:multiLevelType w:val="hybridMultilevel"/>
    <w:tmpl w:val="549410DA"/>
    <w:lvl w:ilvl="0" w:tplc="D0947648">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8305532"/>
    <w:multiLevelType w:val="multilevel"/>
    <w:tmpl w:val="59FA44C6"/>
    <w:lvl w:ilvl="0">
      <w:start w:val="1"/>
      <w:numFmt w:val="bullet"/>
      <w:lvlText w:val="—"/>
      <w:lvlJc w:val="left"/>
      <w:pPr>
        <w:tabs>
          <w:tab w:val="num" w:pos="1464"/>
        </w:tabs>
        <w:ind w:left="1464"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022ED1"/>
    <w:multiLevelType w:val="hybridMultilevel"/>
    <w:tmpl w:val="0C322F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4FE56F1"/>
    <w:multiLevelType w:val="hybridMultilevel"/>
    <w:tmpl w:val="59FA44C6"/>
    <w:lvl w:ilvl="0" w:tplc="79402E94">
      <w:start w:val="1"/>
      <w:numFmt w:val="bullet"/>
      <w:lvlText w:val="—"/>
      <w:lvlJc w:val="left"/>
      <w:pPr>
        <w:tabs>
          <w:tab w:val="num" w:pos="1464"/>
        </w:tabs>
        <w:ind w:left="1464"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4E6A0E"/>
    <w:multiLevelType w:val="hybridMultilevel"/>
    <w:tmpl w:val="E842CA84"/>
    <w:lvl w:ilvl="0" w:tplc="D094764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892186"/>
    <w:multiLevelType w:val="hybridMultilevel"/>
    <w:tmpl w:val="80164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404BA3"/>
    <w:rsid w:val="002B46F1"/>
    <w:rsid w:val="00392CB8"/>
    <w:rsid w:val="003A41A3"/>
    <w:rsid w:val="00404BA3"/>
    <w:rsid w:val="00440F1A"/>
    <w:rsid w:val="005343C3"/>
    <w:rsid w:val="005A1A08"/>
    <w:rsid w:val="006D5E0B"/>
    <w:rsid w:val="00720FC3"/>
    <w:rsid w:val="007C36AA"/>
    <w:rsid w:val="00932310"/>
    <w:rsid w:val="00A0754F"/>
    <w:rsid w:val="00BC3DAC"/>
    <w:rsid w:val="00BE6F6F"/>
    <w:rsid w:val="00CE4516"/>
    <w:rsid w:val="00E13EA8"/>
    <w:rsid w:val="00F0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93F2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BA3"/>
    <w:pPr>
      <w:tabs>
        <w:tab w:val="left" w:pos="0"/>
      </w:tabs>
      <w:spacing w:after="0" w:line="480" w:lineRule="auto"/>
      <w:outlineLvl w:val="0"/>
    </w:pPr>
    <w:rPr>
      <w:rFonts w:ascii="Arial" w:eastAsia="Times New Roman" w:hAnsi="Arial" w:cs="Times New Roman"/>
      <w:sz w:val="24"/>
      <w:szCs w:val="24"/>
    </w:rPr>
  </w:style>
  <w:style w:type="paragraph" w:styleId="Heading1">
    <w:name w:val="heading 1"/>
    <w:basedOn w:val="Normal"/>
    <w:next w:val="Normal"/>
    <w:link w:val="Heading1Char"/>
    <w:qFormat/>
    <w:rsid w:val="00404BA3"/>
    <w:pPr>
      <w:keepNext/>
    </w:pPr>
    <w:rPr>
      <w:rFonts w:cs="Arial"/>
      <w:b/>
      <w:bCs/>
      <w:caps/>
      <w:kern w:val="32"/>
    </w:rPr>
  </w:style>
  <w:style w:type="paragraph" w:styleId="Heading2">
    <w:name w:val="heading 2"/>
    <w:basedOn w:val="Normal"/>
    <w:next w:val="Normal"/>
    <w:link w:val="Heading2Char"/>
    <w:qFormat/>
    <w:rsid w:val="00404BA3"/>
    <w:pPr>
      <w:keepNext/>
      <w:outlineLvl w:val="1"/>
    </w:pPr>
    <w:rPr>
      <w:rFonts w:cs="Arial"/>
      <w:b/>
      <w:bCs/>
      <w:iCs/>
    </w:rPr>
  </w:style>
  <w:style w:type="paragraph" w:styleId="Heading3">
    <w:name w:val="heading 3"/>
    <w:basedOn w:val="Normal"/>
    <w:next w:val="Normal"/>
    <w:link w:val="Heading3Char"/>
    <w:qFormat/>
    <w:rsid w:val="00404BA3"/>
    <w:pPr>
      <w:keepNext/>
      <w:outlineLvl w:val="2"/>
    </w:pPr>
    <w:rPr>
      <w:rFonts w:cs="Arial"/>
      <w:bCs/>
      <w:i/>
    </w:rPr>
  </w:style>
  <w:style w:type="paragraph" w:styleId="Heading4">
    <w:name w:val="heading 4"/>
    <w:basedOn w:val="Normal"/>
    <w:next w:val="Normal"/>
    <w:link w:val="Heading4Char"/>
    <w:semiHidden/>
    <w:unhideWhenUsed/>
    <w:qFormat/>
    <w:rsid w:val="00404BA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BA3"/>
    <w:rPr>
      <w:rFonts w:ascii="Arial" w:eastAsia="Times New Roman" w:hAnsi="Arial" w:cs="Arial"/>
      <w:b/>
      <w:bCs/>
      <w:caps/>
      <w:kern w:val="32"/>
      <w:sz w:val="24"/>
      <w:szCs w:val="24"/>
    </w:rPr>
  </w:style>
  <w:style w:type="character" w:customStyle="1" w:styleId="Heading2Char">
    <w:name w:val="Heading 2 Char"/>
    <w:basedOn w:val="DefaultParagraphFont"/>
    <w:link w:val="Heading2"/>
    <w:rsid w:val="00404BA3"/>
    <w:rPr>
      <w:rFonts w:ascii="Arial" w:eastAsia="Times New Roman" w:hAnsi="Arial" w:cs="Arial"/>
      <w:b/>
      <w:bCs/>
      <w:iCs/>
      <w:sz w:val="24"/>
      <w:szCs w:val="24"/>
    </w:rPr>
  </w:style>
  <w:style w:type="character" w:customStyle="1" w:styleId="Heading3Char">
    <w:name w:val="Heading 3 Char"/>
    <w:basedOn w:val="DefaultParagraphFont"/>
    <w:link w:val="Heading3"/>
    <w:rsid w:val="00404BA3"/>
    <w:rPr>
      <w:rFonts w:ascii="Arial" w:eastAsia="Times New Roman" w:hAnsi="Arial" w:cs="Arial"/>
      <w:bCs/>
      <w:i/>
      <w:sz w:val="24"/>
      <w:szCs w:val="24"/>
    </w:rPr>
  </w:style>
  <w:style w:type="character" w:customStyle="1" w:styleId="Heading4Char">
    <w:name w:val="Heading 4 Char"/>
    <w:basedOn w:val="DefaultParagraphFont"/>
    <w:link w:val="Heading4"/>
    <w:semiHidden/>
    <w:rsid w:val="00404BA3"/>
    <w:rPr>
      <w:rFonts w:asciiTheme="majorHAnsi" w:eastAsiaTheme="majorEastAsia" w:hAnsiTheme="majorHAnsi" w:cstheme="majorBidi"/>
      <w:i/>
      <w:iCs/>
      <w:color w:val="2F5496" w:themeColor="accent1" w:themeShade="BF"/>
      <w:sz w:val="24"/>
      <w:szCs w:val="24"/>
    </w:rPr>
  </w:style>
  <w:style w:type="paragraph" w:styleId="Header">
    <w:name w:val="header"/>
    <w:basedOn w:val="Normal"/>
    <w:link w:val="HeaderChar"/>
    <w:rsid w:val="00404BA3"/>
    <w:pPr>
      <w:tabs>
        <w:tab w:val="clear" w:pos="0"/>
        <w:tab w:val="center" w:pos="4320"/>
        <w:tab w:val="right" w:pos="8640"/>
      </w:tabs>
    </w:pPr>
  </w:style>
  <w:style w:type="character" w:customStyle="1" w:styleId="HeaderChar">
    <w:name w:val="Header Char"/>
    <w:basedOn w:val="DefaultParagraphFont"/>
    <w:link w:val="Header"/>
    <w:rsid w:val="00404BA3"/>
    <w:rPr>
      <w:rFonts w:ascii="Arial" w:eastAsia="Times New Roman" w:hAnsi="Arial" w:cs="Times New Roman"/>
      <w:sz w:val="24"/>
      <w:szCs w:val="24"/>
    </w:rPr>
  </w:style>
  <w:style w:type="paragraph" w:styleId="FootnoteText">
    <w:name w:val="footnote text"/>
    <w:basedOn w:val="Normal"/>
    <w:link w:val="FootnoteTextChar"/>
    <w:uiPriority w:val="99"/>
    <w:semiHidden/>
    <w:rsid w:val="00404BA3"/>
    <w:pPr>
      <w:tabs>
        <w:tab w:val="clear" w:pos="0"/>
      </w:tabs>
      <w:spacing w:line="480" w:lineRule="atLeast"/>
      <w:outlineLvl w:val="9"/>
    </w:pPr>
    <w:rPr>
      <w:b/>
      <w:vanish/>
      <w:szCs w:val="20"/>
    </w:rPr>
  </w:style>
  <w:style w:type="character" w:customStyle="1" w:styleId="FootnoteTextChar">
    <w:name w:val="Footnote Text Char"/>
    <w:basedOn w:val="DefaultParagraphFont"/>
    <w:link w:val="FootnoteText"/>
    <w:uiPriority w:val="99"/>
    <w:semiHidden/>
    <w:rsid w:val="00404BA3"/>
    <w:rPr>
      <w:rFonts w:ascii="Arial" w:eastAsia="Times New Roman" w:hAnsi="Arial" w:cs="Times New Roman"/>
      <w:b/>
      <w:vanish/>
      <w:sz w:val="24"/>
      <w:szCs w:val="20"/>
    </w:rPr>
  </w:style>
  <w:style w:type="paragraph" w:styleId="Footer">
    <w:name w:val="footer"/>
    <w:basedOn w:val="Normal"/>
    <w:link w:val="FooterChar"/>
    <w:uiPriority w:val="99"/>
    <w:rsid w:val="00404BA3"/>
    <w:pPr>
      <w:tabs>
        <w:tab w:val="clear" w:pos="0"/>
        <w:tab w:val="center" w:pos="4320"/>
        <w:tab w:val="right" w:pos="8640"/>
      </w:tabs>
    </w:pPr>
  </w:style>
  <w:style w:type="character" w:customStyle="1" w:styleId="FooterChar">
    <w:name w:val="Footer Char"/>
    <w:basedOn w:val="DefaultParagraphFont"/>
    <w:link w:val="Footer"/>
    <w:uiPriority w:val="99"/>
    <w:rsid w:val="00404BA3"/>
    <w:rPr>
      <w:rFonts w:ascii="Arial" w:eastAsia="Times New Roman" w:hAnsi="Arial" w:cs="Times New Roman"/>
      <w:sz w:val="24"/>
      <w:szCs w:val="24"/>
    </w:rPr>
  </w:style>
  <w:style w:type="character" w:styleId="PageNumber">
    <w:name w:val="page number"/>
    <w:rsid w:val="00404BA3"/>
    <w:rPr>
      <w:rFonts w:ascii="Arial" w:hAnsi="Arial"/>
      <w:sz w:val="20"/>
    </w:rPr>
  </w:style>
  <w:style w:type="character" w:styleId="Hyperlink">
    <w:name w:val="Hyperlink"/>
    <w:basedOn w:val="DefaultParagraphFont"/>
    <w:rsid w:val="00404BA3"/>
    <w:rPr>
      <w:color w:val="0563C1" w:themeColor="hyperlink"/>
      <w:u w:val="single"/>
    </w:rPr>
  </w:style>
  <w:style w:type="character" w:styleId="FollowedHyperlink">
    <w:name w:val="FollowedHyperlink"/>
    <w:basedOn w:val="DefaultParagraphFont"/>
    <w:rsid w:val="00404BA3"/>
    <w:rPr>
      <w:color w:val="954F72" w:themeColor="followedHyperlink"/>
      <w:u w:val="single"/>
    </w:rPr>
  </w:style>
  <w:style w:type="paragraph" w:styleId="BalloonText">
    <w:name w:val="Balloon Text"/>
    <w:basedOn w:val="Normal"/>
    <w:link w:val="BalloonTextChar"/>
    <w:rsid w:val="00404B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404BA3"/>
    <w:rPr>
      <w:rFonts w:ascii="Segoe UI" w:eastAsia="Times New Roman" w:hAnsi="Segoe UI" w:cs="Segoe UI"/>
      <w:sz w:val="18"/>
      <w:szCs w:val="18"/>
    </w:rPr>
  </w:style>
  <w:style w:type="character" w:styleId="CommentReference">
    <w:name w:val="annotation reference"/>
    <w:basedOn w:val="DefaultParagraphFont"/>
    <w:unhideWhenUsed/>
    <w:rsid w:val="00404BA3"/>
    <w:rPr>
      <w:sz w:val="16"/>
      <w:szCs w:val="16"/>
    </w:rPr>
  </w:style>
  <w:style w:type="paragraph" w:styleId="CommentText">
    <w:name w:val="annotation text"/>
    <w:basedOn w:val="Normal"/>
    <w:link w:val="CommentTextChar"/>
    <w:unhideWhenUsed/>
    <w:rsid w:val="00404BA3"/>
    <w:pPr>
      <w:tabs>
        <w:tab w:val="clear" w:pos="0"/>
      </w:tabs>
      <w:spacing w:line="240" w:lineRule="auto"/>
      <w:outlineLvl w:val="9"/>
    </w:pPr>
    <w:rPr>
      <w:sz w:val="20"/>
      <w:szCs w:val="20"/>
    </w:rPr>
  </w:style>
  <w:style w:type="character" w:customStyle="1" w:styleId="CommentTextChar">
    <w:name w:val="Comment Text Char"/>
    <w:basedOn w:val="DefaultParagraphFont"/>
    <w:link w:val="CommentText"/>
    <w:rsid w:val="00404BA3"/>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404BA3"/>
    <w:pPr>
      <w:tabs>
        <w:tab w:val="left" w:pos="0"/>
      </w:tabs>
      <w:outlineLvl w:val="0"/>
    </w:pPr>
    <w:rPr>
      <w:b/>
      <w:bCs/>
    </w:rPr>
  </w:style>
  <w:style w:type="character" w:customStyle="1" w:styleId="CommentSubjectChar">
    <w:name w:val="Comment Subject Char"/>
    <w:basedOn w:val="CommentTextChar"/>
    <w:link w:val="CommentSubject"/>
    <w:semiHidden/>
    <w:rsid w:val="00404BA3"/>
    <w:rPr>
      <w:rFonts w:ascii="Arial" w:eastAsia="Times New Roman" w:hAnsi="Arial" w:cs="Times New Roman"/>
      <w:b/>
      <w:bCs/>
      <w:sz w:val="20"/>
      <w:szCs w:val="20"/>
    </w:rPr>
  </w:style>
  <w:style w:type="paragraph" w:styleId="ListParagraph">
    <w:name w:val="List Paragraph"/>
    <w:basedOn w:val="Normal"/>
    <w:uiPriority w:val="34"/>
    <w:qFormat/>
    <w:rsid w:val="00404BA3"/>
    <w:pPr>
      <w:ind w:left="720"/>
      <w:contextualSpacing/>
    </w:pPr>
  </w:style>
  <w:style w:type="table" w:styleId="TableGrid">
    <w:name w:val="Table Grid"/>
    <w:basedOn w:val="TableNormal"/>
    <w:rsid w:val="00404B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404BA3"/>
    <w:rPr>
      <w:vertAlign w:val="superscript"/>
    </w:rPr>
  </w:style>
  <w:style w:type="paragraph" w:customStyle="1" w:styleId="EndNoteBibliographyTitle">
    <w:name w:val="EndNote Bibliography Title"/>
    <w:basedOn w:val="Normal"/>
    <w:link w:val="EndNoteBibliographyTitleChar"/>
    <w:rsid w:val="00404BA3"/>
    <w:pPr>
      <w:jc w:val="center"/>
    </w:pPr>
    <w:rPr>
      <w:rFonts w:cs="Arial"/>
      <w:noProof/>
    </w:rPr>
  </w:style>
  <w:style w:type="character" w:customStyle="1" w:styleId="EndNoteBibliographyTitleChar">
    <w:name w:val="EndNote Bibliography Title Char"/>
    <w:basedOn w:val="DefaultParagraphFont"/>
    <w:link w:val="EndNoteBibliographyTitle"/>
    <w:rsid w:val="00404BA3"/>
    <w:rPr>
      <w:rFonts w:ascii="Arial" w:eastAsia="Times New Roman" w:hAnsi="Arial" w:cs="Arial"/>
      <w:noProof/>
      <w:sz w:val="24"/>
      <w:szCs w:val="24"/>
    </w:rPr>
  </w:style>
  <w:style w:type="paragraph" w:customStyle="1" w:styleId="EndNoteBibliography">
    <w:name w:val="EndNote Bibliography"/>
    <w:basedOn w:val="Normal"/>
    <w:link w:val="EndNoteBibliographyChar"/>
    <w:rsid w:val="00404BA3"/>
    <w:rPr>
      <w:rFonts w:cs="Arial"/>
      <w:noProof/>
    </w:rPr>
  </w:style>
  <w:style w:type="character" w:customStyle="1" w:styleId="EndNoteBibliographyChar">
    <w:name w:val="EndNote Bibliography Char"/>
    <w:basedOn w:val="DefaultParagraphFont"/>
    <w:link w:val="EndNoteBibliography"/>
    <w:rsid w:val="00404BA3"/>
    <w:rPr>
      <w:rFonts w:ascii="Arial" w:eastAsia="Times New Roman" w:hAnsi="Arial" w:cs="Arial"/>
      <w:noProof/>
      <w:sz w:val="24"/>
      <w:szCs w:val="24"/>
    </w:rPr>
  </w:style>
  <w:style w:type="character" w:styleId="UnresolvedMention">
    <w:name w:val="Unresolved Mention"/>
    <w:basedOn w:val="DefaultParagraphFont"/>
    <w:uiPriority w:val="99"/>
    <w:semiHidden/>
    <w:unhideWhenUsed/>
    <w:rsid w:val="00404BA3"/>
    <w:rPr>
      <w:color w:val="605E5C"/>
      <w:shd w:val="clear" w:color="auto" w:fill="E1DFDD"/>
    </w:rPr>
  </w:style>
  <w:style w:type="paragraph" w:styleId="Revision">
    <w:name w:val="Revision"/>
    <w:hidden/>
    <w:uiPriority w:val="99"/>
    <w:semiHidden/>
    <w:rsid w:val="00404BA3"/>
    <w:pPr>
      <w:spacing w:after="0" w:line="240" w:lineRule="auto"/>
    </w:pPr>
    <w:rPr>
      <w:rFonts w:ascii="Arial" w:eastAsia="Times New Roman" w:hAnsi="Arial" w:cs="Times New Roman"/>
      <w:sz w:val="24"/>
      <w:szCs w:val="24"/>
    </w:rPr>
  </w:style>
  <w:style w:type="character" w:customStyle="1" w:styleId="UnresolvedMention1">
    <w:name w:val="Unresolved Mention1"/>
    <w:basedOn w:val="DefaultParagraphFont"/>
    <w:uiPriority w:val="99"/>
    <w:semiHidden/>
    <w:unhideWhenUsed/>
    <w:rsid w:val="00404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cps/cpsaat03.htm" TargetMode="External"/><Relationship Id="rId3" Type="http://schemas.openxmlformats.org/officeDocument/2006/relationships/settings" Target="settings.xml"/><Relationship Id="rId7" Type="http://schemas.openxmlformats.org/officeDocument/2006/relationships/hyperlink" Target="https://www.bls.gov/news.release/archives/wkyeng_0117202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1149</Words>
  <Characters>6550</Characters>
  <Application>Microsoft Office Word</Application>
  <DocSecurity>0</DocSecurity>
  <Lines>54</Lines>
  <Paragraphs>15</Paragraphs>
  <ScaleCrop>false</ScaleCrop>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2021-04-23T22:09:00Z</dcterms:created>
  <dcterms:modified xsi:type="dcterms:W3CDTF">2021-04-23T22:33:00Z</dcterms:modified>
</cp:coreProperties>
</file>