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70" w:rsidRDefault="00D72D68" w:rsidP="00D91670">
      <w:r>
        <w:t>Table SDC 2</w:t>
      </w:r>
      <w:r w:rsidR="00D91670">
        <w:t xml:space="preserve">: Average Change in cancer screening by target conditions </w:t>
      </w:r>
      <w:bookmarkStart w:id="0" w:name="_GoBack"/>
      <w:r w:rsidR="00534925" w:rsidRPr="00534925">
        <w:rPr>
          <w:b/>
        </w:rPr>
        <w:t>for Continuously Medicaid Enrolled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1429"/>
        <w:gridCol w:w="1217"/>
        <w:gridCol w:w="1468"/>
        <w:gridCol w:w="1674"/>
        <w:gridCol w:w="1824"/>
        <w:gridCol w:w="2115"/>
      </w:tblGrid>
      <w:tr w:rsidR="00D91670" w:rsidTr="00172641">
        <w:tc>
          <w:tcPr>
            <w:tcW w:w="0" w:type="auto"/>
          </w:tcPr>
          <w:p w:rsidR="00D91670" w:rsidRDefault="00D91670" w:rsidP="00172641"/>
        </w:tc>
        <w:tc>
          <w:tcPr>
            <w:tcW w:w="0" w:type="auto"/>
          </w:tcPr>
          <w:p w:rsidR="00D91670" w:rsidRDefault="00D91670" w:rsidP="00172641"/>
        </w:tc>
        <w:tc>
          <w:tcPr>
            <w:tcW w:w="0" w:type="auto"/>
            <w:gridSpan w:val="2"/>
          </w:tcPr>
          <w:p w:rsidR="00D91670" w:rsidRDefault="00D91670" w:rsidP="00172641">
            <w:pPr>
              <w:jc w:val="center"/>
            </w:pPr>
            <w:r>
              <w:t>Mental Health Conditions</w:t>
            </w:r>
            <w:r w:rsidRPr="004346A0">
              <w:rPr>
                <w:vertAlign w:val="superscript"/>
              </w:rPr>
              <w:t>1</w:t>
            </w:r>
          </w:p>
        </w:tc>
        <w:tc>
          <w:tcPr>
            <w:tcW w:w="0" w:type="auto"/>
            <w:gridSpan w:val="3"/>
          </w:tcPr>
          <w:p w:rsidR="00D91670" w:rsidRDefault="00D91670" w:rsidP="00172641">
            <w:r>
              <w:t>Number of Medical Conditions</w:t>
            </w:r>
            <w:r w:rsidRPr="004346A0">
              <w:rPr>
                <w:vertAlign w:val="superscript"/>
              </w:rPr>
              <w:t>2</w:t>
            </w:r>
          </w:p>
        </w:tc>
      </w:tr>
      <w:tr w:rsidR="00D91670" w:rsidTr="00172641">
        <w:tc>
          <w:tcPr>
            <w:tcW w:w="0" w:type="auto"/>
          </w:tcPr>
          <w:p w:rsidR="00D91670" w:rsidRDefault="00D91670" w:rsidP="00172641"/>
        </w:tc>
        <w:tc>
          <w:tcPr>
            <w:tcW w:w="0" w:type="auto"/>
          </w:tcPr>
          <w:p w:rsidR="00D91670" w:rsidRDefault="00D91670" w:rsidP="00172641">
            <w:r>
              <w:t>Unadjusted Mean</w:t>
            </w:r>
          </w:p>
        </w:tc>
        <w:tc>
          <w:tcPr>
            <w:tcW w:w="0" w:type="auto"/>
          </w:tcPr>
          <w:p w:rsidR="00D91670" w:rsidRDefault="00D91670" w:rsidP="00172641">
            <w:r>
              <w:t>Depression</w:t>
            </w:r>
          </w:p>
        </w:tc>
        <w:tc>
          <w:tcPr>
            <w:tcW w:w="0" w:type="auto"/>
          </w:tcPr>
          <w:p w:rsidR="00D91670" w:rsidRDefault="00D91670" w:rsidP="00172641">
            <w:r>
              <w:t>Schizophrenia</w:t>
            </w:r>
          </w:p>
        </w:tc>
        <w:tc>
          <w:tcPr>
            <w:tcW w:w="0" w:type="auto"/>
          </w:tcPr>
          <w:p w:rsidR="00D91670" w:rsidRDefault="00D91670" w:rsidP="00172641">
            <w:r>
              <w:t>One medical comorbidity</w:t>
            </w:r>
          </w:p>
        </w:tc>
        <w:tc>
          <w:tcPr>
            <w:tcW w:w="0" w:type="auto"/>
          </w:tcPr>
          <w:p w:rsidR="00D91670" w:rsidRDefault="00D91670" w:rsidP="00172641">
            <w:r>
              <w:t>Two medical comorbidities</w:t>
            </w:r>
          </w:p>
        </w:tc>
        <w:tc>
          <w:tcPr>
            <w:tcW w:w="0" w:type="auto"/>
          </w:tcPr>
          <w:p w:rsidR="00D91670" w:rsidRDefault="00D91670" w:rsidP="00172641">
            <w:r>
              <w:t>Three or more medical comorbidities</w:t>
            </w:r>
          </w:p>
        </w:tc>
      </w:tr>
      <w:tr w:rsidR="00D91670" w:rsidTr="00172641">
        <w:tc>
          <w:tcPr>
            <w:tcW w:w="0" w:type="auto"/>
          </w:tcPr>
          <w:p w:rsidR="00D91670" w:rsidRDefault="00D91670" w:rsidP="00172641">
            <w:r>
              <w:t>Percent of persons over age 50 receiving colorectal cancer screening (n=25,712)</w:t>
            </w:r>
          </w:p>
        </w:tc>
        <w:tc>
          <w:tcPr>
            <w:tcW w:w="0" w:type="auto"/>
          </w:tcPr>
          <w:p w:rsidR="00D91670" w:rsidRDefault="00D91670" w:rsidP="00172641">
            <w:pPr>
              <w:tabs>
                <w:tab w:val="decimal" w:pos="274"/>
              </w:tabs>
            </w:pPr>
            <w:r>
              <w:t>37.2%</w:t>
            </w:r>
          </w:p>
          <w:p w:rsidR="00D91670" w:rsidRDefault="00D91670" w:rsidP="00172641">
            <w:pPr>
              <w:tabs>
                <w:tab w:val="decimal" w:pos="274"/>
              </w:tabs>
            </w:pPr>
          </w:p>
        </w:tc>
        <w:tc>
          <w:tcPr>
            <w:tcW w:w="0" w:type="auto"/>
          </w:tcPr>
          <w:p w:rsidR="00D91670" w:rsidRDefault="00D91670" w:rsidP="00172641">
            <w:r>
              <w:t>4.04%**</w:t>
            </w:r>
          </w:p>
          <w:p w:rsidR="00D91670" w:rsidRDefault="00D91670" w:rsidP="00172641">
            <w:r>
              <w:t>(0.70)</w:t>
            </w:r>
          </w:p>
        </w:tc>
        <w:tc>
          <w:tcPr>
            <w:tcW w:w="0" w:type="auto"/>
          </w:tcPr>
          <w:p w:rsidR="00D91670" w:rsidRDefault="00D91670" w:rsidP="00172641">
            <w:r>
              <w:t>-2.0%</w:t>
            </w:r>
          </w:p>
          <w:p w:rsidR="00D91670" w:rsidRDefault="00D91670" w:rsidP="00172641">
            <w:r>
              <w:t>(1.1)</w:t>
            </w:r>
          </w:p>
        </w:tc>
        <w:tc>
          <w:tcPr>
            <w:tcW w:w="0" w:type="auto"/>
          </w:tcPr>
          <w:p w:rsidR="00D91670" w:rsidRDefault="00D91670" w:rsidP="00172641">
            <w:r>
              <w:t>8.5%**</w:t>
            </w:r>
          </w:p>
          <w:p w:rsidR="00D91670" w:rsidRDefault="00D91670" w:rsidP="00172641">
            <w:r>
              <w:t>(2.9)</w:t>
            </w:r>
          </w:p>
        </w:tc>
        <w:tc>
          <w:tcPr>
            <w:tcW w:w="0" w:type="auto"/>
          </w:tcPr>
          <w:p w:rsidR="00D91670" w:rsidRDefault="00D91670" w:rsidP="00172641">
            <w:r>
              <w:t>11.5%**</w:t>
            </w:r>
          </w:p>
          <w:p w:rsidR="00D91670" w:rsidRDefault="00D91670" w:rsidP="00172641">
            <w:r>
              <w:t>(2.7)</w:t>
            </w:r>
          </w:p>
        </w:tc>
        <w:tc>
          <w:tcPr>
            <w:tcW w:w="0" w:type="auto"/>
          </w:tcPr>
          <w:p w:rsidR="00D91670" w:rsidRDefault="00D91670" w:rsidP="00172641">
            <w:r>
              <w:t>15.4%**</w:t>
            </w:r>
          </w:p>
          <w:p w:rsidR="00D91670" w:rsidRDefault="00D91670" w:rsidP="00172641">
            <w:r>
              <w:t>(2.6)</w:t>
            </w:r>
          </w:p>
        </w:tc>
      </w:tr>
      <w:tr w:rsidR="00D91670" w:rsidTr="00172641">
        <w:tc>
          <w:tcPr>
            <w:tcW w:w="0" w:type="auto"/>
          </w:tcPr>
          <w:p w:rsidR="00D91670" w:rsidRDefault="00D91670" w:rsidP="00172641">
            <w:r>
              <w:t>Percent of women over age 40 receiving breast cancer screening (n=31,360)</w:t>
            </w:r>
          </w:p>
        </w:tc>
        <w:tc>
          <w:tcPr>
            <w:tcW w:w="0" w:type="auto"/>
          </w:tcPr>
          <w:p w:rsidR="00D91670" w:rsidRDefault="00D91670" w:rsidP="00172641">
            <w:pPr>
              <w:tabs>
                <w:tab w:val="decimal" w:pos="274"/>
              </w:tabs>
            </w:pPr>
            <w:r>
              <w:t>56.0%</w:t>
            </w:r>
          </w:p>
          <w:p w:rsidR="00D91670" w:rsidRDefault="00D91670" w:rsidP="00172641">
            <w:pPr>
              <w:tabs>
                <w:tab w:val="decimal" w:pos="274"/>
              </w:tabs>
            </w:pPr>
          </w:p>
        </w:tc>
        <w:tc>
          <w:tcPr>
            <w:tcW w:w="0" w:type="auto"/>
          </w:tcPr>
          <w:p w:rsidR="00D91670" w:rsidRDefault="00D91670" w:rsidP="00172641">
            <w:r>
              <w:t>1.21%**</w:t>
            </w:r>
          </w:p>
          <w:p w:rsidR="00D91670" w:rsidRDefault="00D91670" w:rsidP="00172641">
            <w:r>
              <w:t>(0.62)</w:t>
            </w:r>
          </w:p>
        </w:tc>
        <w:tc>
          <w:tcPr>
            <w:tcW w:w="0" w:type="auto"/>
          </w:tcPr>
          <w:p w:rsidR="00D91670" w:rsidRDefault="00D91670" w:rsidP="00172641">
            <w:r>
              <w:t>-0.1%</w:t>
            </w:r>
          </w:p>
          <w:p w:rsidR="00D91670" w:rsidRDefault="00D91670" w:rsidP="00172641">
            <w:r>
              <w:t>(1.0)</w:t>
            </w:r>
          </w:p>
        </w:tc>
        <w:tc>
          <w:tcPr>
            <w:tcW w:w="0" w:type="auto"/>
          </w:tcPr>
          <w:p w:rsidR="00D91670" w:rsidRDefault="00D91670" w:rsidP="00172641">
            <w:r>
              <w:t>5.9%**</w:t>
            </w:r>
          </w:p>
          <w:p w:rsidR="00D91670" w:rsidRDefault="00D91670" w:rsidP="00172641">
            <w:r>
              <w:t>(1.8)</w:t>
            </w:r>
          </w:p>
        </w:tc>
        <w:tc>
          <w:tcPr>
            <w:tcW w:w="0" w:type="auto"/>
          </w:tcPr>
          <w:p w:rsidR="00D91670" w:rsidRDefault="00D91670" w:rsidP="00172641">
            <w:r>
              <w:t>8.7%**</w:t>
            </w:r>
          </w:p>
          <w:p w:rsidR="00D91670" w:rsidRDefault="00D91670" w:rsidP="00172641">
            <w:r>
              <w:t>(1.8)</w:t>
            </w:r>
          </w:p>
        </w:tc>
        <w:tc>
          <w:tcPr>
            <w:tcW w:w="0" w:type="auto"/>
          </w:tcPr>
          <w:p w:rsidR="00D91670" w:rsidRDefault="00D91670" w:rsidP="00172641">
            <w:r>
              <w:t>9.7%**</w:t>
            </w:r>
          </w:p>
          <w:p w:rsidR="00D91670" w:rsidRDefault="00D91670" w:rsidP="00172641">
            <w:r>
              <w:t>(1.8)</w:t>
            </w:r>
          </w:p>
        </w:tc>
      </w:tr>
      <w:tr w:rsidR="00D91670" w:rsidTr="00172641">
        <w:tc>
          <w:tcPr>
            <w:tcW w:w="0" w:type="auto"/>
          </w:tcPr>
          <w:p w:rsidR="00D91670" w:rsidRDefault="00D91670" w:rsidP="00172641">
            <w:r>
              <w:t>Percent of women between ages 21 and 65 receiving cervical cancer screening (n=54,123)</w:t>
            </w:r>
          </w:p>
        </w:tc>
        <w:tc>
          <w:tcPr>
            <w:tcW w:w="0" w:type="auto"/>
          </w:tcPr>
          <w:p w:rsidR="00D91670" w:rsidRDefault="00D91670" w:rsidP="00172641">
            <w:pPr>
              <w:tabs>
                <w:tab w:val="decimal" w:pos="274"/>
              </w:tabs>
            </w:pPr>
            <w:r>
              <w:t>39.6%</w:t>
            </w:r>
          </w:p>
          <w:p w:rsidR="00D91670" w:rsidRDefault="00D91670" w:rsidP="00172641">
            <w:pPr>
              <w:tabs>
                <w:tab w:val="decimal" w:pos="274"/>
              </w:tabs>
            </w:pPr>
          </w:p>
        </w:tc>
        <w:tc>
          <w:tcPr>
            <w:tcW w:w="0" w:type="auto"/>
          </w:tcPr>
          <w:p w:rsidR="00D91670" w:rsidRDefault="00D91670" w:rsidP="00172641">
            <w:r>
              <w:t>1.95%**</w:t>
            </w:r>
          </w:p>
          <w:p w:rsidR="00D91670" w:rsidRDefault="00D91670" w:rsidP="00172641">
            <w:r>
              <w:t>(0.49)</w:t>
            </w:r>
          </w:p>
        </w:tc>
        <w:tc>
          <w:tcPr>
            <w:tcW w:w="0" w:type="auto"/>
          </w:tcPr>
          <w:p w:rsidR="00D91670" w:rsidRDefault="00D91670" w:rsidP="00172641">
            <w:r>
              <w:t>2.06%*</w:t>
            </w:r>
          </w:p>
          <w:p w:rsidR="00D91670" w:rsidRDefault="00D91670" w:rsidP="00172641">
            <w:r>
              <w:t>(0.83)</w:t>
            </w:r>
          </w:p>
        </w:tc>
        <w:tc>
          <w:tcPr>
            <w:tcW w:w="0" w:type="auto"/>
          </w:tcPr>
          <w:p w:rsidR="00D91670" w:rsidRDefault="00D91670" w:rsidP="00172641">
            <w:r>
              <w:t>1.7%</w:t>
            </w:r>
          </w:p>
          <w:p w:rsidR="00D91670" w:rsidRDefault="00D91670" w:rsidP="00172641">
            <w:r>
              <w:t>(1.1)</w:t>
            </w:r>
          </w:p>
        </w:tc>
        <w:tc>
          <w:tcPr>
            <w:tcW w:w="0" w:type="auto"/>
          </w:tcPr>
          <w:p w:rsidR="00D91670" w:rsidRDefault="00D91670" w:rsidP="00172641">
            <w:r>
              <w:t>.3%</w:t>
            </w:r>
          </w:p>
          <w:p w:rsidR="00D91670" w:rsidRDefault="00D91670" w:rsidP="00172641">
            <w:r>
              <w:t>(1.1)</w:t>
            </w:r>
          </w:p>
        </w:tc>
        <w:tc>
          <w:tcPr>
            <w:tcW w:w="0" w:type="auto"/>
          </w:tcPr>
          <w:p w:rsidR="00D91670" w:rsidRDefault="00D91670" w:rsidP="00172641">
            <w:r>
              <w:t>-2.1%</w:t>
            </w:r>
          </w:p>
          <w:p w:rsidR="00D91670" w:rsidRDefault="00D91670" w:rsidP="00172641">
            <w:r>
              <w:t>(1.1)</w:t>
            </w:r>
          </w:p>
        </w:tc>
      </w:tr>
    </w:tbl>
    <w:p w:rsidR="00D91670" w:rsidRDefault="00D91670" w:rsidP="00D91670">
      <w:r>
        <w:t xml:space="preserve">*=p&lt;0.05; **=p&lt;0.01. Delta-method standard errors are in parentheses. All models control for age in quadratic form, number of months enrolled in Medicaid, gender, race, and ethnicity. </w:t>
      </w:r>
      <w:r w:rsidRPr="00397E28">
        <w:rPr>
          <w:vertAlign w:val="superscript"/>
        </w:rPr>
        <w:t>1</w:t>
      </w:r>
      <w:r>
        <w:t>R</w:t>
      </w:r>
      <w:r w:rsidRPr="002C29A5">
        <w:t xml:space="preserve">eferent group </w:t>
      </w:r>
      <w:r>
        <w:t xml:space="preserve">for the two psychiatric diagnoses are persons without either of these conditions. </w:t>
      </w:r>
      <w:r w:rsidRPr="00397E28">
        <w:rPr>
          <w:vertAlign w:val="superscript"/>
        </w:rPr>
        <w:t>2</w:t>
      </w:r>
      <w:r>
        <w:t>Referent group for the medical comorbidities are</w:t>
      </w:r>
      <w:r w:rsidRPr="002C29A5">
        <w:t xml:space="preserve"> persons </w:t>
      </w:r>
      <w:r>
        <w:t xml:space="preserve">who do not meet the strict criteria for any of the six medical conditions examined but meet strict criteria for either depression or schizophrenia. </w:t>
      </w:r>
    </w:p>
    <w:p w:rsidR="008B359C" w:rsidRDefault="008B359C"/>
    <w:sectPr w:rsidR="008B359C" w:rsidSect="00D91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70"/>
    <w:rsid w:val="00534925"/>
    <w:rsid w:val="008B359C"/>
    <w:rsid w:val="00D72D68"/>
    <w:rsid w:val="00D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Domino</dc:creator>
  <cp:lastModifiedBy>Marisa Domino</cp:lastModifiedBy>
  <cp:revision>3</cp:revision>
  <dcterms:created xsi:type="dcterms:W3CDTF">2013-09-09T16:49:00Z</dcterms:created>
  <dcterms:modified xsi:type="dcterms:W3CDTF">2013-09-09T16:50:00Z</dcterms:modified>
</cp:coreProperties>
</file>