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03" w:rsidRDefault="001553DD" w:rsidP="000F0D03">
      <w:r>
        <w:t>Table SDC 4</w:t>
      </w:r>
      <w:r w:rsidR="000F0D03">
        <w:t xml:space="preserve">: Average Differences in Disease-specific Quality of Care Measures </w:t>
      </w:r>
      <w:r w:rsidRPr="00DF39E7">
        <w:rPr>
          <w:b/>
        </w:rPr>
        <w:t xml:space="preserve">by </w:t>
      </w:r>
      <w:r>
        <w:rPr>
          <w:b/>
        </w:rPr>
        <w:t>Disease Combinations</w:t>
      </w:r>
      <w:r w:rsidR="002D74E0">
        <w:rPr>
          <w:b/>
        </w:rPr>
        <w:t xml:space="preserve"> </w:t>
      </w:r>
      <w:r w:rsidR="002D74E0" w:rsidRPr="00534925">
        <w:rPr>
          <w:b/>
        </w:rPr>
        <w:t>for Continuously Medicaid Enrolled</w:t>
      </w:r>
      <w:bookmarkStart w:id="0" w:name="_GoBack"/>
      <w:bookmarkEnd w:id="0"/>
    </w:p>
    <w:tbl>
      <w:tblPr>
        <w:tblStyle w:val="TableGrid"/>
        <w:tblW w:w="0" w:type="auto"/>
        <w:tblLook w:val="04A0" w:firstRow="1" w:lastRow="0" w:firstColumn="1" w:lastColumn="0" w:noHBand="0" w:noVBand="1"/>
      </w:tblPr>
      <w:tblGrid>
        <w:gridCol w:w="3971"/>
        <w:gridCol w:w="1946"/>
        <w:gridCol w:w="1217"/>
        <w:gridCol w:w="1468"/>
        <w:gridCol w:w="2053"/>
        <w:gridCol w:w="2521"/>
      </w:tblGrid>
      <w:tr w:rsidR="000F0D03" w:rsidTr="00172641">
        <w:trPr>
          <w:tblHeader/>
        </w:trPr>
        <w:tc>
          <w:tcPr>
            <w:tcW w:w="0" w:type="auto"/>
          </w:tcPr>
          <w:p w:rsidR="000F0D03" w:rsidRDefault="000F0D03" w:rsidP="00172641">
            <w:pPr>
              <w:tabs>
                <w:tab w:val="decimal" w:pos="274"/>
              </w:tabs>
            </w:pPr>
          </w:p>
        </w:tc>
        <w:tc>
          <w:tcPr>
            <w:tcW w:w="0" w:type="auto"/>
          </w:tcPr>
          <w:p w:rsidR="000F0D03" w:rsidRDefault="000F0D03" w:rsidP="00172641">
            <w:pPr>
              <w:tabs>
                <w:tab w:val="decimal" w:pos="274"/>
              </w:tabs>
            </w:pPr>
          </w:p>
        </w:tc>
        <w:tc>
          <w:tcPr>
            <w:tcW w:w="0" w:type="auto"/>
            <w:gridSpan w:val="4"/>
          </w:tcPr>
          <w:p w:rsidR="000F0D03" w:rsidRDefault="000F0D03" w:rsidP="00172641">
            <w:pPr>
              <w:tabs>
                <w:tab w:val="decimal" w:pos="274"/>
              </w:tabs>
            </w:pPr>
            <w:r>
              <w:t>Percentage Point Change in Quality Associated with Clinical Diagnosis of:</w:t>
            </w:r>
          </w:p>
        </w:tc>
      </w:tr>
      <w:tr w:rsidR="000F0D03" w:rsidTr="00172641">
        <w:trPr>
          <w:tblHeader/>
        </w:trPr>
        <w:tc>
          <w:tcPr>
            <w:tcW w:w="0" w:type="auto"/>
          </w:tcPr>
          <w:p w:rsidR="000F0D03" w:rsidRDefault="000F0D03" w:rsidP="00172641">
            <w:pPr>
              <w:tabs>
                <w:tab w:val="decimal" w:pos="274"/>
              </w:tabs>
            </w:pPr>
          </w:p>
        </w:tc>
        <w:tc>
          <w:tcPr>
            <w:tcW w:w="0" w:type="auto"/>
          </w:tcPr>
          <w:p w:rsidR="000F0D03" w:rsidRDefault="000F0D03" w:rsidP="00172641">
            <w:pPr>
              <w:tabs>
                <w:tab w:val="decimal" w:pos="274"/>
              </w:tabs>
            </w:pPr>
          </w:p>
        </w:tc>
        <w:tc>
          <w:tcPr>
            <w:tcW w:w="0" w:type="auto"/>
            <w:gridSpan w:val="2"/>
          </w:tcPr>
          <w:p w:rsidR="000F0D03" w:rsidRDefault="000F0D03" w:rsidP="00172641">
            <w:pPr>
              <w:tabs>
                <w:tab w:val="decimal" w:pos="274"/>
              </w:tabs>
            </w:pPr>
            <w:r>
              <w:t>Mental Health Conditions</w:t>
            </w:r>
            <w:r w:rsidRPr="004346A0">
              <w:rPr>
                <w:vertAlign w:val="superscript"/>
              </w:rPr>
              <w:t>1</w:t>
            </w:r>
          </w:p>
        </w:tc>
        <w:tc>
          <w:tcPr>
            <w:tcW w:w="0" w:type="auto"/>
            <w:gridSpan w:val="2"/>
          </w:tcPr>
          <w:p w:rsidR="000F0D03" w:rsidRDefault="000F0D03" w:rsidP="00172641">
            <w:pPr>
              <w:tabs>
                <w:tab w:val="decimal" w:pos="274"/>
              </w:tabs>
            </w:pPr>
            <w:r>
              <w:t>Number of Medical Conditions</w:t>
            </w:r>
            <w:r w:rsidRPr="004346A0">
              <w:rPr>
                <w:vertAlign w:val="superscript"/>
              </w:rPr>
              <w:t>2</w:t>
            </w:r>
          </w:p>
        </w:tc>
      </w:tr>
      <w:tr w:rsidR="000F0D03" w:rsidTr="00172641">
        <w:trPr>
          <w:tblHeader/>
        </w:trPr>
        <w:tc>
          <w:tcPr>
            <w:tcW w:w="0" w:type="auto"/>
          </w:tcPr>
          <w:p w:rsidR="000F0D03" w:rsidRDefault="000F0D03" w:rsidP="00172641">
            <w:pPr>
              <w:tabs>
                <w:tab w:val="decimal" w:pos="274"/>
              </w:tabs>
            </w:pPr>
            <w:r>
              <w:t>Disease-specific Quality Metrics</w:t>
            </w:r>
          </w:p>
        </w:tc>
        <w:tc>
          <w:tcPr>
            <w:tcW w:w="0" w:type="auto"/>
          </w:tcPr>
          <w:p w:rsidR="000F0D03" w:rsidRDefault="000F0D03" w:rsidP="00172641">
            <w:pPr>
              <w:tabs>
                <w:tab w:val="decimal" w:pos="274"/>
              </w:tabs>
            </w:pPr>
            <w:r>
              <w:t>Unadjusted Variable Mean</w:t>
            </w:r>
          </w:p>
        </w:tc>
        <w:tc>
          <w:tcPr>
            <w:tcW w:w="0" w:type="auto"/>
          </w:tcPr>
          <w:p w:rsidR="000F0D03" w:rsidRDefault="000F0D03" w:rsidP="00172641">
            <w:pPr>
              <w:tabs>
                <w:tab w:val="decimal" w:pos="274"/>
              </w:tabs>
            </w:pPr>
            <w:r>
              <w:t>Depression</w:t>
            </w:r>
          </w:p>
        </w:tc>
        <w:tc>
          <w:tcPr>
            <w:tcW w:w="0" w:type="auto"/>
          </w:tcPr>
          <w:p w:rsidR="000F0D03" w:rsidRDefault="000F0D03" w:rsidP="00172641">
            <w:pPr>
              <w:tabs>
                <w:tab w:val="decimal" w:pos="274"/>
              </w:tabs>
            </w:pPr>
            <w:r>
              <w:t>Schizophrenia</w:t>
            </w:r>
          </w:p>
        </w:tc>
        <w:tc>
          <w:tcPr>
            <w:tcW w:w="0" w:type="auto"/>
          </w:tcPr>
          <w:p w:rsidR="000F0D03" w:rsidRDefault="000F0D03" w:rsidP="00172641">
            <w:pPr>
              <w:tabs>
                <w:tab w:val="decimal" w:pos="274"/>
              </w:tabs>
            </w:pPr>
            <w:r>
              <w:t>Two medical comorbidities</w:t>
            </w:r>
          </w:p>
        </w:tc>
        <w:tc>
          <w:tcPr>
            <w:tcW w:w="0" w:type="auto"/>
          </w:tcPr>
          <w:p w:rsidR="000F0D03" w:rsidRDefault="000F0D03" w:rsidP="00172641">
            <w:pPr>
              <w:tabs>
                <w:tab w:val="decimal" w:pos="274"/>
              </w:tabs>
            </w:pPr>
            <w:r>
              <w:t>Three or more medical comorbidities</w:t>
            </w:r>
          </w:p>
        </w:tc>
      </w:tr>
      <w:tr w:rsidR="000F0D03" w:rsidTr="00172641">
        <w:tc>
          <w:tcPr>
            <w:tcW w:w="0" w:type="auto"/>
            <w:gridSpan w:val="6"/>
          </w:tcPr>
          <w:p w:rsidR="000F0D03" w:rsidRDefault="000F0D03" w:rsidP="00172641">
            <w:pPr>
              <w:tabs>
                <w:tab w:val="decimal" w:pos="274"/>
              </w:tabs>
            </w:pPr>
            <w:r w:rsidRPr="00042F64">
              <w:rPr>
                <w:b/>
              </w:rPr>
              <w:t>Persons with Diabetes</w:t>
            </w:r>
            <w:r>
              <w:rPr>
                <w:b/>
              </w:rPr>
              <w:t xml:space="preserve"> (n=25,482)</w:t>
            </w:r>
          </w:p>
        </w:tc>
      </w:tr>
      <w:tr w:rsidR="000F0D03" w:rsidTr="00172641">
        <w:tc>
          <w:tcPr>
            <w:tcW w:w="0" w:type="auto"/>
          </w:tcPr>
          <w:p w:rsidR="000F0D03" w:rsidRDefault="000F0D03" w:rsidP="00172641">
            <w:pPr>
              <w:tabs>
                <w:tab w:val="decimal" w:pos="274"/>
              </w:tabs>
            </w:pPr>
            <w:r>
              <w:t>Adherence to medications</w:t>
            </w:r>
          </w:p>
        </w:tc>
        <w:tc>
          <w:tcPr>
            <w:tcW w:w="0" w:type="auto"/>
          </w:tcPr>
          <w:p w:rsidR="000F0D03" w:rsidRDefault="000F0D03" w:rsidP="00172641">
            <w:pPr>
              <w:tabs>
                <w:tab w:val="decimal" w:pos="274"/>
              </w:tabs>
            </w:pPr>
            <w:r>
              <w:t>0.37</w:t>
            </w:r>
          </w:p>
        </w:tc>
        <w:tc>
          <w:tcPr>
            <w:tcW w:w="0" w:type="auto"/>
          </w:tcPr>
          <w:p w:rsidR="000F0D03" w:rsidRDefault="000F0D03" w:rsidP="00172641">
            <w:pPr>
              <w:tabs>
                <w:tab w:val="decimal" w:pos="274"/>
              </w:tabs>
            </w:pPr>
            <w:r>
              <w:t>-.0502**</w:t>
            </w:r>
          </w:p>
          <w:p w:rsidR="000F0D03" w:rsidRDefault="000F0D03" w:rsidP="00172641">
            <w:pPr>
              <w:tabs>
                <w:tab w:val="decimal" w:pos="274"/>
              </w:tabs>
            </w:pPr>
            <w:r>
              <w:t>(0.0046)</w:t>
            </w:r>
          </w:p>
        </w:tc>
        <w:tc>
          <w:tcPr>
            <w:tcW w:w="0" w:type="auto"/>
          </w:tcPr>
          <w:p w:rsidR="000F0D03" w:rsidRDefault="000F0D03" w:rsidP="00172641">
            <w:pPr>
              <w:tabs>
                <w:tab w:val="decimal" w:pos="274"/>
              </w:tabs>
            </w:pPr>
            <w:r>
              <w:t>0.0600**</w:t>
            </w:r>
          </w:p>
          <w:p w:rsidR="000F0D03" w:rsidRDefault="000F0D03" w:rsidP="00172641">
            <w:pPr>
              <w:tabs>
                <w:tab w:val="decimal" w:pos="274"/>
              </w:tabs>
            </w:pPr>
            <w:r>
              <w:t>(0.0077)</w:t>
            </w:r>
          </w:p>
        </w:tc>
        <w:tc>
          <w:tcPr>
            <w:tcW w:w="0" w:type="auto"/>
          </w:tcPr>
          <w:p w:rsidR="000F0D03" w:rsidRDefault="000F0D03" w:rsidP="00172641">
            <w:pPr>
              <w:tabs>
                <w:tab w:val="decimal" w:pos="274"/>
              </w:tabs>
            </w:pPr>
            <w:r>
              <w:t>0.0467**</w:t>
            </w:r>
          </w:p>
          <w:p w:rsidR="000F0D03" w:rsidRDefault="000F0D03" w:rsidP="00172641">
            <w:pPr>
              <w:tabs>
                <w:tab w:val="decimal" w:pos="274"/>
              </w:tabs>
            </w:pPr>
            <w:r>
              <w:t>(0.0081)</w:t>
            </w:r>
          </w:p>
        </w:tc>
        <w:tc>
          <w:tcPr>
            <w:tcW w:w="0" w:type="auto"/>
          </w:tcPr>
          <w:p w:rsidR="000F0D03" w:rsidRDefault="000F0D03" w:rsidP="00172641">
            <w:pPr>
              <w:tabs>
                <w:tab w:val="decimal" w:pos="274"/>
              </w:tabs>
            </w:pPr>
            <w:r>
              <w:t>0.0998**</w:t>
            </w:r>
          </w:p>
          <w:p w:rsidR="000F0D03" w:rsidRDefault="000F0D03" w:rsidP="00172641">
            <w:pPr>
              <w:tabs>
                <w:tab w:val="decimal" w:pos="274"/>
              </w:tabs>
            </w:pPr>
            <w:r>
              <w:t>(0.0078)</w:t>
            </w:r>
          </w:p>
        </w:tc>
      </w:tr>
      <w:tr w:rsidR="000F0D03" w:rsidTr="00172641">
        <w:tc>
          <w:tcPr>
            <w:tcW w:w="0" w:type="auto"/>
          </w:tcPr>
          <w:p w:rsidR="000F0D03" w:rsidRDefault="000F0D03" w:rsidP="00172641">
            <w:pPr>
              <w:tabs>
                <w:tab w:val="decimal" w:pos="274"/>
              </w:tabs>
            </w:pPr>
            <w:r>
              <w:t>Percent with A1C Test during 3 years</w:t>
            </w:r>
          </w:p>
        </w:tc>
        <w:tc>
          <w:tcPr>
            <w:tcW w:w="0" w:type="auto"/>
          </w:tcPr>
          <w:p w:rsidR="000F0D03" w:rsidRDefault="000F0D03" w:rsidP="00172641">
            <w:pPr>
              <w:tabs>
                <w:tab w:val="decimal" w:pos="274"/>
              </w:tabs>
            </w:pPr>
            <w:r>
              <w:t>92.0%</w:t>
            </w:r>
          </w:p>
        </w:tc>
        <w:tc>
          <w:tcPr>
            <w:tcW w:w="0" w:type="auto"/>
          </w:tcPr>
          <w:p w:rsidR="000F0D03" w:rsidRDefault="000F0D03" w:rsidP="00172641">
            <w:pPr>
              <w:tabs>
                <w:tab w:val="decimal" w:pos="274"/>
              </w:tabs>
            </w:pPr>
            <w:r>
              <w:t>-1.07%**</w:t>
            </w:r>
          </w:p>
          <w:p w:rsidR="000F0D03" w:rsidRDefault="000F0D03" w:rsidP="00172641">
            <w:pPr>
              <w:tabs>
                <w:tab w:val="decimal" w:pos="274"/>
              </w:tabs>
            </w:pPr>
            <w:r>
              <w:t>(0.37)</w:t>
            </w:r>
          </w:p>
        </w:tc>
        <w:tc>
          <w:tcPr>
            <w:tcW w:w="0" w:type="auto"/>
          </w:tcPr>
          <w:p w:rsidR="000F0D03" w:rsidRDefault="000F0D03" w:rsidP="00172641">
            <w:pPr>
              <w:tabs>
                <w:tab w:val="decimal" w:pos="274"/>
              </w:tabs>
            </w:pPr>
            <w:r>
              <w:t>-1.67%**</w:t>
            </w:r>
          </w:p>
          <w:p w:rsidR="000F0D03" w:rsidRDefault="000F0D03" w:rsidP="00172641">
            <w:pPr>
              <w:tabs>
                <w:tab w:val="decimal" w:pos="274"/>
              </w:tabs>
            </w:pPr>
            <w:r>
              <w:t>(0.59)</w:t>
            </w:r>
          </w:p>
        </w:tc>
        <w:tc>
          <w:tcPr>
            <w:tcW w:w="0" w:type="auto"/>
          </w:tcPr>
          <w:p w:rsidR="000F0D03" w:rsidRDefault="000F0D03" w:rsidP="00172641">
            <w:pPr>
              <w:tabs>
                <w:tab w:val="decimal" w:pos="274"/>
              </w:tabs>
            </w:pPr>
            <w:r>
              <w:t>1.39%**</w:t>
            </w:r>
          </w:p>
          <w:p w:rsidR="000F0D03" w:rsidRDefault="000F0D03" w:rsidP="00172641">
            <w:pPr>
              <w:tabs>
                <w:tab w:val="decimal" w:pos="274"/>
              </w:tabs>
            </w:pPr>
            <w:r>
              <w:t>(0.49)</w:t>
            </w:r>
          </w:p>
        </w:tc>
        <w:tc>
          <w:tcPr>
            <w:tcW w:w="0" w:type="auto"/>
          </w:tcPr>
          <w:p w:rsidR="000F0D03" w:rsidRDefault="000F0D03" w:rsidP="00172641">
            <w:pPr>
              <w:tabs>
                <w:tab w:val="decimal" w:pos="274"/>
              </w:tabs>
            </w:pPr>
            <w:r>
              <w:t>6.42%**</w:t>
            </w:r>
          </w:p>
          <w:p w:rsidR="000F0D03" w:rsidRDefault="000F0D03" w:rsidP="00172641">
            <w:pPr>
              <w:tabs>
                <w:tab w:val="decimal" w:pos="274"/>
              </w:tabs>
            </w:pPr>
            <w:r>
              <w:t>(0.68)</w:t>
            </w:r>
          </w:p>
        </w:tc>
      </w:tr>
      <w:tr w:rsidR="000F0D03" w:rsidTr="00172641">
        <w:tc>
          <w:tcPr>
            <w:tcW w:w="0" w:type="auto"/>
          </w:tcPr>
          <w:p w:rsidR="000F0D03" w:rsidRDefault="000F0D03" w:rsidP="00172641">
            <w:pPr>
              <w:tabs>
                <w:tab w:val="decimal" w:pos="274"/>
              </w:tabs>
            </w:pPr>
            <w:r>
              <w:t>Percent receiving Lipid Profile</w:t>
            </w:r>
          </w:p>
        </w:tc>
        <w:tc>
          <w:tcPr>
            <w:tcW w:w="0" w:type="auto"/>
          </w:tcPr>
          <w:p w:rsidR="000F0D03" w:rsidRDefault="000F0D03" w:rsidP="00172641">
            <w:pPr>
              <w:tabs>
                <w:tab w:val="decimal" w:pos="274"/>
              </w:tabs>
            </w:pPr>
            <w:r>
              <w:t>89.8%</w:t>
            </w:r>
          </w:p>
        </w:tc>
        <w:tc>
          <w:tcPr>
            <w:tcW w:w="0" w:type="auto"/>
          </w:tcPr>
          <w:p w:rsidR="000F0D03" w:rsidRDefault="000F0D03" w:rsidP="00172641">
            <w:pPr>
              <w:tabs>
                <w:tab w:val="decimal" w:pos="274"/>
              </w:tabs>
            </w:pPr>
            <w:r>
              <w:t>-0.12%</w:t>
            </w:r>
          </w:p>
          <w:p w:rsidR="000F0D03" w:rsidRDefault="000F0D03" w:rsidP="00172641">
            <w:pPr>
              <w:tabs>
                <w:tab w:val="decimal" w:pos="274"/>
              </w:tabs>
            </w:pPr>
            <w:r>
              <w:t>(0.39)</w:t>
            </w:r>
          </w:p>
        </w:tc>
        <w:tc>
          <w:tcPr>
            <w:tcW w:w="0" w:type="auto"/>
          </w:tcPr>
          <w:p w:rsidR="000F0D03" w:rsidRDefault="000F0D03" w:rsidP="00172641">
            <w:pPr>
              <w:tabs>
                <w:tab w:val="decimal" w:pos="274"/>
              </w:tabs>
            </w:pPr>
            <w:r>
              <w:t>1.03%</w:t>
            </w:r>
          </w:p>
          <w:p w:rsidR="000F0D03" w:rsidRDefault="000F0D03" w:rsidP="00172641">
            <w:pPr>
              <w:tabs>
                <w:tab w:val="decimal" w:pos="274"/>
              </w:tabs>
            </w:pPr>
            <w:r>
              <w:t>(0.57)</w:t>
            </w:r>
          </w:p>
        </w:tc>
        <w:tc>
          <w:tcPr>
            <w:tcW w:w="0" w:type="auto"/>
          </w:tcPr>
          <w:p w:rsidR="000F0D03" w:rsidRDefault="000F0D03" w:rsidP="00172641">
            <w:pPr>
              <w:tabs>
                <w:tab w:val="decimal" w:pos="274"/>
              </w:tabs>
            </w:pPr>
            <w:r>
              <w:t>3.01%**</w:t>
            </w:r>
          </w:p>
          <w:p w:rsidR="000F0D03" w:rsidRDefault="000F0D03" w:rsidP="00172641">
            <w:pPr>
              <w:tabs>
                <w:tab w:val="decimal" w:pos="274"/>
              </w:tabs>
            </w:pPr>
            <w:r>
              <w:t>(0.48)</w:t>
            </w:r>
          </w:p>
        </w:tc>
        <w:tc>
          <w:tcPr>
            <w:tcW w:w="0" w:type="auto"/>
          </w:tcPr>
          <w:p w:rsidR="000F0D03" w:rsidRDefault="000F0D03" w:rsidP="00172641">
            <w:pPr>
              <w:tabs>
                <w:tab w:val="decimal" w:pos="274"/>
              </w:tabs>
            </w:pPr>
            <w:r>
              <w:t>13.71%**</w:t>
            </w:r>
          </w:p>
          <w:p w:rsidR="000F0D03" w:rsidRDefault="000F0D03" w:rsidP="00172641">
            <w:pPr>
              <w:tabs>
                <w:tab w:val="decimal" w:pos="274"/>
              </w:tabs>
            </w:pPr>
            <w:r>
              <w:t>(0.81)</w:t>
            </w:r>
          </w:p>
        </w:tc>
      </w:tr>
      <w:tr w:rsidR="000F0D03" w:rsidTr="00172641">
        <w:tc>
          <w:tcPr>
            <w:tcW w:w="0" w:type="auto"/>
          </w:tcPr>
          <w:p w:rsidR="000F0D03" w:rsidRDefault="000F0D03" w:rsidP="00172641">
            <w:pPr>
              <w:tabs>
                <w:tab w:val="decimal" w:pos="274"/>
              </w:tabs>
            </w:pPr>
            <w:r>
              <w:t xml:space="preserve">Percent receiving Eye Exam </w:t>
            </w:r>
          </w:p>
        </w:tc>
        <w:tc>
          <w:tcPr>
            <w:tcW w:w="0" w:type="auto"/>
          </w:tcPr>
          <w:p w:rsidR="000F0D03" w:rsidRDefault="000F0D03" w:rsidP="00172641">
            <w:pPr>
              <w:tabs>
                <w:tab w:val="decimal" w:pos="274"/>
              </w:tabs>
            </w:pPr>
            <w:r>
              <w:t>70.6%</w:t>
            </w:r>
          </w:p>
        </w:tc>
        <w:tc>
          <w:tcPr>
            <w:tcW w:w="0" w:type="auto"/>
          </w:tcPr>
          <w:p w:rsidR="000F0D03" w:rsidRDefault="000F0D03" w:rsidP="00172641">
            <w:pPr>
              <w:tabs>
                <w:tab w:val="decimal" w:pos="274"/>
              </w:tabs>
            </w:pPr>
            <w:r>
              <w:t>0.88%</w:t>
            </w:r>
          </w:p>
          <w:p w:rsidR="000F0D03" w:rsidRDefault="000F0D03" w:rsidP="00172641">
            <w:pPr>
              <w:tabs>
                <w:tab w:val="decimal" w:pos="274"/>
              </w:tabs>
            </w:pPr>
            <w:r>
              <w:t>(0.63)</w:t>
            </w:r>
          </w:p>
        </w:tc>
        <w:tc>
          <w:tcPr>
            <w:tcW w:w="0" w:type="auto"/>
          </w:tcPr>
          <w:p w:rsidR="000F0D03" w:rsidRDefault="000F0D03" w:rsidP="00172641">
            <w:pPr>
              <w:tabs>
                <w:tab w:val="decimal" w:pos="274"/>
              </w:tabs>
            </w:pPr>
            <w:r>
              <w:t>-1.39%**</w:t>
            </w:r>
          </w:p>
          <w:p w:rsidR="000F0D03" w:rsidRDefault="000F0D03" w:rsidP="00172641">
            <w:pPr>
              <w:tabs>
                <w:tab w:val="decimal" w:pos="274"/>
              </w:tabs>
            </w:pPr>
            <w:r>
              <w:t>(0.96)</w:t>
            </w:r>
          </w:p>
        </w:tc>
        <w:tc>
          <w:tcPr>
            <w:tcW w:w="0" w:type="auto"/>
          </w:tcPr>
          <w:p w:rsidR="000F0D03" w:rsidRDefault="000F0D03" w:rsidP="00172641">
            <w:pPr>
              <w:tabs>
                <w:tab w:val="decimal" w:pos="274"/>
              </w:tabs>
            </w:pPr>
            <w:r>
              <w:t>0.6%</w:t>
            </w:r>
          </w:p>
          <w:p w:rsidR="000F0D03" w:rsidRDefault="000F0D03" w:rsidP="00172641">
            <w:pPr>
              <w:tabs>
                <w:tab w:val="decimal" w:pos="274"/>
              </w:tabs>
            </w:pPr>
            <w:r>
              <w:t>(1.1)</w:t>
            </w:r>
          </w:p>
        </w:tc>
        <w:tc>
          <w:tcPr>
            <w:tcW w:w="0" w:type="auto"/>
          </w:tcPr>
          <w:p w:rsidR="000F0D03" w:rsidRDefault="000F0D03" w:rsidP="00172641">
            <w:pPr>
              <w:tabs>
                <w:tab w:val="decimal" w:pos="274"/>
              </w:tabs>
            </w:pPr>
            <w:r>
              <w:t>6.6%**</w:t>
            </w:r>
          </w:p>
          <w:p w:rsidR="000F0D03" w:rsidRDefault="000F0D03" w:rsidP="00172641">
            <w:pPr>
              <w:tabs>
                <w:tab w:val="decimal" w:pos="274"/>
              </w:tabs>
            </w:pPr>
            <w:r>
              <w:t>(1.2)</w:t>
            </w:r>
          </w:p>
        </w:tc>
      </w:tr>
      <w:tr w:rsidR="000F0D03" w:rsidTr="00172641">
        <w:tc>
          <w:tcPr>
            <w:tcW w:w="0" w:type="auto"/>
          </w:tcPr>
          <w:p w:rsidR="000F0D03" w:rsidRDefault="000F0D03" w:rsidP="00172641">
            <w:pPr>
              <w:tabs>
                <w:tab w:val="decimal" w:pos="274"/>
              </w:tabs>
            </w:pPr>
            <w:r>
              <w:t xml:space="preserve">Percent with nephropathy screening or evidence of nephropathy </w:t>
            </w:r>
          </w:p>
        </w:tc>
        <w:tc>
          <w:tcPr>
            <w:tcW w:w="0" w:type="auto"/>
          </w:tcPr>
          <w:p w:rsidR="000F0D03" w:rsidRDefault="000F0D03" w:rsidP="00172641">
            <w:pPr>
              <w:tabs>
                <w:tab w:val="decimal" w:pos="274"/>
              </w:tabs>
            </w:pPr>
            <w:r>
              <w:t>59.8%</w:t>
            </w:r>
          </w:p>
        </w:tc>
        <w:tc>
          <w:tcPr>
            <w:tcW w:w="0" w:type="auto"/>
          </w:tcPr>
          <w:p w:rsidR="000F0D03" w:rsidRDefault="000F0D03" w:rsidP="00172641">
            <w:pPr>
              <w:tabs>
                <w:tab w:val="decimal" w:pos="274"/>
              </w:tabs>
            </w:pPr>
            <w:r>
              <w:t>-1.64%*</w:t>
            </w:r>
          </w:p>
          <w:p w:rsidR="000F0D03" w:rsidRDefault="000F0D03" w:rsidP="00172641">
            <w:pPr>
              <w:tabs>
                <w:tab w:val="decimal" w:pos="274"/>
              </w:tabs>
            </w:pPr>
            <w:r>
              <w:t>(0.69)</w:t>
            </w:r>
          </w:p>
        </w:tc>
        <w:tc>
          <w:tcPr>
            <w:tcW w:w="0" w:type="auto"/>
          </w:tcPr>
          <w:p w:rsidR="000F0D03" w:rsidRDefault="000F0D03" w:rsidP="00172641">
            <w:pPr>
              <w:tabs>
                <w:tab w:val="decimal" w:pos="274"/>
              </w:tabs>
            </w:pPr>
            <w:r>
              <w:t>-5.2%**</w:t>
            </w:r>
          </w:p>
          <w:p w:rsidR="000F0D03" w:rsidRDefault="000F0D03" w:rsidP="00172641">
            <w:pPr>
              <w:tabs>
                <w:tab w:val="decimal" w:pos="274"/>
              </w:tabs>
            </w:pPr>
            <w:r>
              <w:t>(1.1)</w:t>
            </w:r>
          </w:p>
        </w:tc>
        <w:tc>
          <w:tcPr>
            <w:tcW w:w="0" w:type="auto"/>
          </w:tcPr>
          <w:p w:rsidR="000F0D03" w:rsidRDefault="000F0D03" w:rsidP="00172641">
            <w:pPr>
              <w:tabs>
                <w:tab w:val="decimal" w:pos="274"/>
              </w:tabs>
            </w:pPr>
            <w:r>
              <w:t>7.7%**</w:t>
            </w:r>
          </w:p>
          <w:p w:rsidR="000F0D03" w:rsidRDefault="000F0D03" w:rsidP="00172641">
            <w:pPr>
              <w:tabs>
                <w:tab w:val="decimal" w:pos="274"/>
              </w:tabs>
            </w:pPr>
            <w:r>
              <w:t>(1.2)</w:t>
            </w:r>
          </w:p>
        </w:tc>
        <w:tc>
          <w:tcPr>
            <w:tcW w:w="0" w:type="auto"/>
          </w:tcPr>
          <w:p w:rsidR="000F0D03" w:rsidRDefault="000F0D03" w:rsidP="00172641">
            <w:pPr>
              <w:tabs>
                <w:tab w:val="decimal" w:pos="274"/>
              </w:tabs>
            </w:pPr>
            <w:r>
              <w:t>20.02%**</w:t>
            </w:r>
          </w:p>
          <w:p w:rsidR="000F0D03" w:rsidRDefault="000F0D03" w:rsidP="00172641">
            <w:pPr>
              <w:tabs>
                <w:tab w:val="decimal" w:pos="274"/>
              </w:tabs>
            </w:pPr>
            <w:r>
              <w:t>(1.2)</w:t>
            </w:r>
          </w:p>
        </w:tc>
      </w:tr>
      <w:tr w:rsidR="000F0D03" w:rsidTr="00172641">
        <w:tc>
          <w:tcPr>
            <w:tcW w:w="0" w:type="auto"/>
            <w:gridSpan w:val="6"/>
          </w:tcPr>
          <w:p w:rsidR="000F0D03" w:rsidRDefault="000F0D03" w:rsidP="00172641">
            <w:pPr>
              <w:tabs>
                <w:tab w:val="decimal" w:pos="274"/>
              </w:tabs>
            </w:pPr>
            <w:r w:rsidRPr="00042F64">
              <w:rPr>
                <w:b/>
              </w:rPr>
              <w:t>Persons with Hyperlipidemia</w:t>
            </w:r>
            <w:r>
              <w:rPr>
                <w:b/>
              </w:rPr>
              <w:t xml:space="preserve"> (n=35,365)</w:t>
            </w:r>
          </w:p>
        </w:tc>
      </w:tr>
      <w:tr w:rsidR="000F0D03" w:rsidTr="00172641">
        <w:tc>
          <w:tcPr>
            <w:tcW w:w="0" w:type="auto"/>
          </w:tcPr>
          <w:p w:rsidR="000F0D03" w:rsidRDefault="000F0D03" w:rsidP="00172641">
            <w:pPr>
              <w:tabs>
                <w:tab w:val="decimal" w:pos="274"/>
              </w:tabs>
            </w:pPr>
            <w:r>
              <w:t xml:space="preserve">Adherence to hyperlipidemia medications </w:t>
            </w:r>
          </w:p>
        </w:tc>
        <w:tc>
          <w:tcPr>
            <w:tcW w:w="0" w:type="auto"/>
          </w:tcPr>
          <w:p w:rsidR="000F0D03" w:rsidRDefault="000F0D03" w:rsidP="00172641">
            <w:pPr>
              <w:tabs>
                <w:tab w:val="decimal" w:pos="274"/>
              </w:tabs>
            </w:pPr>
            <w:r>
              <w:t>0.34</w:t>
            </w:r>
          </w:p>
        </w:tc>
        <w:tc>
          <w:tcPr>
            <w:tcW w:w="0" w:type="auto"/>
          </w:tcPr>
          <w:p w:rsidR="000F0D03" w:rsidRDefault="000F0D03" w:rsidP="00172641">
            <w:pPr>
              <w:tabs>
                <w:tab w:val="decimal" w:pos="274"/>
              </w:tabs>
            </w:pPr>
            <w:r>
              <w:t>-0.0224**</w:t>
            </w:r>
          </w:p>
          <w:p w:rsidR="000F0D03" w:rsidRDefault="000F0D03" w:rsidP="00172641">
            <w:pPr>
              <w:tabs>
                <w:tab w:val="decimal" w:pos="274"/>
              </w:tabs>
            </w:pPr>
            <w:r>
              <w:t>(0.0036)</w:t>
            </w:r>
          </w:p>
        </w:tc>
        <w:tc>
          <w:tcPr>
            <w:tcW w:w="0" w:type="auto"/>
          </w:tcPr>
          <w:p w:rsidR="000F0D03" w:rsidRDefault="000F0D03" w:rsidP="00172641">
            <w:pPr>
              <w:tabs>
                <w:tab w:val="decimal" w:pos="274"/>
              </w:tabs>
            </w:pPr>
            <w:r>
              <w:t>0.0601**</w:t>
            </w:r>
          </w:p>
          <w:p w:rsidR="000F0D03" w:rsidRDefault="000F0D03" w:rsidP="00172641">
            <w:pPr>
              <w:tabs>
                <w:tab w:val="decimal" w:pos="274"/>
              </w:tabs>
            </w:pPr>
            <w:r>
              <w:t>(0.0064)</w:t>
            </w:r>
          </w:p>
        </w:tc>
        <w:tc>
          <w:tcPr>
            <w:tcW w:w="0" w:type="auto"/>
          </w:tcPr>
          <w:p w:rsidR="000F0D03" w:rsidRDefault="000F0D03" w:rsidP="00172641">
            <w:pPr>
              <w:tabs>
                <w:tab w:val="decimal" w:pos="274"/>
              </w:tabs>
            </w:pPr>
            <w:r>
              <w:t>0.0577**</w:t>
            </w:r>
          </w:p>
          <w:p w:rsidR="000F0D03" w:rsidRDefault="000F0D03" w:rsidP="00172641">
            <w:pPr>
              <w:tabs>
                <w:tab w:val="decimal" w:pos="274"/>
              </w:tabs>
            </w:pPr>
            <w:r>
              <w:t>(0.0059)</w:t>
            </w:r>
          </w:p>
        </w:tc>
        <w:tc>
          <w:tcPr>
            <w:tcW w:w="0" w:type="auto"/>
          </w:tcPr>
          <w:p w:rsidR="000F0D03" w:rsidRDefault="000F0D03" w:rsidP="00172641">
            <w:pPr>
              <w:tabs>
                <w:tab w:val="decimal" w:pos="274"/>
              </w:tabs>
            </w:pPr>
            <w:r>
              <w:t>0.1222**</w:t>
            </w:r>
          </w:p>
          <w:p w:rsidR="000F0D03" w:rsidRDefault="000F0D03" w:rsidP="00172641">
            <w:pPr>
              <w:tabs>
                <w:tab w:val="decimal" w:pos="274"/>
              </w:tabs>
            </w:pPr>
            <w:r>
              <w:t>(0.0057)</w:t>
            </w:r>
          </w:p>
        </w:tc>
      </w:tr>
      <w:tr w:rsidR="000F0D03" w:rsidTr="00172641">
        <w:tc>
          <w:tcPr>
            <w:tcW w:w="0" w:type="auto"/>
          </w:tcPr>
          <w:p w:rsidR="000F0D03" w:rsidRDefault="000F0D03" w:rsidP="00172641">
            <w:pPr>
              <w:tabs>
                <w:tab w:val="decimal" w:pos="274"/>
              </w:tabs>
            </w:pPr>
            <w:r>
              <w:t>Percent receiving Lipid Profile</w:t>
            </w:r>
          </w:p>
        </w:tc>
        <w:tc>
          <w:tcPr>
            <w:tcW w:w="0" w:type="auto"/>
          </w:tcPr>
          <w:p w:rsidR="000F0D03" w:rsidRDefault="000F0D03" w:rsidP="00172641">
            <w:pPr>
              <w:tabs>
                <w:tab w:val="decimal" w:pos="274"/>
              </w:tabs>
            </w:pPr>
            <w:r>
              <w:t>94.7%</w:t>
            </w:r>
          </w:p>
        </w:tc>
        <w:tc>
          <w:tcPr>
            <w:tcW w:w="0" w:type="auto"/>
          </w:tcPr>
          <w:p w:rsidR="000F0D03" w:rsidRDefault="000F0D03" w:rsidP="00172641">
            <w:pPr>
              <w:tabs>
                <w:tab w:val="decimal" w:pos="274"/>
              </w:tabs>
            </w:pPr>
            <w:r>
              <w:t>-0.51%*</w:t>
            </w:r>
          </w:p>
          <w:p w:rsidR="000F0D03" w:rsidRDefault="000F0D03" w:rsidP="00172641">
            <w:pPr>
              <w:tabs>
                <w:tab w:val="decimal" w:pos="274"/>
              </w:tabs>
            </w:pPr>
            <w:r>
              <w:t>(0.25)</w:t>
            </w:r>
          </w:p>
          <w:p w:rsidR="000F0D03" w:rsidRDefault="000F0D03" w:rsidP="00172641">
            <w:pPr>
              <w:tabs>
                <w:tab w:val="decimal" w:pos="274"/>
              </w:tabs>
            </w:pPr>
          </w:p>
        </w:tc>
        <w:tc>
          <w:tcPr>
            <w:tcW w:w="0" w:type="auto"/>
          </w:tcPr>
          <w:p w:rsidR="000F0D03" w:rsidRDefault="000F0D03" w:rsidP="00172641">
            <w:pPr>
              <w:tabs>
                <w:tab w:val="decimal" w:pos="274"/>
              </w:tabs>
            </w:pPr>
            <w:r>
              <w:t>-1.03%*</w:t>
            </w:r>
          </w:p>
          <w:p w:rsidR="000F0D03" w:rsidRDefault="000F0D03" w:rsidP="00172641">
            <w:pPr>
              <w:tabs>
                <w:tab w:val="decimal" w:pos="274"/>
              </w:tabs>
            </w:pPr>
            <w:r>
              <w:t>(0.41)</w:t>
            </w:r>
          </w:p>
        </w:tc>
        <w:tc>
          <w:tcPr>
            <w:tcW w:w="0" w:type="auto"/>
          </w:tcPr>
          <w:p w:rsidR="000F0D03" w:rsidRDefault="000F0D03" w:rsidP="00172641">
            <w:pPr>
              <w:tabs>
                <w:tab w:val="decimal" w:pos="274"/>
              </w:tabs>
            </w:pPr>
            <w:r>
              <w:t>-0.23%</w:t>
            </w:r>
          </w:p>
          <w:p w:rsidR="000F0D03" w:rsidRDefault="000F0D03" w:rsidP="00172641">
            <w:pPr>
              <w:tabs>
                <w:tab w:val="decimal" w:pos="274"/>
              </w:tabs>
            </w:pPr>
            <w:r>
              <w:t>(0.44)</w:t>
            </w:r>
          </w:p>
        </w:tc>
        <w:tc>
          <w:tcPr>
            <w:tcW w:w="0" w:type="auto"/>
          </w:tcPr>
          <w:p w:rsidR="000F0D03" w:rsidRDefault="000F0D03" w:rsidP="00172641">
            <w:pPr>
              <w:tabs>
                <w:tab w:val="decimal" w:pos="274"/>
              </w:tabs>
            </w:pPr>
            <w:r>
              <w:t>1.17%**</w:t>
            </w:r>
          </w:p>
          <w:p w:rsidR="000F0D03" w:rsidRDefault="000F0D03" w:rsidP="00172641">
            <w:pPr>
              <w:tabs>
                <w:tab w:val="decimal" w:pos="274"/>
              </w:tabs>
            </w:pPr>
            <w:r>
              <w:t>(0.42)</w:t>
            </w:r>
          </w:p>
        </w:tc>
      </w:tr>
      <w:tr w:rsidR="000F0D03" w:rsidTr="00172641">
        <w:tc>
          <w:tcPr>
            <w:tcW w:w="0" w:type="auto"/>
          </w:tcPr>
          <w:p w:rsidR="000F0D03" w:rsidRDefault="000F0D03" w:rsidP="00172641">
            <w:pPr>
              <w:tabs>
                <w:tab w:val="decimal" w:pos="274"/>
              </w:tabs>
            </w:pPr>
            <w:r>
              <w:t>Percent with Liver Function Test if using Statins (n=47,246)</w:t>
            </w:r>
          </w:p>
        </w:tc>
        <w:tc>
          <w:tcPr>
            <w:tcW w:w="0" w:type="auto"/>
          </w:tcPr>
          <w:p w:rsidR="000F0D03" w:rsidRDefault="000F0D03" w:rsidP="00172641">
            <w:pPr>
              <w:tabs>
                <w:tab w:val="decimal" w:pos="274"/>
              </w:tabs>
            </w:pPr>
            <w:r>
              <w:t>50.7%</w:t>
            </w:r>
          </w:p>
        </w:tc>
        <w:tc>
          <w:tcPr>
            <w:tcW w:w="0" w:type="auto"/>
          </w:tcPr>
          <w:p w:rsidR="000F0D03" w:rsidRDefault="000F0D03" w:rsidP="00172641">
            <w:pPr>
              <w:tabs>
                <w:tab w:val="decimal" w:pos="274"/>
              </w:tabs>
            </w:pPr>
            <w:r>
              <w:t>4.76%**</w:t>
            </w:r>
          </w:p>
          <w:p w:rsidR="000F0D03" w:rsidRDefault="000F0D03" w:rsidP="00172641">
            <w:pPr>
              <w:tabs>
                <w:tab w:val="decimal" w:pos="274"/>
              </w:tabs>
            </w:pPr>
            <w:r>
              <w:t>(0.69)</w:t>
            </w:r>
          </w:p>
        </w:tc>
        <w:tc>
          <w:tcPr>
            <w:tcW w:w="0" w:type="auto"/>
          </w:tcPr>
          <w:p w:rsidR="000F0D03" w:rsidRDefault="000F0D03" w:rsidP="00172641">
            <w:pPr>
              <w:tabs>
                <w:tab w:val="decimal" w:pos="274"/>
              </w:tabs>
            </w:pPr>
            <w:r>
              <w:t>5.5%**</w:t>
            </w:r>
          </w:p>
          <w:p w:rsidR="000F0D03" w:rsidRDefault="000F0D03" w:rsidP="00172641">
            <w:pPr>
              <w:tabs>
                <w:tab w:val="decimal" w:pos="274"/>
              </w:tabs>
            </w:pPr>
            <w:r>
              <w:t>(1.1)</w:t>
            </w:r>
          </w:p>
        </w:tc>
        <w:tc>
          <w:tcPr>
            <w:tcW w:w="0" w:type="auto"/>
          </w:tcPr>
          <w:p w:rsidR="000F0D03" w:rsidRDefault="000F0D03" w:rsidP="00172641">
            <w:pPr>
              <w:tabs>
                <w:tab w:val="decimal" w:pos="274"/>
              </w:tabs>
            </w:pPr>
            <w:r>
              <w:t>-0.06%</w:t>
            </w:r>
          </w:p>
          <w:p w:rsidR="000F0D03" w:rsidRDefault="000F0D03" w:rsidP="00172641">
            <w:pPr>
              <w:tabs>
                <w:tab w:val="decimal" w:pos="274"/>
              </w:tabs>
            </w:pPr>
            <w:r>
              <w:t>(1.4)</w:t>
            </w:r>
          </w:p>
        </w:tc>
        <w:tc>
          <w:tcPr>
            <w:tcW w:w="0" w:type="auto"/>
          </w:tcPr>
          <w:p w:rsidR="000F0D03" w:rsidRDefault="000F0D03" w:rsidP="00172641">
            <w:pPr>
              <w:tabs>
                <w:tab w:val="decimal" w:pos="274"/>
              </w:tabs>
            </w:pPr>
            <w:r>
              <w:t>2.5%</w:t>
            </w:r>
          </w:p>
          <w:p w:rsidR="000F0D03" w:rsidRDefault="000F0D03" w:rsidP="00172641">
            <w:pPr>
              <w:tabs>
                <w:tab w:val="decimal" w:pos="274"/>
              </w:tabs>
            </w:pPr>
            <w:r>
              <w:t>(1.4)</w:t>
            </w:r>
          </w:p>
        </w:tc>
      </w:tr>
      <w:tr w:rsidR="000F0D03" w:rsidTr="00172641">
        <w:tc>
          <w:tcPr>
            <w:tcW w:w="0" w:type="auto"/>
            <w:gridSpan w:val="6"/>
          </w:tcPr>
          <w:p w:rsidR="000F0D03" w:rsidRDefault="000F0D03" w:rsidP="00172641">
            <w:pPr>
              <w:tabs>
                <w:tab w:val="decimal" w:pos="274"/>
              </w:tabs>
            </w:pPr>
            <w:r>
              <w:rPr>
                <w:b/>
              </w:rPr>
              <w:t>Persons with Hypertension (n=52,171)</w:t>
            </w:r>
          </w:p>
        </w:tc>
      </w:tr>
      <w:tr w:rsidR="000F0D03" w:rsidTr="00172641">
        <w:tc>
          <w:tcPr>
            <w:tcW w:w="0" w:type="auto"/>
          </w:tcPr>
          <w:p w:rsidR="000F0D03" w:rsidRPr="00155380" w:rsidRDefault="000F0D03" w:rsidP="00172641">
            <w:pPr>
              <w:tabs>
                <w:tab w:val="decimal" w:pos="274"/>
              </w:tabs>
            </w:pPr>
            <w:r w:rsidRPr="00155380">
              <w:t xml:space="preserve">Adherence to </w:t>
            </w:r>
            <w:proofErr w:type="spellStart"/>
            <w:r w:rsidRPr="00155380">
              <w:t>antihypertensives</w:t>
            </w:r>
            <w:proofErr w:type="spellEnd"/>
            <w:r w:rsidRPr="00155380">
              <w:t xml:space="preserve"> </w:t>
            </w:r>
          </w:p>
        </w:tc>
        <w:tc>
          <w:tcPr>
            <w:tcW w:w="0" w:type="auto"/>
          </w:tcPr>
          <w:p w:rsidR="000F0D03" w:rsidRDefault="000F0D03" w:rsidP="00172641">
            <w:pPr>
              <w:tabs>
                <w:tab w:val="decimal" w:pos="274"/>
              </w:tabs>
            </w:pPr>
            <w:r>
              <w:t>0.52</w:t>
            </w:r>
          </w:p>
        </w:tc>
        <w:tc>
          <w:tcPr>
            <w:tcW w:w="0" w:type="auto"/>
          </w:tcPr>
          <w:p w:rsidR="000F0D03" w:rsidRDefault="000F0D03" w:rsidP="00172641">
            <w:pPr>
              <w:tabs>
                <w:tab w:val="decimal" w:pos="274"/>
              </w:tabs>
            </w:pPr>
            <w:r>
              <w:t>-0.0307**</w:t>
            </w:r>
          </w:p>
          <w:p w:rsidR="000F0D03" w:rsidRDefault="000F0D03" w:rsidP="00172641">
            <w:pPr>
              <w:tabs>
                <w:tab w:val="decimal" w:pos="274"/>
              </w:tabs>
            </w:pPr>
            <w:r>
              <w:t>(0.0030)</w:t>
            </w:r>
          </w:p>
        </w:tc>
        <w:tc>
          <w:tcPr>
            <w:tcW w:w="0" w:type="auto"/>
          </w:tcPr>
          <w:p w:rsidR="000F0D03" w:rsidRDefault="000F0D03" w:rsidP="00172641">
            <w:pPr>
              <w:tabs>
                <w:tab w:val="decimal" w:pos="274"/>
              </w:tabs>
            </w:pPr>
            <w:r>
              <w:t>0.0091</w:t>
            </w:r>
          </w:p>
          <w:p w:rsidR="000F0D03" w:rsidRDefault="000F0D03" w:rsidP="00172641">
            <w:pPr>
              <w:tabs>
                <w:tab w:val="decimal" w:pos="274"/>
              </w:tabs>
            </w:pPr>
            <w:r>
              <w:t>(0.0052)</w:t>
            </w:r>
          </w:p>
        </w:tc>
        <w:tc>
          <w:tcPr>
            <w:tcW w:w="0" w:type="auto"/>
          </w:tcPr>
          <w:p w:rsidR="000F0D03" w:rsidRDefault="000F0D03" w:rsidP="00172641">
            <w:pPr>
              <w:tabs>
                <w:tab w:val="decimal" w:pos="274"/>
              </w:tabs>
            </w:pPr>
            <w:r>
              <w:t>0.0561**</w:t>
            </w:r>
          </w:p>
          <w:p w:rsidR="000F0D03" w:rsidRDefault="000F0D03" w:rsidP="00172641">
            <w:pPr>
              <w:tabs>
                <w:tab w:val="decimal" w:pos="274"/>
              </w:tabs>
            </w:pPr>
            <w:r>
              <w:t>(0.0039)</w:t>
            </w:r>
          </w:p>
        </w:tc>
        <w:tc>
          <w:tcPr>
            <w:tcW w:w="0" w:type="auto"/>
          </w:tcPr>
          <w:p w:rsidR="000F0D03" w:rsidRDefault="000F0D03" w:rsidP="00172641">
            <w:pPr>
              <w:tabs>
                <w:tab w:val="decimal" w:pos="274"/>
              </w:tabs>
            </w:pPr>
            <w:r>
              <w:t>0.1269**</w:t>
            </w:r>
          </w:p>
          <w:p w:rsidR="000F0D03" w:rsidRDefault="000F0D03" w:rsidP="00172641">
            <w:pPr>
              <w:tabs>
                <w:tab w:val="decimal" w:pos="274"/>
              </w:tabs>
            </w:pPr>
            <w:r>
              <w:t>(0.0038)</w:t>
            </w:r>
          </w:p>
        </w:tc>
      </w:tr>
      <w:tr w:rsidR="000F0D03" w:rsidTr="00172641">
        <w:tc>
          <w:tcPr>
            <w:tcW w:w="0" w:type="auto"/>
            <w:gridSpan w:val="6"/>
          </w:tcPr>
          <w:p w:rsidR="000F0D03" w:rsidRDefault="000F0D03" w:rsidP="00172641">
            <w:pPr>
              <w:tabs>
                <w:tab w:val="decimal" w:pos="274"/>
              </w:tabs>
            </w:pPr>
            <w:r w:rsidRPr="004C68D3">
              <w:rPr>
                <w:b/>
              </w:rPr>
              <w:t>Persons with Diabetes and Hypertension</w:t>
            </w:r>
            <w:r>
              <w:rPr>
                <w:b/>
              </w:rPr>
              <w:t xml:space="preserve"> (n=21,172)</w:t>
            </w:r>
          </w:p>
        </w:tc>
      </w:tr>
      <w:tr w:rsidR="000F0D03" w:rsidTr="00172641">
        <w:tc>
          <w:tcPr>
            <w:tcW w:w="0" w:type="auto"/>
          </w:tcPr>
          <w:p w:rsidR="000F0D03" w:rsidRDefault="000F0D03" w:rsidP="00172641">
            <w:pPr>
              <w:tabs>
                <w:tab w:val="decimal" w:pos="274"/>
              </w:tabs>
            </w:pPr>
            <w:r>
              <w:t>Percent with ACEI/ARBs</w:t>
            </w:r>
          </w:p>
        </w:tc>
        <w:tc>
          <w:tcPr>
            <w:tcW w:w="0" w:type="auto"/>
          </w:tcPr>
          <w:p w:rsidR="000F0D03" w:rsidRDefault="000F0D03" w:rsidP="00172641">
            <w:pPr>
              <w:tabs>
                <w:tab w:val="decimal" w:pos="274"/>
              </w:tabs>
            </w:pPr>
            <w:r>
              <w:t>83.1%</w:t>
            </w:r>
          </w:p>
        </w:tc>
        <w:tc>
          <w:tcPr>
            <w:tcW w:w="0" w:type="auto"/>
          </w:tcPr>
          <w:p w:rsidR="000F0D03" w:rsidRDefault="000F0D03" w:rsidP="00172641">
            <w:pPr>
              <w:tabs>
                <w:tab w:val="decimal" w:pos="274"/>
              </w:tabs>
            </w:pPr>
            <w:r>
              <w:t>-2.76%**</w:t>
            </w:r>
          </w:p>
          <w:p w:rsidR="000F0D03" w:rsidRDefault="000F0D03" w:rsidP="00172641">
            <w:pPr>
              <w:tabs>
                <w:tab w:val="decimal" w:pos="274"/>
              </w:tabs>
            </w:pPr>
            <w:r>
              <w:t>(0.58)</w:t>
            </w:r>
          </w:p>
        </w:tc>
        <w:tc>
          <w:tcPr>
            <w:tcW w:w="0" w:type="auto"/>
          </w:tcPr>
          <w:p w:rsidR="000F0D03" w:rsidRDefault="000F0D03" w:rsidP="00172641">
            <w:pPr>
              <w:tabs>
                <w:tab w:val="decimal" w:pos="274"/>
              </w:tabs>
            </w:pPr>
            <w:r>
              <w:t>-6.75%**</w:t>
            </w:r>
          </w:p>
          <w:p w:rsidR="000F0D03" w:rsidRDefault="000F0D03" w:rsidP="00172641">
            <w:pPr>
              <w:tabs>
                <w:tab w:val="decimal" w:pos="274"/>
              </w:tabs>
            </w:pPr>
            <w:r>
              <w:t>(0.99)</w:t>
            </w:r>
          </w:p>
        </w:tc>
        <w:tc>
          <w:tcPr>
            <w:tcW w:w="0" w:type="auto"/>
          </w:tcPr>
          <w:p w:rsidR="000F0D03" w:rsidRDefault="000F0D03" w:rsidP="00172641">
            <w:pPr>
              <w:tabs>
                <w:tab w:val="decimal" w:pos="274"/>
              </w:tabs>
            </w:pPr>
            <w:r>
              <w:t>--</w:t>
            </w:r>
          </w:p>
        </w:tc>
        <w:tc>
          <w:tcPr>
            <w:tcW w:w="0" w:type="auto"/>
          </w:tcPr>
          <w:p w:rsidR="000F0D03" w:rsidRDefault="000F0D03" w:rsidP="00172641">
            <w:pPr>
              <w:tabs>
                <w:tab w:val="decimal" w:pos="274"/>
              </w:tabs>
            </w:pPr>
            <w:r>
              <w:t>7.53%**</w:t>
            </w:r>
          </w:p>
          <w:p w:rsidR="000F0D03" w:rsidRDefault="000F0D03" w:rsidP="00172641">
            <w:pPr>
              <w:tabs>
                <w:tab w:val="decimal" w:pos="274"/>
              </w:tabs>
            </w:pPr>
            <w:r>
              <w:t>(0.73)</w:t>
            </w:r>
          </w:p>
        </w:tc>
      </w:tr>
      <w:tr w:rsidR="000F0D03" w:rsidTr="00172641">
        <w:tc>
          <w:tcPr>
            <w:tcW w:w="0" w:type="auto"/>
          </w:tcPr>
          <w:p w:rsidR="000F0D03" w:rsidRPr="00042F64" w:rsidRDefault="000F0D03" w:rsidP="00172641">
            <w:pPr>
              <w:tabs>
                <w:tab w:val="decimal" w:pos="274"/>
              </w:tabs>
              <w:rPr>
                <w:b/>
              </w:rPr>
            </w:pPr>
            <w:r w:rsidRPr="00042F64">
              <w:rPr>
                <w:b/>
              </w:rPr>
              <w:t>Persons with Asthma</w:t>
            </w:r>
            <w:r>
              <w:rPr>
                <w:b/>
              </w:rPr>
              <w:t xml:space="preserve"> (n=20,058)</w:t>
            </w:r>
          </w:p>
        </w:tc>
        <w:tc>
          <w:tcPr>
            <w:tcW w:w="0" w:type="auto"/>
          </w:tcPr>
          <w:p w:rsidR="000F0D03" w:rsidRDefault="000F0D03" w:rsidP="00172641">
            <w:pPr>
              <w:tabs>
                <w:tab w:val="decimal" w:pos="274"/>
              </w:tabs>
            </w:pPr>
          </w:p>
        </w:tc>
        <w:tc>
          <w:tcPr>
            <w:tcW w:w="0" w:type="auto"/>
          </w:tcPr>
          <w:p w:rsidR="000F0D03" w:rsidRDefault="000F0D03" w:rsidP="00172641">
            <w:pPr>
              <w:tabs>
                <w:tab w:val="decimal" w:pos="274"/>
              </w:tabs>
            </w:pPr>
          </w:p>
        </w:tc>
        <w:tc>
          <w:tcPr>
            <w:tcW w:w="0" w:type="auto"/>
          </w:tcPr>
          <w:p w:rsidR="000F0D03" w:rsidRDefault="000F0D03" w:rsidP="00172641">
            <w:pPr>
              <w:tabs>
                <w:tab w:val="decimal" w:pos="274"/>
              </w:tabs>
            </w:pPr>
          </w:p>
        </w:tc>
        <w:tc>
          <w:tcPr>
            <w:tcW w:w="0" w:type="auto"/>
          </w:tcPr>
          <w:p w:rsidR="000F0D03" w:rsidRDefault="000F0D03" w:rsidP="00172641">
            <w:pPr>
              <w:tabs>
                <w:tab w:val="decimal" w:pos="274"/>
              </w:tabs>
            </w:pPr>
          </w:p>
        </w:tc>
        <w:tc>
          <w:tcPr>
            <w:tcW w:w="0" w:type="auto"/>
          </w:tcPr>
          <w:p w:rsidR="000F0D03" w:rsidRDefault="000F0D03" w:rsidP="00172641">
            <w:pPr>
              <w:tabs>
                <w:tab w:val="decimal" w:pos="274"/>
              </w:tabs>
            </w:pPr>
          </w:p>
        </w:tc>
      </w:tr>
      <w:tr w:rsidR="000F0D03" w:rsidTr="00172641">
        <w:tc>
          <w:tcPr>
            <w:tcW w:w="0" w:type="auto"/>
          </w:tcPr>
          <w:p w:rsidR="000F0D03" w:rsidRDefault="000F0D03" w:rsidP="00172641">
            <w:pPr>
              <w:tabs>
                <w:tab w:val="decimal" w:pos="274"/>
              </w:tabs>
            </w:pPr>
            <w:r>
              <w:t xml:space="preserve">SABA overuse </w:t>
            </w:r>
          </w:p>
        </w:tc>
        <w:tc>
          <w:tcPr>
            <w:tcW w:w="0" w:type="auto"/>
          </w:tcPr>
          <w:p w:rsidR="000F0D03" w:rsidRDefault="000F0D03" w:rsidP="00172641">
            <w:pPr>
              <w:tabs>
                <w:tab w:val="decimal" w:pos="274"/>
              </w:tabs>
            </w:pPr>
            <w:r>
              <w:t>15.0%</w:t>
            </w:r>
          </w:p>
        </w:tc>
        <w:tc>
          <w:tcPr>
            <w:tcW w:w="0" w:type="auto"/>
          </w:tcPr>
          <w:p w:rsidR="000F0D03" w:rsidRDefault="000F0D03" w:rsidP="00172641">
            <w:pPr>
              <w:tabs>
                <w:tab w:val="decimal" w:pos="274"/>
              </w:tabs>
            </w:pPr>
            <w:r>
              <w:t>-0.28</w:t>
            </w:r>
          </w:p>
          <w:p w:rsidR="000F0D03" w:rsidRDefault="000F0D03" w:rsidP="00172641">
            <w:pPr>
              <w:tabs>
                <w:tab w:val="decimal" w:pos="274"/>
              </w:tabs>
            </w:pPr>
            <w:r>
              <w:t>(0.56)</w:t>
            </w:r>
          </w:p>
        </w:tc>
        <w:tc>
          <w:tcPr>
            <w:tcW w:w="0" w:type="auto"/>
          </w:tcPr>
          <w:p w:rsidR="000F0D03" w:rsidRDefault="000F0D03" w:rsidP="00172641">
            <w:pPr>
              <w:tabs>
                <w:tab w:val="decimal" w:pos="274"/>
              </w:tabs>
            </w:pPr>
            <w:r>
              <w:t>-2.05**</w:t>
            </w:r>
          </w:p>
          <w:p w:rsidR="000F0D03" w:rsidRDefault="000F0D03" w:rsidP="00172641">
            <w:pPr>
              <w:tabs>
                <w:tab w:val="decimal" w:pos="274"/>
              </w:tabs>
            </w:pPr>
            <w:r>
              <w:t>(0.90)</w:t>
            </w:r>
          </w:p>
        </w:tc>
        <w:tc>
          <w:tcPr>
            <w:tcW w:w="0" w:type="auto"/>
          </w:tcPr>
          <w:p w:rsidR="000F0D03" w:rsidRDefault="000F0D03" w:rsidP="00172641">
            <w:pPr>
              <w:tabs>
                <w:tab w:val="decimal" w:pos="274"/>
              </w:tabs>
            </w:pPr>
            <w:r>
              <w:t>1.90*</w:t>
            </w:r>
          </w:p>
          <w:p w:rsidR="000F0D03" w:rsidRDefault="000F0D03" w:rsidP="00172641">
            <w:pPr>
              <w:tabs>
                <w:tab w:val="decimal" w:pos="274"/>
              </w:tabs>
            </w:pPr>
            <w:r>
              <w:t>(0.90)</w:t>
            </w:r>
          </w:p>
        </w:tc>
        <w:tc>
          <w:tcPr>
            <w:tcW w:w="0" w:type="auto"/>
          </w:tcPr>
          <w:p w:rsidR="000F0D03" w:rsidRDefault="000F0D03" w:rsidP="00172641">
            <w:pPr>
              <w:tabs>
                <w:tab w:val="decimal" w:pos="274"/>
              </w:tabs>
            </w:pPr>
            <w:r>
              <w:t>4.47**</w:t>
            </w:r>
          </w:p>
          <w:p w:rsidR="000F0D03" w:rsidRDefault="000F0D03" w:rsidP="00172641">
            <w:pPr>
              <w:tabs>
                <w:tab w:val="decimal" w:pos="274"/>
              </w:tabs>
            </w:pPr>
            <w:r>
              <w:t>(0.82)</w:t>
            </w:r>
          </w:p>
        </w:tc>
      </w:tr>
    </w:tbl>
    <w:p w:rsidR="000F0D03" w:rsidRDefault="000F0D03" w:rsidP="000F0D03">
      <w:r>
        <w:lastRenderedPageBreak/>
        <w:t>*=p&lt;0.05; **=p&lt;0.01. Delta-method standard errors are in parentheses. All models control for age in quadratic form, number of months enrolled in Medicaid, gender, race, and ethnicity.</w:t>
      </w:r>
      <w:r w:rsidRPr="00DA376B">
        <w:t xml:space="preserve"> </w:t>
      </w:r>
      <w:r>
        <w:t>R</w:t>
      </w:r>
      <w:r w:rsidRPr="002C29A5">
        <w:t xml:space="preserve">eferent group </w:t>
      </w:r>
      <w:r>
        <w:t>for the two psychiatric diagnoses are persons without either of these conditions. Referent group for the medical comorbidities are</w:t>
      </w:r>
      <w:r w:rsidRPr="002C29A5">
        <w:t xml:space="preserve"> persons </w:t>
      </w:r>
      <w:r>
        <w:t xml:space="preserve">who do not meet the strict criteria for any of the six medical conditions examined but meet strict criteria for either depression or schizophrenia. Adherence to medications was measured using the Proportion of Days Covered, which reflects the proportion of the study period over which a dispensed medication was available. </w:t>
      </w:r>
    </w:p>
    <w:p w:rsidR="008B359C" w:rsidRDefault="008B359C"/>
    <w:sectPr w:rsidR="008B359C" w:rsidSect="000F0D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03"/>
    <w:rsid w:val="000F0D03"/>
    <w:rsid w:val="001553DD"/>
    <w:rsid w:val="002D74E0"/>
    <w:rsid w:val="008B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Domino</dc:creator>
  <cp:lastModifiedBy>Marisa Domino</cp:lastModifiedBy>
  <cp:revision>3</cp:revision>
  <dcterms:created xsi:type="dcterms:W3CDTF">2013-09-09T16:46:00Z</dcterms:created>
  <dcterms:modified xsi:type="dcterms:W3CDTF">2013-09-09T16:51:00Z</dcterms:modified>
</cp:coreProperties>
</file>