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87" w:rsidRDefault="0060106A" w:rsidP="00674587">
      <w:pPr>
        <w:ind w:left="360"/>
      </w:pPr>
      <w:r>
        <w:t>Table SDC  6</w:t>
      </w:r>
      <w:r w:rsidR="00674587">
        <w:t xml:space="preserve">: Average Differences in Mental Health Quality Metrics by Number of Medical Comorbidities </w:t>
      </w:r>
      <w:r w:rsidR="00726E81" w:rsidRPr="00534925">
        <w:rPr>
          <w:b/>
        </w:rPr>
        <w:t>for Continuously Medicaid Enrolled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7"/>
        <w:gridCol w:w="2182"/>
        <w:gridCol w:w="2106"/>
        <w:gridCol w:w="2258"/>
        <w:gridCol w:w="2883"/>
      </w:tblGrid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</w:p>
        </w:tc>
        <w:tc>
          <w:tcPr>
            <w:tcW w:w="2750" w:type="pct"/>
            <w:gridSpan w:val="3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Percentage Point Change in Quality Associated with Clinical Diagnosis of: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Disease-specific Quality Metrics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Unadjusted Variable Mean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One medical comorbidity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Two medical comorbidities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Three or more medical comorbidities</w:t>
            </w:r>
          </w:p>
        </w:tc>
      </w:tr>
      <w:tr w:rsidR="00674587" w:rsidTr="00172641">
        <w:tc>
          <w:tcPr>
            <w:tcW w:w="5000" w:type="pct"/>
            <w:gridSpan w:val="5"/>
          </w:tcPr>
          <w:p w:rsidR="00674587" w:rsidRDefault="00674587" w:rsidP="00172641">
            <w:pPr>
              <w:tabs>
                <w:tab w:val="decimal" w:pos="274"/>
              </w:tabs>
            </w:pPr>
            <w:r w:rsidRPr="00042F64">
              <w:rPr>
                <w:b/>
              </w:rPr>
              <w:t>Persons with Depression</w:t>
            </w:r>
            <w:r>
              <w:rPr>
                <w:b/>
              </w:rPr>
              <w:t xml:space="preserve"> (n=32,063)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 xml:space="preserve">Adherence to antidepressant medication 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0.37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0.0168**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(0.0046)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0.0432**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(0.0054)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0.0861**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(0.0055)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Receipt of any individual or group psychotherapy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43.7%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-1.58%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(0.83)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-2.46%**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(0.92)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-3.63%**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(0.93)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 xml:space="preserve">Proportion with 8 or more psychotherapy visits 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18.0%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0.02%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(0.67)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-0.08%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(0.75)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-0.68%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(0.75)</w:t>
            </w:r>
          </w:p>
        </w:tc>
      </w:tr>
      <w:tr w:rsidR="00674587" w:rsidTr="00172641">
        <w:tc>
          <w:tcPr>
            <w:tcW w:w="5000" w:type="pct"/>
            <w:gridSpan w:val="5"/>
          </w:tcPr>
          <w:p w:rsidR="00674587" w:rsidRDefault="00674587" w:rsidP="00172641">
            <w:pPr>
              <w:tabs>
                <w:tab w:val="decimal" w:pos="274"/>
              </w:tabs>
            </w:pPr>
            <w:r w:rsidRPr="00042F64">
              <w:rPr>
                <w:b/>
              </w:rPr>
              <w:t>Persons with Schizophrenia</w:t>
            </w:r>
            <w:r>
              <w:rPr>
                <w:b/>
              </w:rPr>
              <w:t xml:space="preserve"> (n=9,085)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 xml:space="preserve">Adherence to antipsychotic medication 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0.58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0.043**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(0.010)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0.067**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(0.011)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0.095**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(0.010)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Receipt of any individual or group psychotherapy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57.0%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-0.1%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(1.4)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2.9%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(1.6)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5.8%**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(1.5)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Proportion with 8 or more psychotherapy visits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29.0%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-1.9%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(1.4)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0.6%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(1.5)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3.4%*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(1.4)</w:t>
            </w:r>
          </w:p>
        </w:tc>
      </w:tr>
      <w:tr w:rsidR="00674587" w:rsidTr="00172641">
        <w:tc>
          <w:tcPr>
            <w:tcW w:w="1422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Receipt of ACT</w:t>
            </w:r>
          </w:p>
        </w:tc>
        <w:tc>
          <w:tcPr>
            <w:tcW w:w="828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12.2%</w:t>
            </w:r>
          </w:p>
        </w:tc>
        <w:tc>
          <w:tcPr>
            <w:tcW w:w="799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1.52%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(0.99)</w:t>
            </w:r>
          </w:p>
        </w:tc>
        <w:tc>
          <w:tcPr>
            <w:tcW w:w="857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2.5%*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(1.1)</w:t>
            </w:r>
          </w:p>
        </w:tc>
        <w:tc>
          <w:tcPr>
            <w:tcW w:w="1094" w:type="pct"/>
          </w:tcPr>
          <w:p w:rsidR="00674587" w:rsidRDefault="00674587" w:rsidP="00172641">
            <w:pPr>
              <w:tabs>
                <w:tab w:val="decimal" w:pos="274"/>
              </w:tabs>
            </w:pPr>
            <w:r>
              <w:t>1.6%</w:t>
            </w:r>
          </w:p>
          <w:p w:rsidR="00674587" w:rsidRDefault="00674587" w:rsidP="00172641">
            <w:pPr>
              <w:tabs>
                <w:tab w:val="decimal" w:pos="274"/>
              </w:tabs>
            </w:pPr>
            <w:r>
              <w:t>(1.1)</w:t>
            </w:r>
          </w:p>
        </w:tc>
      </w:tr>
    </w:tbl>
    <w:p w:rsidR="00674587" w:rsidRDefault="00674587" w:rsidP="00674587">
      <w:r>
        <w:t>*=p&lt;0.05; **=p&lt;0.01. Delta-method standard errors are in parentheses.</w:t>
      </w:r>
    </w:p>
    <w:p w:rsidR="008B359C" w:rsidRDefault="008B359C"/>
    <w:sectPr w:rsidR="008B359C" w:rsidSect="00674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87"/>
    <w:rsid w:val="0060106A"/>
    <w:rsid w:val="00674587"/>
    <w:rsid w:val="00726E81"/>
    <w:rsid w:val="008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3</cp:revision>
  <dcterms:created xsi:type="dcterms:W3CDTF">2013-09-09T16:43:00Z</dcterms:created>
  <dcterms:modified xsi:type="dcterms:W3CDTF">2013-09-09T16:51:00Z</dcterms:modified>
</cp:coreProperties>
</file>