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6836B" w14:textId="77777777" w:rsidR="00532E8A" w:rsidRDefault="00532E8A" w:rsidP="00CF6C34">
      <w:pPr>
        <w:spacing w:after="0" w:line="240" w:lineRule="auto"/>
        <w:contextualSpacing/>
        <w:jc w:val="both"/>
        <w:rPr>
          <w:rFonts w:ascii="Arial" w:hAnsi="Arial" w:cs="Arial"/>
          <w:sz w:val="24"/>
          <w:u w:val="single"/>
        </w:rPr>
      </w:pPr>
      <w:r>
        <w:rPr>
          <w:rFonts w:ascii="Arial" w:hAnsi="Arial" w:cs="Arial"/>
          <w:sz w:val="24"/>
          <w:u w:val="single"/>
        </w:rPr>
        <w:t>Analysis of Individual Subscales of the Practice Environment</w:t>
      </w:r>
    </w:p>
    <w:p w14:paraId="67786233" w14:textId="77777777" w:rsidR="00CF6C34" w:rsidRDefault="00CF6C34" w:rsidP="00CF6C34">
      <w:pPr>
        <w:spacing w:after="0" w:line="240" w:lineRule="auto"/>
        <w:contextualSpacing/>
        <w:jc w:val="both"/>
        <w:rPr>
          <w:rFonts w:ascii="Arial" w:hAnsi="Arial" w:cs="Arial"/>
          <w:sz w:val="24"/>
          <w:u w:val="single"/>
        </w:rPr>
      </w:pPr>
    </w:p>
    <w:p w14:paraId="5FAE68D6" w14:textId="7EF1E96A" w:rsidR="00CF6C34" w:rsidRDefault="00532E8A" w:rsidP="00CF6C34">
      <w:pPr>
        <w:spacing w:after="0" w:line="240" w:lineRule="auto"/>
        <w:contextualSpacing/>
        <w:rPr>
          <w:rFonts w:ascii="Arial" w:hAnsi="Arial" w:cs="Arial"/>
          <w:sz w:val="24"/>
        </w:rPr>
      </w:pPr>
      <w:r>
        <w:rPr>
          <w:rFonts w:ascii="Arial" w:hAnsi="Arial" w:cs="Arial"/>
          <w:sz w:val="24"/>
        </w:rPr>
        <w:t xml:space="preserve">The five subscales of the work environment measure were tested individually in regression models predicting each outcome. </w:t>
      </w:r>
      <w:r>
        <w:rPr>
          <w:rFonts w:ascii="Arial" w:hAnsi="Arial"/>
          <w:sz w:val="24"/>
        </w:rPr>
        <w:t xml:space="preserve">The subscales of the PES were moderately correlated with each other (0.38-0.76) and strongly correlated with the PES (0.61-0.88). The subscales of the PES that were most strongly correlated with burnout were management and nursing leadership, and staffing and resource adequacy (-0.64). The interaction between each subscale and burnout was retained for consistency with the primary model, even where not statistical significant (Table 3). </w:t>
      </w:r>
      <w:r>
        <w:rPr>
          <w:rFonts w:ascii="Arial" w:hAnsi="Arial" w:cs="Arial"/>
          <w:sz w:val="24"/>
        </w:rPr>
        <w:t xml:space="preserve">The subscales for nurse manager leadership and support, nursing foundations for quality care, and nurse participation in organizational affairs were significant predictors of both acute hospitalizations and community discharge. The subscale for staffing and resource adequacy was significantly associated with community discharge. The subscale for collegial nurse-physician relations was not associated with either outcome. </w:t>
      </w:r>
    </w:p>
    <w:p w14:paraId="105C1D04" w14:textId="77777777" w:rsidR="00CF6C34" w:rsidRDefault="00CF6C34" w:rsidP="00CF6C34">
      <w:pPr>
        <w:spacing w:after="0" w:line="240" w:lineRule="auto"/>
        <w:contextualSpacing/>
        <w:rPr>
          <w:rFonts w:ascii="Arial" w:hAnsi="Arial" w:cs="Arial"/>
          <w:sz w:val="24"/>
        </w:rPr>
      </w:pPr>
    </w:p>
    <w:p w14:paraId="7183B04A" w14:textId="19B1D1A1" w:rsidR="00CF6C34" w:rsidRDefault="00CF6C34" w:rsidP="00CF34C7">
      <w:pPr>
        <w:spacing w:after="0" w:line="240" w:lineRule="auto"/>
        <w:rPr>
          <w:rFonts w:ascii="Arial" w:hAnsi="Arial"/>
          <w:sz w:val="24"/>
        </w:rPr>
      </w:pPr>
    </w:p>
    <w:tbl>
      <w:tblPr>
        <w:tblStyle w:val="LightShading"/>
        <w:tblW w:w="0" w:type="auto"/>
        <w:tblLayout w:type="fixed"/>
        <w:tblLook w:val="04A0" w:firstRow="1" w:lastRow="0" w:firstColumn="1" w:lastColumn="0" w:noHBand="0" w:noVBand="1"/>
      </w:tblPr>
      <w:tblGrid>
        <w:gridCol w:w="3150"/>
        <w:gridCol w:w="630"/>
        <w:gridCol w:w="108"/>
        <w:gridCol w:w="72"/>
        <w:gridCol w:w="1890"/>
        <w:gridCol w:w="810"/>
        <w:gridCol w:w="18"/>
        <w:gridCol w:w="56"/>
        <w:gridCol w:w="196"/>
        <w:gridCol w:w="1710"/>
        <w:gridCol w:w="630"/>
        <w:gridCol w:w="90"/>
      </w:tblGrid>
      <w:tr w:rsidR="00CF34C7" w14:paraId="0D7F448E" w14:textId="77777777" w:rsidTr="00071A05">
        <w:trPr>
          <w:gridAfter w:val="1"/>
          <w:cnfStyle w:val="100000000000" w:firstRow="1" w:lastRow="0" w:firstColumn="0" w:lastColumn="0" w:oddVBand="0" w:evenVBand="0" w:oddHBand="0"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9270" w:type="dxa"/>
            <w:gridSpan w:val="11"/>
            <w:tcBorders>
              <w:top w:val="single" w:sz="12" w:space="0" w:color="auto"/>
              <w:bottom w:val="single" w:sz="4" w:space="0" w:color="auto"/>
            </w:tcBorders>
            <w:shd w:val="clear" w:color="auto" w:fill="auto"/>
          </w:tcPr>
          <w:p w14:paraId="0B350EA3" w14:textId="1C69274E" w:rsidR="00CF34C7" w:rsidRPr="00071A05" w:rsidRDefault="00CF34C7" w:rsidP="00071A05">
            <w:pPr>
              <w:rPr>
                <w:rFonts w:cs="Arial"/>
                <w:b w:val="0"/>
              </w:rPr>
            </w:pPr>
            <w:r w:rsidRPr="0091297F">
              <w:rPr>
                <w:rFonts w:cs="Arial"/>
              </w:rPr>
              <w:t>T</w:t>
            </w:r>
            <w:r w:rsidRPr="0091297F">
              <w:rPr>
                <w:rFonts w:cs="Arial"/>
              </w:rPr>
              <w:t>ABLE</w:t>
            </w:r>
            <w:r w:rsidRPr="0091297F">
              <w:rPr>
                <w:rFonts w:cs="Arial"/>
              </w:rPr>
              <w:t xml:space="preserve"> 3</w:t>
            </w:r>
            <w:r w:rsidRPr="0091297F">
              <w:rPr>
                <w:rFonts w:cs="Arial"/>
              </w:rPr>
              <w:t>.</w:t>
            </w:r>
            <w:r w:rsidRPr="0091297F">
              <w:rPr>
                <w:rFonts w:cs="Arial"/>
                <w:b w:val="0"/>
              </w:rPr>
              <w:t xml:space="preserve">  Effects of </w:t>
            </w:r>
            <w:r w:rsidR="00632446">
              <w:rPr>
                <w:rFonts w:cs="Arial"/>
                <w:b w:val="0"/>
              </w:rPr>
              <w:t xml:space="preserve">Work </w:t>
            </w:r>
            <w:r w:rsidRPr="0091297F">
              <w:rPr>
                <w:rFonts w:cs="Arial"/>
                <w:b w:val="0"/>
              </w:rPr>
              <w:t xml:space="preserve">Environment Sub-scales and Nurse Burnout on </w:t>
            </w:r>
            <w:r w:rsidRPr="0091297F">
              <w:rPr>
                <w:b w:val="0"/>
              </w:rPr>
              <w:t>Risk-Adjusted</w:t>
            </w:r>
            <w:r w:rsidR="00071A05">
              <w:rPr>
                <w:b w:val="0"/>
              </w:rPr>
              <w:t xml:space="preserve"> Home Health Patient Outcomes </w:t>
            </w:r>
            <w:r w:rsidRPr="0091297F">
              <w:rPr>
                <w:b w:val="0"/>
              </w:rPr>
              <w:t>(</w:t>
            </w:r>
            <w:r w:rsidR="00071A05">
              <w:rPr>
                <w:b w:val="0"/>
              </w:rPr>
              <w:t xml:space="preserve">Agency </w:t>
            </w:r>
            <w:r w:rsidRPr="0091297F">
              <w:rPr>
                <w:b w:val="0"/>
              </w:rPr>
              <w:t>N = 118)</w:t>
            </w:r>
          </w:p>
        </w:tc>
      </w:tr>
      <w:tr w:rsidR="004641CA" w14:paraId="13DE0F7A" w14:textId="77777777" w:rsidTr="00CF34C7">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bottom w:val="single" w:sz="4" w:space="0" w:color="auto"/>
            </w:tcBorders>
            <w:shd w:val="clear" w:color="auto" w:fill="auto"/>
          </w:tcPr>
          <w:p w14:paraId="284E1DEC" w14:textId="43C19BC4" w:rsidR="004641CA" w:rsidRPr="00CF34C7" w:rsidRDefault="004641CA" w:rsidP="005D710E"/>
        </w:tc>
        <w:tc>
          <w:tcPr>
            <w:tcW w:w="810" w:type="dxa"/>
            <w:gridSpan w:val="3"/>
            <w:tcBorders>
              <w:top w:val="single" w:sz="4" w:space="0" w:color="auto"/>
              <w:bottom w:val="single" w:sz="4" w:space="0" w:color="auto"/>
            </w:tcBorders>
            <w:shd w:val="clear" w:color="auto" w:fill="auto"/>
          </w:tcPr>
          <w:p w14:paraId="5F0143AD" w14:textId="77777777" w:rsidR="004641CA" w:rsidRPr="00CF34C7" w:rsidRDefault="004641CA">
            <w:pPr>
              <w:cnfStyle w:val="000000100000" w:firstRow="0" w:lastRow="0" w:firstColumn="0" w:lastColumn="0" w:oddVBand="0" w:evenVBand="0" w:oddHBand="1" w:evenHBand="0" w:firstRowFirstColumn="0" w:firstRowLastColumn="0" w:lastRowFirstColumn="0" w:lastRowLastColumn="0"/>
              <w:rPr>
                <w:b/>
              </w:rPr>
            </w:pPr>
          </w:p>
        </w:tc>
        <w:tc>
          <w:tcPr>
            <w:tcW w:w="2700" w:type="dxa"/>
            <w:gridSpan w:val="2"/>
            <w:tcBorders>
              <w:top w:val="single" w:sz="4" w:space="0" w:color="auto"/>
              <w:bottom w:val="single" w:sz="4" w:space="0" w:color="auto"/>
            </w:tcBorders>
            <w:shd w:val="clear" w:color="auto" w:fill="auto"/>
          </w:tcPr>
          <w:p w14:paraId="57DEB57C" w14:textId="17A48357" w:rsidR="004641CA" w:rsidRPr="00CF34C7" w:rsidRDefault="004641CA" w:rsidP="004641CA">
            <w:pPr>
              <w:cnfStyle w:val="000000100000" w:firstRow="0" w:lastRow="0" w:firstColumn="0" w:lastColumn="0" w:oddVBand="0" w:evenVBand="0" w:oddHBand="1" w:evenHBand="0" w:firstRowFirstColumn="0" w:firstRowLastColumn="0" w:lastRowFirstColumn="0" w:lastRowLastColumn="0"/>
              <w:rPr>
                <w:b/>
                <w:vertAlign w:val="superscript"/>
              </w:rPr>
            </w:pPr>
            <w:r w:rsidRPr="00CF34C7">
              <w:rPr>
                <w:b/>
              </w:rPr>
              <w:t>Acute Hospitalizations</w:t>
            </w:r>
            <w:r w:rsidR="00632446">
              <w:t>†</w:t>
            </w:r>
          </w:p>
        </w:tc>
        <w:tc>
          <w:tcPr>
            <w:tcW w:w="270" w:type="dxa"/>
            <w:gridSpan w:val="3"/>
            <w:tcBorders>
              <w:top w:val="single" w:sz="4" w:space="0" w:color="auto"/>
              <w:bottom w:val="single" w:sz="4" w:space="0" w:color="auto"/>
            </w:tcBorders>
            <w:shd w:val="clear" w:color="auto" w:fill="FFFFFF" w:themeFill="background1"/>
          </w:tcPr>
          <w:p w14:paraId="741E16C2" w14:textId="77777777" w:rsidR="004641CA" w:rsidRPr="00CF34C7" w:rsidRDefault="004641CA">
            <w:pPr>
              <w:cnfStyle w:val="000000100000" w:firstRow="0" w:lastRow="0" w:firstColumn="0" w:lastColumn="0" w:oddVBand="0" w:evenVBand="0" w:oddHBand="1" w:evenHBand="0" w:firstRowFirstColumn="0" w:firstRowLastColumn="0" w:lastRowFirstColumn="0" w:lastRowLastColumn="0"/>
              <w:rPr>
                <w:b/>
              </w:rPr>
            </w:pPr>
          </w:p>
        </w:tc>
        <w:tc>
          <w:tcPr>
            <w:tcW w:w="2340" w:type="dxa"/>
            <w:gridSpan w:val="2"/>
            <w:tcBorders>
              <w:top w:val="single" w:sz="4" w:space="0" w:color="auto"/>
              <w:bottom w:val="single" w:sz="4" w:space="0" w:color="auto"/>
            </w:tcBorders>
            <w:shd w:val="clear" w:color="auto" w:fill="auto"/>
          </w:tcPr>
          <w:p w14:paraId="15E52C38" w14:textId="74BF4216" w:rsidR="004641CA" w:rsidRPr="00CF34C7" w:rsidRDefault="004641CA">
            <w:pPr>
              <w:cnfStyle w:val="000000100000" w:firstRow="0" w:lastRow="0" w:firstColumn="0" w:lastColumn="0" w:oddVBand="0" w:evenVBand="0" w:oddHBand="1" w:evenHBand="0" w:firstRowFirstColumn="0" w:firstRowLastColumn="0" w:lastRowFirstColumn="0" w:lastRowLastColumn="0"/>
              <w:rPr>
                <w:b/>
                <w:vertAlign w:val="superscript"/>
              </w:rPr>
            </w:pPr>
            <w:r w:rsidRPr="00CF34C7">
              <w:rPr>
                <w:b/>
              </w:rPr>
              <w:t>Community Discharge</w:t>
            </w:r>
            <w:r w:rsidR="00B70364" w:rsidRPr="00B70364">
              <w:rPr>
                <w:vertAlign w:val="superscript"/>
              </w:rPr>
              <w:t>‡</w:t>
            </w:r>
          </w:p>
        </w:tc>
      </w:tr>
      <w:tr w:rsidR="00632446" w14:paraId="2D347749" w14:textId="77777777" w:rsidTr="0019530D">
        <w:tc>
          <w:tcPr>
            <w:cnfStyle w:val="001000000000" w:firstRow="0" w:lastRow="0" w:firstColumn="1" w:lastColumn="0" w:oddVBand="0" w:evenVBand="0" w:oddHBand="0" w:evenHBand="0" w:firstRowFirstColumn="0" w:firstRowLastColumn="0" w:lastRowFirstColumn="0" w:lastRowLastColumn="0"/>
            <w:tcW w:w="3780" w:type="dxa"/>
            <w:gridSpan w:val="2"/>
            <w:tcBorders>
              <w:top w:val="nil"/>
              <w:bottom w:val="single" w:sz="4" w:space="0" w:color="auto"/>
            </w:tcBorders>
            <w:shd w:val="clear" w:color="auto" w:fill="auto"/>
          </w:tcPr>
          <w:p w14:paraId="162B8048" w14:textId="065DF363" w:rsidR="00632446" w:rsidRPr="00071A05" w:rsidRDefault="00071A05" w:rsidP="00071A05">
            <w:r w:rsidRPr="00071A05">
              <w:t>Variables*</w:t>
            </w:r>
          </w:p>
        </w:tc>
        <w:tc>
          <w:tcPr>
            <w:tcW w:w="2070" w:type="dxa"/>
            <w:gridSpan w:val="3"/>
            <w:tcBorders>
              <w:top w:val="nil"/>
              <w:bottom w:val="single" w:sz="4" w:space="0" w:color="auto"/>
            </w:tcBorders>
            <w:shd w:val="clear" w:color="auto" w:fill="auto"/>
          </w:tcPr>
          <w:p w14:paraId="3DC512B9" w14:textId="1E418840" w:rsidR="00632446" w:rsidRPr="0091297F" w:rsidRDefault="00632446" w:rsidP="00CF34C7">
            <w:pPr>
              <w:jc w:val="center"/>
              <w:cnfStyle w:val="000000000000" w:firstRow="0" w:lastRow="0" w:firstColumn="0" w:lastColumn="0" w:oddVBand="0" w:evenVBand="0" w:oddHBand="0" w:evenHBand="0" w:firstRowFirstColumn="0" w:firstRowLastColumn="0" w:lastRowFirstColumn="0" w:lastRowLastColumn="0"/>
              <w:rPr>
                <w:b/>
              </w:rPr>
            </w:pPr>
            <w:r w:rsidRPr="0091297F">
              <w:rPr>
                <w:b/>
              </w:rPr>
              <w:t>Coefficient</w:t>
            </w:r>
            <w:r>
              <w:rPr>
                <w:b/>
              </w:rPr>
              <w:t xml:space="preserve"> (</w:t>
            </w:r>
            <w:r w:rsidRPr="0091297F">
              <w:rPr>
                <w:b/>
              </w:rPr>
              <w:t>SE</w:t>
            </w:r>
            <w:r>
              <w:rPr>
                <w:b/>
              </w:rPr>
              <w:t>)</w:t>
            </w:r>
          </w:p>
        </w:tc>
        <w:tc>
          <w:tcPr>
            <w:tcW w:w="828" w:type="dxa"/>
            <w:gridSpan w:val="2"/>
            <w:tcBorders>
              <w:top w:val="nil"/>
              <w:bottom w:val="single" w:sz="4" w:space="0" w:color="auto"/>
            </w:tcBorders>
            <w:shd w:val="clear" w:color="auto" w:fill="auto"/>
          </w:tcPr>
          <w:p w14:paraId="78B4558D" w14:textId="4E8E2242" w:rsidR="00632446" w:rsidRPr="0091297F" w:rsidRDefault="00632446" w:rsidP="00CF34C7">
            <w:pPr>
              <w:jc w:val="center"/>
              <w:cnfStyle w:val="000000000000" w:firstRow="0" w:lastRow="0" w:firstColumn="0" w:lastColumn="0" w:oddVBand="0" w:evenVBand="0" w:oddHBand="0" w:evenHBand="0" w:firstRowFirstColumn="0" w:firstRowLastColumn="0" w:lastRowFirstColumn="0" w:lastRowLastColumn="0"/>
              <w:rPr>
                <w:b/>
              </w:rPr>
            </w:pPr>
            <w:r w:rsidRPr="0091297F">
              <w:rPr>
                <w:b/>
              </w:rPr>
              <w:t>P</w:t>
            </w:r>
          </w:p>
        </w:tc>
        <w:tc>
          <w:tcPr>
            <w:tcW w:w="1962" w:type="dxa"/>
            <w:gridSpan w:val="3"/>
            <w:tcBorders>
              <w:top w:val="nil"/>
              <w:bottom w:val="single" w:sz="4" w:space="0" w:color="auto"/>
            </w:tcBorders>
            <w:shd w:val="clear" w:color="auto" w:fill="auto"/>
          </w:tcPr>
          <w:p w14:paraId="014C93BE" w14:textId="48581AD4" w:rsidR="00632446" w:rsidRPr="0091297F" w:rsidRDefault="00632446" w:rsidP="00CF34C7">
            <w:pPr>
              <w:jc w:val="center"/>
              <w:cnfStyle w:val="000000000000" w:firstRow="0" w:lastRow="0" w:firstColumn="0" w:lastColumn="0" w:oddVBand="0" w:evenVBand="0" w:oddHBand="0" w:evenHBand="0" w:firstRowFirstColumn="0" w:firstRowLastColumn="0" w:lastRowFirstColumn="0" w:lastRowLastColumn="0"/>
              <w:rPr>
                <w:b/>
              </w:rPr>
            </w:pPr>
            <w:r w:rsidRPr="0091297F">
              <w:rPr>
                <w:b/>
              </w:rPr>
              <w:t>Coefficient</w:t>
            </w:r>
            <w:r>
              <w:rPr>
                <w:b/>
              </w:rPr>
              <w:t xml:space="preserve"> (</w:t>
            </w:r>
            <w:r w:rsidRPr="0091297F">
              <w:rPr>
                <w:b/>
              </w:rPr>
              <w:t>SE</w:t>
            </w:r>
            <w:r>
              <w:rPr>
                <w:b/>
              </w:rPr>
              <w:t>)</w:t>
            </w:r>
          </w:p>
        </w:tc>
        <w:tc>
          <w:tcPr>
            <w:tcW w:w="720" w:type="dxa"/>
            <w:gridSpan w:val="2"/>
            <w:tcBorders>
              <w:top w:val="nil"/>
              <w:bottom w:val="single" w:sz="4" w:space="0" w:color="auto"/>
            </w:tcBorders>
            <w:shd w:val="clear" w:color="auto" w:fill="auto"/>
          </w:tcPr>
          <w:p w14:paraId="57AD44C7" w14:textId="415BFED9" w:rsidR="00632446" w:rsidRPr="0091297F" w:rsidRDefault="00632446" w:rsidP="00CF34C7">
            <w:pPr>
              <w:jc w:val="center"/>
              <w:cnfStyle w:val="000000000000" w:firstRow="0" w:lastRow="0" w:firstColumn="0" w:lastColumn="0" w:oddVBand="0" w:evenVBand="0" w:oddHBand="0" w:evenHBand="0" w:firstRowFirstColumn="0" w:firstRowLastColumn="0" w:lastRowFirstColumn="0" w:lastRowLastColumn="0"/>
              <w:rPr>
                <w:b/>
              </w:rPr>
            </w:pPr>
            <w:r w:rsidRPr="0091297F">
              <w:rPr>
                <w:b/>
              </w:rPr>
              <w:t>P</w:t>
            </w:r>
          </w:p>
        </w:tc>
      </w:tr>
      <w:tr w:rsidR="00632446" w14:paraId="37E974C3" w14:textId="77777777" w:rsidTr="007A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gridSpan w:val="3"/>
            <w:tcBorders>
              <w:top w:val="single" w:sz="4" w:space="0" w:color="auto"/>
            </w:tcBorders>
            <w:shd w:val="clear" w:color="auto" w:fill="auto"/>
          </w:tcPr>
          <w:p w14:paraId="0CB86E19" w14:textId="7839A0FD" w:rsidR="00632446" w:rsidRPr="00CF34C7" w:rsidRDefault="00632446" w:rsidP="009F45F1">
            <w:pPr>
              <w:rPr>
                <w:b w:val="0"/>
                <w:vertAlign w:val="superscript"/>
              </w:rPr>
            </w:pPr>
            <w:r w:rsidRPr="004641CA">
              <w:rPr>
                <w:b w:val="0"/>
              </w:rPr>
              <w:t>Nurse Manager Leadership and Support</w:t>
            </w:r>
          </w:p>
        </w:tc>
        <w:tc>
          <w:tcPr>
            <w:tcW w:w="1962" w:type="dxa"/>
            <w:gridSpan w:val="2"/>
            <w:tcBorders>
              <w:top w:val="single" w:sz="4" w:space="0" w:color="auto"/>
            </w:tcBorders>
            <w:shd w:val="clear" w:color="auto" w:fill="auto"/>
          </w:tcPr>
          <w:p w14:paraId="67646C68" w14:textId="60CFB21B" w:rsidR="00632446" w:rsidRPr="004641CA" w:rsidRDefault="00632446" w:rsidP="004641CA">
            <w:pPr>
              <w:jc w:val="right"/>
              <w:cnfStyle w:val="000000100000" w:firstRow="0" w:lastRow="0" w:firstColumn="0" w:lastColumn="0" w:oddVBand="0" w:evenVBand="0" w:oddHBand="1" w:evenHBand="0" w:firstRowFirstColumn="0" w:firstRowLastColumn="0" w:lastRowFirstColumn="0" w:lastRowLastColumn="0"/>
            </w:pPr>
            <w:r w:rsidRPr="004641CA">
              <w:t>-2.17</w:t>
            </w:r>
            <w:r>
              <w:t xml:space="preserve"> (</w:t>
            </w:r>
            <w:r w:rsidRPr="004641CA">
              <w:t>0.635</w:t>
            </w:r>
            <w:r>
              <w:t>)</w:t>
            </w:r>
          </w:p>
        </w:tc>
        <w:tc>
          <w:tcPr>
            <w:tcW w:w="884" w:type="dxa"/>
            <w:gridSpan w:val="3"/>
            <w:tcBorders>
              <w:top w:val="single" w:sz="4" w:space="0" w:color="auto"/>
            </w:tcBorders>
            <w:shd w:val="clear" w:color="auto" w:fill="auto"/>
          </w:tcPr>
          <w:p w14:paraId="170C5EA5" w14:textId="4C6C0764" w:rsidR="00632446" w:rsidRPr="004641CA" w:rsidRDefault="00632446" w:rsidP="00556E37">
            <w:pPr>
              <w:cnfStyle w:val="000000100000" w:firstRow="0" w:lastRow="0" w:firstColumn="0" w:lastColumn="0" w:oddVBand="0" w:evenVBand="0" w:oddHBand="1" w:evenHBand="0" w:firstRowFirstColumn="0" w:firstRowLastColumn="0" w:lastRowFirstColumn="0" w:lastRowLastColumn="0"/>
            </w:pPr>
            <w:r w:rsidRPr="004641CA">
              <w:t>0.001</w:t>
            </w:r>
          </w:p>
        </w:tc>
        <w:tc>
          <w:tcPr>
            <w:tcW w:w="1906" w:type="dxa"/>
            <w:gridSpan w:val="2"/>
            <w:tcBorders>
              <w:top w:val="single" w:sz="4" w:space="0" w:color="auto"/>
            </w:tcBorders>
            <w:shd w:val="clear" w:color="auto" w:fill="auto"/>
          </w:tcPr>
          <w:p w14:paraId="4EBF58A2" w14:textId="58243401" w:rsidR="00632446" w:rsidRPr="004641CA" w:rsidRDefault="00632446" w:rsidP="004641CA">
            <w:pPr>
              <w:jc w:val="right"/>
              <w:cnfStyle w:val="000000100000" w:firstRow="0" w:lastRow="0" w:firstColumn="0" w:lastColumn="0" w:oddVBand="0" w:evenVBand="0" w:oddHBand="1" w:evenHBand="0" w:firstRowFirstColumn="0" w:firstRowLastColumn="0" w:lastRowFirstColumn="0" w:lastRowLastColumn="0"/>
            </w:pPr>
            <w:r w:rsidRPr="004641CA">
              <w:t>2.66</w:t>
            </w:r>
            <w:r>
              <w:t xml:space="preserve"> (0.735)</w:t>
            </w:r>
          </w:p>
        </w:tc>
        <w:tc>
          <w:tcPr>
            <w:tcW w:w="720" w:type="dxa"/>
            <w:gridSpan w:val="2"/>
            <w:tcBorders>
              <w:top w:val="single" w:sz="4" w:space="0" w:color="auto"/>
            </w:tcBorders>
            <w:shd w:val="clear" w:color="auto" w:fill="auto"/>
          </w:tcPr>
          <w:p w14:paraId="62A03A4D" w14:textId="71CC8962" w:rsidR="00632446" w:rsidRPr="004641CA" w:rsidRDefault="00632446" w:rsidP="004641CA">
            <w:pPr>
              <w:jc w:val="right"/>
              <w:cnfStyle w:val="000000100000" w:firstRow="0" w:lastRow="0" w:firstColumn="0" w:lastColumn="0" w:oddVBand="0" w:evenVBand="0" w:oddHBand="1" w:evenHBand="0" w:firstRowFirstColumn="0" w:firstRowLastColumn="0" w:lastRowFirstColumn="0" w:lastRowLastColumn="0"/>
            </w:pPr>
            <w:r w:rsidRPr="004641CA">
              <w:t>0.000</w:t>
            </w:r>
          </w:p>
        </w:tc>
      </w:tr>
      <w:tr w:rsidR="00632446" w14:paraId="0B48E758" w14:textId="77777777" w:rsidTr="006E5382">
        <w:tc>
          <w:tcPr>
            <w:cnfStyle w:val="001000000000" w:firstRow="0" w:lastRow="0" w:firstColumn="1" w:lastColumn="0" w:oddVBand="0" w:evenVBand="0" w:oddHBand="0" w:evenHBand="0" w:firstRowFirstColumn="0" w:firstRowLastColumn="0" w:lastRowFirstColumn="0" w:lastRowLastColumn="0"/>
            <w:tcW w:w="3888" w:type="dxa"/>
            <w:gridSpan w:val="3"/>
            <w:shd w:val="clear" w:color="auto" w:fill="auto"/>
          </w:tcPr>
          <w:p w14:paraId="1231400C" w14:textId="021EC1E2" w:rsidR="00632446" w:rsidRPr="004641CA" w:rsidRDefault="00632446" w:rsidP="009F45F1">
            <w:pPr>
              <w:rPr>
                <w:b w:val="0"/>
              </w:rPr>
            </w:pPr>
            <w:r w:rsidRPr="004641CA">
              <w:rPr>
                <w:b w:val="0"/>
              </w:rPr>
              <w:t xml:space="preserve">     Emotional Exhaustion </w:t>
            </w:r>
          </w:p>
        </w:tc>
        <w:tc>
          <w:tcPr>
            <w:tcW w:w="1962" w:type="dxa"/>
            <w:gridSpan w:val="2"/>
            <w:shd w:val="clear" w:color="auto" w:fill="auto"/>
          </w:tcPr>
          <w:p w14:paraId="12B8A23D" w14:textId="3BD8AC38" w:rsidR="00632446" w:rsidRPr="004641CA" w:rsidRDefault="00632446" w:rsidP="004641CA">
            <w:pPr>
              <w:jc w:val="right"/>
              <w:cnfStyle w:val="000000000000" w:firstRow="0" w:lastRow="0" w:firstColumn="0" w:lastColumn="0" w:oddVBand="0" w:evenVBand="0" w:oddHBand="0" w:evenHBand="0" w:firstRowFirstColumn="0" w:firstRowLastColumn="0" w:lastRowFirstColumn="0" w:lastRowLastColumn="0"/>
            </w:pPr>
            <w:r w:rsidRPr="004641CA">
              <w:t>-0.39</w:t>
            </w:r>
            <w:r>
              <w:t xml:space="preserve"> (</w:t>
            </w:r>
            <w:r w:rsidRPr="004641CA">
              <w:t>0.124</w:t>
            </w:r>
            <w:r>
              <w:t>)</w:t>
            </w:r>
          </w:p>
        </w:tc>
        <w:tc>
          <w:tcPr>
            <w:tcW w:w="884" w:type="dxa"/>
            <w:gridSpan w:val="3"/>
            <w:shd w:val="clear" w:color="auto" w:fill="auto"/>
          </w:tcPr>
          <w:p w14:paraId="7E0AA5D2" w14:textId="129FACE6" w:rsidR="00632446" w:rsidRPr="004641CA" w:rsidRDefault="00632446" w:rsidP="00556E37">
            <w:pPr>
              <w:cnfStyle w:val="000000000000" w:firstRow="0" w:lastRow="0" w:firstColumn="0" w:lastColumn="0" w:oddVBand="0" w:evenVBand="0" w:oddHBand="0" w:evenHBand="0" w:firstRowFirstColumn="0" w:firstRowLastColumn="0" w:lastRowFirstColumn="0" w:lastRowLastColumn="0"/>
            </w:pPr>
            <w:r w:rsidRPr="004641CA">
              <w:t>0.002</w:t>
            </w:r>
          </w:p>
        </w:tc>
        <w:tc>
          <w:tcPr>
            <w:tcW w:w="1906" w:type="dxa"/>
            <w:gridSpan w:val="2"/>
            <w:shd w:val="clear" w:color="auto" w:fill="auto"/>
          </w:tcPr>
          <w:p w14:paraId="39619DF1" w14:textId="118CCCD6" w:rsidR="00632446" w:rsidRPr="004641CA" w:rsidRDefault="00632446" w:rsidP="004641CA">
            <w:pPr>
              <w:jc w:val="right"/>
              <w:cnfStyle w:val="000000000000" w:firstRow="0" w:lastRow="0" w:firstColumn="0" w:lastColumn="0" w:oddVBand="0" w:evenVBand="0" w:oddHBand="0" w:evenHBand="0" w:firstRowFirstColumn="0" w:firstRowLastColumn="0" w:lastRowFirstColumn="0" w:lastRowLastColumn="0"/>
            </w:pPr>
            <w:r>
              <w:t>0.42 (0.144)</w:t>
            </w:r>
          </w:p>
        </w:tc>
        <w:tc>
          <w:tcPr>
            <w:tcW w:w="720" w:type="dxa"/>
            <w:gridSpan w:val="2"/>
            <w:shd w:val="clear" w:color="auto" w:fill="auto"/>
          </w:tcPr>
          <w:p w14:paraId="00CB1DF5" w14:textId="1DB8109A" w:rsidR="00632446" w:rsidRPr="004641CA" w:rsidRDefault="00632446" w:rsidP="004641CA">
            <w:pPr>
              <w:jc w:val="right"/>
              <w:cnfStyle w:val="000000000000" w:firstRow="0" w:lastRow="0" w:firstColumn="0" w:lastColumn="0" w:oddVBand="0" w:evenVBand="0" w:oddHBand="0" w:evenHBand="0" w:firstRowFirstColumn="0" w:firstRowLastColumn="0" w:lastRowFirstColumn="0" w:lastRowLastColumn="0"/>
            </w:pPr>
            <w:r w:rsidRPr="004641CA">
              <w:t>0.004</w:t>
            </w:r>
          </w:p>
        </w:tc>
      </w:tr>
      <w:tr w:rsidR="00632446" w14:paraId="6DDA146E" w14:textId="77777777" w:rsidTr="00947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gridSpan w:val="3"/>
            <w:shd w:val="clear" w:color="auto" w:fill="auto"/>
          </w:tcPr>
          <w:p w14:paraId="06DFDC50" w14:textId="787E9E45" w:rsidR="00632446" w:rsidRPr="004641CA" w:rsidRDefault="00632446" w:rsidP="009F45F1">
            <w:pPr>
              <w:rPr>
                <w:b w:val="0"/>
              </w:rPr>
            </w:pPr>
            <w:r w:rsidRPr="004641CA">
              <w:rPr>
                <w:b w:val="0"/>
              </w:rPr>
              <w:t xml:space="preserve">     Interaction</w:t>
            </w:r>
            <w:r w:rsidRPr="00632446">
              <w:rPr>
                <w:b w:val="0"/>
                <w:vertAlign w:val="superscript"/>
              </w:rPr>
              <w:t>§</w:t>
            </w:r>
          </w:p>
        </w:tc>
        <w:tc>
          <w:tcPr>
            <w:tcW w:w="1962" w:type="dxa"/>
            <w:gridSpan w:val="2"/>
            <w:shd w:val="clear" w:color="auto" w:fill="auto"/>
          </w:tcPr>
          <w:p w14:paraId="117E2128" w14:textId="38D76865" w:rsidR="00632446" w:rsidRPr="004641CA" w:rsidRDefault="00632446" w:rsidP="004641CA">
            <w:pPr>
              <w:jc w:val="right"/>
              <w:cnfStyle w:val="000000100000" w:firstRow="0" w:lastRow="0" w:firstColumn="0" w:lastColumn="0" w:oddVBand="0" w:evenVBand="0" w:oddHBand="1" w:evenHBand="0" w:firstRowFirstColumn="0" w:firstRowLastColumn="0" w:lastRowFirstColumn="0" w:lastRowLastColumn="0"/>
            </w:pPr>
            <w:r w:rsidRPr="004641CA">
              <w:t>-0.17</w:t>
            </w:r>
            <w:r>
              <w:t xml:space="preserve"> (0.078)</w:t>
            </w:r>
          </w:p>
        </w:tc>
        <w:tc>
          <w:tcPr>
            <w:tcW w:w="884" w:type="dxa"/>
            <w:gridSpan w:val="3"/>
            <w:shd w:val="clear" w:color="auto" w:fill="auto"/>
          </w:tcPr>
          <w:p w14:paraId="6AA1904D" w14:textId="5034B7DB" w:rsidR="00632446" w:rsidRPr="004641CA" w:rsidRDefault="00632446" w:rsidP="00556E37">
            <w:pPr>
              <w:cnfStyle w:val="000000100000" w:firstRow="0" w:lastRow="0" w:firstColumn="0" w:lastColumn="0" w:oddVBand="0" w:evenVBand="0" w:oddHBand="1" w:evenHBand="0" w:firstRowFirstColumn="0" w:firstRowLastColumn="0" w:lastRowFirstColumn="0" w:lastRowLastColumn="0"/>
            </w:pPr>
            <w:r w:rsidRPr="004641CA">
              <w:t>0.030</w:t>
            </w:r>
          </w:p>
        </w:tc>
        <w:tc>
          <w:tcPr>
            <w:tcW w:w="1906" w:type="dxa"/>
            <w:gridSpan w:val="2"/>
            <w:shd w:val="clear" w:color="auto" w:fill="auto"/>
          </w:tcPr>
          <w:p w14:paraId="7FC12928" w14:textId="7CBC65C4" w:rsidR="00632446" w:rsidRPr="004641CA" w:rsidRDefault="00632446" w:rsidP="004641CA">
            <w:pPr>
              <w:jc w:val="right"/>
              <w:cnfStyle w:val="000000100000" w:firstRow="0" w:lastRow="0" w:firstColumn="0" w:lastColumn="0" w:oddVBand="0" w:evenVBand="0" w:oddHBand="1" w:evenHBand="0" w:firstRowFirstColumn="0" w:firstRowLastColumn="0" w:lastRowFirstColumn="0" w:lastRowLastColumn="0"/>
            </w:pPr>
            <w:r>
              <w:t>0.21 (0.099)</w:t>
            </w:r>
          </w:p>
        </w:tc>
        <w:tc>
          <w:tcPr>
            <w:tcW w:w="720" w:type="dxa"/>
            <w:gridSpan w:val="2"/>
            <w:shd w:val="clear" w:color="auto" w:fill="auto"/>
          </w:tcPr>
          <w:p w14:paraId="04D8023A" w14:textId="70F4F0A7" w:rsidR="00632446" w:rsidRPr="004641CA" w:rsidRDefault="00632446" w:rsidP="004641CA">
            <w:pPr>
              <w:jc w:val="right"/>
              <w:cnfStyle w:val="000000100000" w:firstRow="0" w:lastRow="0" w:firstColumn="0" w:lastColumn="0" w:oddVBand="0" w:evenVBand="0" w:oddHBand="1" w:evenHBand="0" w:firstRowFirstColumn="0" w:firstRowLastColumn="0" w:lastRowFirstColumn="0" w:lastRowLastColumn="0"/>
            </w:pPr>
            <w:r w:rsidRPr="004641CA">
              <w:t>0.020</w:t>
            </w:r>
          </w:p>
        </w:tc>
      </w:tr>
      <w:tr w:rsidR="00632446" w14:paraId="6CD0CCBA" w14:textId="77777777" w:rsidTr="0048526F">
        <w:tc>
          <w:tcPr>
            <w:cnfStyle w:val="001000000000" w:firstRow="0" w:lastRow="0" w:firstColumn="1" w:lastColumn="0" w:oddVBand="0" w:evenVBand="0" w:oddHBand="0" w:evenHBand="0" w:firstRowFirstColumn="0" w:firstRowLastColumn="0" w:lastRowFirstColumn="0" w:lastRowLastColumn="0"/>
            <w:tcW w:w="3888" w:type="dxa"/>
            <w:gridSpan w:val="3"/>
            <w:shd w:val="clear" w:color="auto" w:fill="auto"/>
          </w:tcPr>
          <w:p w14:paraId="17FC9596" w14:textId="22537EF1" w:rsidR="00632446" w:rsidRPr="00CF34C7" w:rsidRDefault="00632446" w:rsidP="00B70364">
            <w:pPr>
              <w:rPr>
                <w:b w:val="0"/>
                <w:vertAlign w:val="superscript"/>
              </w:rPr>
            </w:pPr>
            <w:r w:rsidRPr="004641CA">
              <w:rPr>
                <w:b w:val="0"/>
              </w:rPr>
              <w:t>Staffing and Resource Adequacy</w:t>
            </w:r>
          </w:p>
        </w:tc>
        <w:tc>
          <w:tcPr>
            <w:tcW w:w="1962" w:type="dxa"/>
            <w:gridSpan w:val="2"/>
            <w:shd w:val="clear" w:color="auto" w:fill="auto"/>
          </w:tcPr>
          <w:p w14:paraId="31130C9D" w14:textId="515F65D6" w:rsidR="00632446" w:rsidRPr="004641CA" w:rsidRDefault="00632446" w:rsidP="004641CA">
            <w:pPr>
              <w:jc w:val="right"/>
              <w:cnfStyle w:val="000000000000" w:firstRow="0" w:lastRow="0" w:firstColumn="0" w:lastColumn="0" w:oddVBand="0" w:evenVBand="0" w:oddHBand="0" w:evenHBand="0" w:firstRowFirstColumn="0" w:firstRowLastColumn="0" w:lastRowFirstColumn="0" w:lastRowLastColumn="0"/>
            </w:pPr>
            <w:r w:rsidRPr="004641CA">
              <w:t>-1.17</w:t>
            </w:r>
            <w:r>
              <w:t xml:space="preserve"> (0.704)</w:t>
            </w:r>
          </w:p>
        </w:tc>
        <w:tc>
          <w:tcPr>
            <w:tcW w:w="884" w:type="dxa"/>
            <w:gridSpan w:val="3"/>
            <w:shd w:val="clear" w:color="auto" w:fill="auto"/>
          </w:tcPr>
          <w:p w14:paraId="2BB9BD98" w14:textId="2ECAB1C8" w:rsidR="00632446" w:rsidRPr="004641CA" w:rsidRDefault="00632446" w:rsidP="006A28F0">
            <w:pPr>
              <w:cnfStyle w:val="000000000000" w:firstRow="0" w:lastRow="0" w:firstColumn="0" w:lastColumn="0" w:oddVBand="0" w:evenVBand="0" w:oddHBand="0" w:evenHBand="0" w:firstRowFirstColumn="0" w:firstRowLastColumn="0" w:lastRowFirstColumn="0" w:lastRowLastColumn="0"/>
            </w:pPr>
            <w:r w:rsidRPr="004641CA">
              <w:t>0.098</w:t>
            </w:r>
          </w:p>
        </w:tc>
        <w:tc>
          <w:tcPr>
            <w:tcW w:w="1906" w:type="dxa"/>
            <w:gridSpan w:val="2"/>
            <w:shd w:val="clear" w:color="auto" w:fill="auto"/>
          </w:tcPr>
          <w:p w14:paraId="4116930C" w14:textId="298B8003" w:rsidR="00632446" w:rsidRPr="004641CA" w:rsidRDefault="00632446" w:rsidP="004641CA">
            <w:pPr>
              <w:jc w:val="right"/>
              <w:cnfStyle w:val="000000000000" w:firstRow="0" w:lastRow="0" w:firstColumn="0" w:lastColumn="0" w:oddVBand="0" w:evenVBand="0" w:oddHBand="0" w:evenHBand="0" w:firstRowFirstColumn="0" w:firstRowLastColumn="0" w:lastRowFirstColumn="0" w:lastRowLastColumn="0"/>
            </w:pPr>
            <w:r>
              <w:t>1.78 (0.811)</w:t>
            </w:r>
          </w:p>
        </w:tc>
        <w:tc>
          <w:tcPr>
            <w:tcW w:w="720" w:type="dxa"/>
            <w:gridSpan w:val="2"/>
            <w:shd w:val="clear" w:color="auto" w:fill="auto"/>
          </w:tcPr>
          <w:p w14:paraId="34D86614" w14:textId="3054D25A" w:rsidR="00632446" w:rsidRPr="004641CA" w:rsidRDefault="00632446" w:rsidP="004641CA">
            <w:pPr>
              <w:jc w:val="right"/>
              <w:cnfStyle w:val="000000000000" w:firstRow="0" w:lastRow="0" w:firstColumn="0" w:lastColumn="0" w:oddVBand="0" w:evenVBand="0" w:oddHBand="0" w:evenHBand="0" w:firstRowFirstColumn="0" w:firstRowLastColumn="0" w:lastRowFirstColumn="0" w:lastRowLastColumn="0"/>
            </w:pPr>
            <w:r w:rsidRPr="004641CA">
              <w:t>0.030</w:t>
            </w:r>
          </w:p>
        </w:tc>
      </w:tr>
      <w:tr w:rsidR="00632446" w14:paraId="6DC00240" w14:textId="77777777" w:rsidTr="009A2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gridSpan w:val="3"/>
            <w:shd w:val="clear" w:color="auto" w:fill="auto"/>
          </w:tcPr>
          <w:p w14:paraId="214AF601" w14:textId="44249F32" w:rsidR="00632446" w:rsidRPr="004641CA" w:rsidRDefault="00632446" w:rsidP="002741CC">
            <w:pPr>
              <w:rPr>
                <w:b w:val="0"/>
              </w:rPr>
            </w:pPr>
            <w:r w:rsidRPr="004641CA">
              <w:rPr>
                <w:b w:val="0"/>
              </w:rPr>
              <w:t xml:space="preserve">     Emotional Exhaustion</w:t>
            </w:r>
          </w:p>
        </w:tc>
        <w:tc>
          <w:tcPr>
            <w:tcW w:w="1962" w:type="dxa"/>
            <w:gridSpan w:val="2"/>
            <w:shd w:val="clear" w:color="auto" w:fill="auto"/>
          </w:tcPr>
          <w:p w14:paraId="6989CE24" w14:textId="6E9675CC" w:rsidR="00632446" w:rsidRPr="004641CA" w:rsidRDefault="00632446" w:rsidP="004641CA">
            <w:pPr>
              <w:jc w:val="right"/>
              <w:cnfStyle w:val="000000100000" w:firstRow="0" w:lastRow="0" w:firstColumn="0" w:lastColumn="0" w:oddVBand="0" w:evenVBand="0" w:oddHBand="1" w:evenHBand="0" w:firstRowFirstColumn="0" w:firstRowLastColumn="0" w:lastRowFirstColumn="0" w:lastRowLastColumn="0"/>
            </w:pPr>
            <w:r w:rsidRPr="004641CA">
              <w:t>-0.25</w:t>
            </w:r>
            <w:r>
              <w:t xml:space="preserve"> (0.138)</w:t>
            </w:r>
          </w:p>
        </w:tc>
        <w:tc>
          <w:tcPr>
            <w:tcW w:w="884" w:type="dxa"/>
            <w:gridSpan w:val="3"/>
            <w:shd w:val="clear" w:color="auto" w:fill="auto"/>
          </w:tcPr>
          <w:p w14:paraId="61274F7E" w14:textId="42D7BD66" w:rsidR="00632446" w:rsidRPr="004641CA" w:rsidRDefault="00632446" w:rsidP="006A28F0">
            <w:pPr>
              <w:cnfStyle w:val="000000100000" w:firstRow="0" w:lastRow="0" w:firstColumn="0" w:lastColumn="0" w:oddVBand="0" w:evenVBand="0" w:oddHBand="1" w:evenHBand="0" w:firstRowFirstColumn="0" w:firstRowLastColumn="0" w:lastRowFirstColumn="0" w:lastRowLastColumn="0"/>
            </w:pPr>
            <w:r w:rsidRPr="004641CA">
              <w:t>0.067</w:t>
            </w:r>
          </w:p>
        </w:tc>
        <w:tc>
          <w:tcPr>
            <w:tcW w:w="1906" w:type="dxa"/>
            <w:gridSpan w:val="2"/>
            <w:shd w:val="clear" w:color="auto" w:fill="auto"/>
          </w:tcPr>
          <w:p w14:paraId="0ED24920" w14:textId="1A78D32F" w:rsidR="00632446" w:rsidRPr="004641CA" w:rsidRDefault="00632446" w:rsidP="004641CA">
            <w:pPr>
              <w:jc w:val="right"/>
              <w:cnfStyle w:val="000000100000" w:firstRow="0" w:lastRow="0" w:firstColumn="0" w:lastColumn="0" w:oddVBand="0" w:evenVBand="0" w:oddHBand="1" w:evenHBand="0" w:firstRowFirstColumn="0" w:firstRowLastColumn="0" w:lastRowFirstColumn="0" w:lastRowLastColumn="0"/>
            </w:pPr>
            <w:r w:rsidRPr="004641CA">
              <w:t>0.30</w:t>
            </w:r>
            <w:r>
              <w:t xml:space="preserve"> (0.159)</w:t>
            </w:r>
          </w:p>
        </w:tc>
        <w:tc>
          <w:tcPr>
            <w:tcW w:w="720" w:type="dxa"/>
            <w:gridSpan w:val="2"/>
            <w:shd w:val="clear" w:color="auto" w:fill="auto"/>
          </w:tcPr>
          <w:p w14:paraId="6DD05E56" w14:textId="1A1410B9" w:rsidR="00632446" w:rsidRPr="004641CA" w:rsidRDefault="00632446" w:rsidP="004641CA">
            <w:pPr>
              <w:jc w:val="right"/>
              <w:cnfStyle w:val="000000100000" w:firstRow="0" w:lastRow="0" w:firstColumn="0" w:lastColumn="0" w:oddVBand="0" w:evenVBand="0" w:oddHBand="1" w:evenHBand="0" w:firstRowFirstColumn="0" w:firstRowLastColumn="0" w:lastRowFirstColumn="0" w:lastRowLastColumn="0"/>
            </w:pPr>
            <w:r w:rsidRPr="004641CA">
              <w:t>0.061</w:t>
            </w:r>
          </w:p>
        </w:tc>
      </w:tr>
      <w:tr w:rsidR="00632446" w14:paraId="5605F007" w14:textId="77777777" w:rsidTr="001F728D">
        <w:tc>
          <w:tcPr>
            <w:cnfStyle w:val="001000000000" w:firstRow="0" w:lastRow="0" w:firstColumn="1" w:lastColumn="0" w:oddVBand="0" w:evenVBand="0" w:oddHBand="0" w:evenHBand="0" w:firstRowFirstColumn="0" w:firstRowLastColumn="0" w:lastRowFirstColumn="0" w:lastRowLastColumn="0"/>
            <w:tcW w:w="3888" w:type="dxa"/>
            <w:gridSpan w:val="3"/>
            <w:shd w:val="clear" w:color="auto" w:fill="auto"/>
          </w:tcPr>
          <w:p w14:paraId="7A233893" w14:textId="7639A894" w:rsidR="00632446" w:rsidRPr="004641CA" w:rsidRDefault="00632446" w:rsidP="009F45F1">
            <w:pPr>
              <w:rPr>
                <w:b w:val="0"/>
              </w:rPr>
            </w:pPr>
            <w:r w:rsidRPr="004641CA">
              <w:rPr>
                <w:b w:val="0"/>
              </w:rPr>
              <w:t xml:space="preserve">     Interaction</w:t>
            </w:r>
            <w:r w:rsidRPr="00632446">
              <w:rPr>
                <w:b w:val="0"/>
                <w:vertAlign w:val="superscript"/>
              </w:rPr>
              <w:t>§</w:t>
            </w:r>
          </w:p>
        </w:tc>
        <w:tc>
          <w:tcPr>
            <w:tcW w:w="1962" w:type="dxa"/>
            <w:gridSpan w:val="2"/>
            <w:shd w:val="clear" w:color="auto" w:fill="auto"/>
          </w:tcPr>
          <w:p w14:paraId="73A91D64" w14:textId="4A0CAD23" w:rsidR="00632446" w:rsidRPr="004641CA" w:rsidRDefault="00632446" w:rsidP="004641CA">
            <w:pPr>
              <w:jc w:val="right"/>
              <w:cnfStyle w:val="000000000000" w:firstRow="0" w:lastRow="0" w:firstColumn="0" w:lastColumn="0" w:oddVBand="0" w:evenVBand="0" w:oddHBand="0" w:evenHBand="0" w:firstRowFirstColumn="0" w:firstRowLastColumn="0" w:lastRowFirstColumn="0" w:lastRowLastColumn="0"/>
            </w:pPr>
            <w:r w:rsidRPr="004641CA">
              <w:t>-0.11</w:t>
            </w:r>
            <w:r>
              <w:t xml:space="preserve"> (0.071)</w:t>
            </w:r>
          </w:p>
        </w:tc>
        <w:tc>
          <w:tcPr>
            <w:tcW w:w="884" w:type="dxa"/>
            <w:gridSpan w:val="3"/>
            <w:shd w:val="clear" w:color="auto" w:fill="auto"/>
          </w:tcPr>
          <w:p w14:paraId="54EFB132" w14:textId="66B61DFB" w:rsidR="00632446" w:rsidRPr="004641CA" w:rsidRDefault="00632446" w:rsidP="00A14A52">
            <w:pPr>
              <w:cnfStyle w:val="000000000000" w:firstRow="0" w:lastRow="0" w:firstColumn="0" w:lastColumn="0" w:oddVBand="0" w:evenVBand="0" w:oddHBand="0" w:evenHBand="0" w:firstRowFirstColumn="0" w:firstRowLastColumn="0" w:lastRowFirstColumn="0" w:lastRowLastColumn="0"/>
            </w:pPr>
            <w:r w:rsidRPr="004641CA">
              <w:t>0.122</w:t>
            </w:r>
          </w:p>
        </w:tc>
        <w:tc>
          <w:tcPr>
            <w:tcW w:w="1906" w:type="dxa"/>
            <w:gridSpan w:val="2"/>
            <w:shd w:val="clear" w:color="auto" w:fill="auto"/>
          </w:tcPr>
          <w:p w14:paraId="62ED0F20" w14:textId="777B83CB" w:rsidR="00632446" w:rsidRPr="004641CA" w:rsidRDefault="00632446" w:rsidP="004641CA">
            <w:pPr>
              <w:jc w:val="right"/>
              <w:cnfStyle w:val="000000000000" w:firstRow="0" w:lastRow="0" w:firstColumn="0" w:lastColumn="0" w:oddVBand="0" w:evenVBand="0" w:oddHBand="0" w:evenHBand="0" w:firstRowFirstColumn="0" w:firstRowLastColumn="0" w:lastRowFirstColumn="0" w:lastRowLastColumn="0"/>
            </w:pPr>
            <w:r w:rsidRPr="004641CA">
              <w:t>0.16</w:t>
            </w:r>
            <w:r>
              <w:t xml:space="preserve"> (0.081)</w:t>
            </w:r>
          </w:p>
        </w:tc>
        <w:tc>
          <w:tcPr>
            <w:tcW w:w="720" w:type="dxa"/>
            <w:gridSpan w:val="2"/>
            <w:shd w:val="clear" w:color="auto" w:fill="auto"/>
          </w:tcPr>
          <w:p w14:paraId="2E6AE5FD" w14:textId="344C01C7" w:rsidR="00632446" w:rsidRPr="004641CA" w:rsidRDefault="00632446" w:rsidP="004641CA">
            <w:pPr>
              <w:jc w:val="right"/>
              <w:cnfStyle w:val="000000000000" w:firstRow="0" w:lastRow="0" w:firstColumn="0" w:lastColumn="0" w:oddVBand="0" w:evenVBand="0" w:oddHBand="0" w:evenHBand="0" w:firstRowFirstColumn="0" w:firstRowLastColumn="0" w:lastRowFirstColumn="0" w:lastRowLastColumn="0"/>
            </w:pPr>
            <w:r w:rsidRPr="004641CA">
              <w:t>0.051</w:t>
            </w:r>
          </w:p>
        </w:tc>
      </w:tr>
      <w:tr w:rsidR="00632446" w14:paraId="352F0F28" w14:textId="77777777" w:rsidTr="00956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gridSpan w:val="3"/>
            <w:shd w:val="clear" w:color="auto" w:fill="auto"/>
          </w:tcPr>
          <w:p w14:paraId="3CD62392" w14:textId="2E9EFFC1" w:rsidR="00632446" w:rsidRPr="00CF34C7" w:rsidRDefault="00632446" w:rsidP="0091297F">
            <w:pPr>
              <w:rPr>
                <w:b w:val="0"/>
                <w:vertAlign w:val="superscript"/>
              </w:rPr>
            </w:pPr>
            <w:r w:rsidRPr="004641CA">
              <w:rPr>
                <w:b w:val="0"/>
              </w:rPr>
              <w:t>Nursing Foundations</w:t>
            </w:r>
            <w:r>
              <w:rPr>
                <w:b w:val="0"/>
              </w:rPr>
              <w:t xml:space="preserve"> </w:t>
            </w:r>
            <w:r w:rsidRPr="004641CA">
              <w:rPr>
                <w:b w:val="0"/>
              </w:rPr>
              <w:t>for Quality of Care</w:t>
            </w:r>
          </w:p>
        </w:tc>
        <w:tc>
          <w:tcPr>
            <w:tcW w:w="1962" w:type="dxa"/>
            <w:gridSpan w:val="2"/>
            <w:shd w:val="clear" w:color="auto" w:fill="auto"/>
          </w:tcPr>
          <w:p w14:paraId="68D624B9" w14:textId="661E8870" w:rsidR="00632446" w:rsidRPr="004641CA" w:rsidRDefault="00632446" w:rsidP="004641CA">
            <w:pPr>
              <w:jc w:val="right"/>
              <w:cnfStyle w:val="000000100000" w:firstRow="0" w:lastRow="0" w:firstColumn="0" w:lastColumn="0" w:oddVBand="0" w:evenVBand="0" w:oddHBand="1" w:evenHBand="0" w:firstRowFirstColumn="0" w:firstRowLastColumn="0" w:lastRowFirstColumn="0" w:lastRowLastColumn="0"/>
            </w:pPr>
            <w:r>
              <w:t>-1.83 (0.598)</w:t>
            </w:r>
          </w:p>
        </w:tc>
        <w:tc>
          <w:tcPr>
            <w:tcW w:w="884" w:type="dxa"/>
            <w:gridSpan w:val="3"/>
            <w:shd w:val="clear" w:color="auto" w:fill="auto"/>
          </w:tcPr>
          <w:p w14:paraId="15F94694" w14:textId="39D98528" w:rsidR="00632446" w:rsidRPr="004641CA" w:rsidRDefault="00632446" w:rsidP="00556E37">
            <w:pPr>
              <w:cnfStyle w:val="000000100000" w:firstRow="0" w:lastRow="0" w:firstColumn="0" w:lastColumn="0" w:oddVBand="0" w:evenVBand="0" w:oddHBand="1" w:evenHBand="0" w:firstRowFirstColumn="0" w:firstRowLastColumn="0" w:lastRowFirstColumn="0" w:lastRowLastColumn="0"/>
            </w:pPr>
            <w:r w:rsidRPr="004641CA">
              <w:t>0.003</w:t>
            </w:r>
          </w:p>
        </w:tc>
        <w:tc>
          <w:tcPr>
            <w:tcW w:w="1906" w:type="dxa"/>
            <w:gridSpan w:val="2"/>
            <w:shd w:val="clear" w:color="auto" w:fill="auto"/>
          </w:tcPr>
          <w:p w14:paraId="720DE9D2" w14:textId="34FD52CC" w:rsidR="00632446" w:rsidRPr="004641CA" w:rsidRDefault="00632446" w:rsidP="004641CA">
            <w:pPr>
              <w:jc w:val="right"/>
              <w:cnfStyle w:val="000000100000" w:firstRow="0" w:lastRow="0" w:firstColumn="0" w:lastColumn="0" w:oddVBand="0" w:evenVBand="0" w:oddHBand="1" w:evenHBand="0" w:firstRowFirstColumn="0" w:firstRowLastColumn="0" w:lastRowFirstColumn="0" w:lastRowLastColumn="0"/>
            </w:pPr>
            <w:r>
              <w:t>2.74 (0.675)</w:t>
            </w:r>
          </w:p>
        </w:tc>
        <w:tc>
          <w:tcPr>
            <w:tcW w:w="720" w:type="dxa"/>
            <w:gridSpan w:val="2"/>
            <w:shd w:val="clear" w:color="auto" w:fill="auto"/>
          </w:tcPr>
          <w:p w14:paraId="29F4F385" w14:textId="3B6A24AE" w:rsidR="00632446" w:rsidRPr="004641CA" w:rsidRDefault="00632446" w:rsidP="004641CA">
            <w:pPr>
              <w:jc w:val="right"/>
              <w:cnfStyle w:val="000000100000" w:firstRow="0" w:lastRow="0" w:firstColumn="0" w:lastColumn="0" w:oddVBand="0" w:evenVBand="0" w:oddHBand="1" w:evenHBand="0" w:firstRowFirstColumn="0" w:firstRowLastColumn="0" w:lastRowFirstColumn="0" w:lastRowLastColumn="0"/>
            </w:pPr>
            <w:r w:rsidRPr="004641CA">
              <w:t>0.000</w:t>
            </w:r>
          </w:p>
        </w:tc>
      </w:tr>
      <w:tr w:rsidR="00632446" w14:paraId="59841A27" w14:textId="77777777" w:rsidTr="00B06DA7">
        <w:tc>
          <w:tcPr>
            <w:cnfStyle w:val="001000000000" w:firstRow="0" w:lastRow="0" w:firstColumn="1" w:lastColumn="0" w:oddVBand="0" w:evenVBand="0" w:oddHBand="0" w:evenHBand="0" w:firstRowFirstColumn="0" w:firstRowLastColumn="0" w:lastRowFirstColumn="0" w:lastRowLastColumn="0"/>
            <w:tcW w:w="3888" w:type="dxa"/>
            <w:gridSpan w:val="3"/>
            <w:shd w:val="clear" w:color="auto" w:fill="auto"/>
          </w:tcPr>
          <w:p w14:paraId="69654333" w14:textId="2245BFCC" w:rsidR="00632446" w:rsidRPr="004641CA" w:rsidRDefault="00632446" w:rsidP="002741CC">
            <w:pPr>
              <w:rPr>
                <w:b w:val="0"/>
              </w:rPr>
            </w:pPr>
            <w:r w:rsidRPr="004641CA">
              <w:rPr>
                <w:b w:val="0"/>
              </w:rPr>
              <w:t xml:space="preserve">     Emotional Exhaustion</w:t>
            </w:r>
          </w:p>
        </w:tc>
        <w:tc>
          <w:tcPr>
            <w:tcW w:w="1962" w:type="dxa"/>
            <w:gridSpan w:val="2"/>
            <w:shd w:val="clear" w:color="auto" w:fill="auto"/>
          </w:tcPr>
          <w:p w14:paraId="4659863E" w14:textId="29E03B7E" w:rsidR="00632446" w:rsidRPr="004641CA" w:rsidRDefault="00632446" w:rsidP="004641CA">
            <w:pPr>
              <w:jc w:val="right"/>
              <w:cnfStyle w:val="000000000000" w:firstRow="0" w:lastRow="0" w:firstColumn="0" w:lastColumn="0" w:oddVBand="0" w:evenVBand="0" w:oddHBand="0" w:evenHBand="0" w:firstRowFirstColumn="0" w:firstRowLastColumn="0" w:lastRowFirstColumn="0" w:lastRowLastColumn="0"/>
            </w:pPr>
            <w:r>
              <w:t>-0.30 (0.117)</w:t>
            </w:r>
          </w:p>
        </w:tc>
        <w:tc>
          <w:tcPr>
            <w:tcW w:w="884" w:type="dxa"/>
            <w:gridSpan w:val="3"/>
            <w:shd w:val="clear" w:color="auto" w:fill="auto"/>
          </w:tcPr>
          <w:p w14:paraId="01E7C763" w14:textId="7A4BBB33" w:rsidR="00632446" w:rsidRPr="004641CA" w:rsidRDefault="00632446" w:rsidP="00A14A52">
            <w:pPr>
              <w:cnfStyle w:val="000000000000" w:firstRow="0" w:lastRow="0" w:firstColumn="0" w:lastColumn="0" w:oddVBand="0" w:evenVBand="0" w:oddHBand="0" w:evenHBand="0" w:firstRowFirstColumn="0" w:firstRowLastColumn="0" w:lastRowFirstColumn="0" w:lastRowLastColumn="0"/>
            </w:pPr>
            <w:r w:rsidRPr="004641CA">
              <w:t>0.013</w:t>
            </w:r>
          </w:p>
        </w:tc>
        <w:tc>
          <w:tcPr>
            <w:tcW w:w="1906" w:type="dxa"/>
            <w:gridSpan w:val="2"/>
            <w:shd w:val="clear" w:color="auto" w:fill="auto"/>
          </w:tcPr>
          <w:p w14:paraId="3A08BEFA" w14:textId="287DA2E2" w:rsidR="00632446" w:rsidRPr="004641CA" w:rsidRDefault="00632446" w:rsidP="004641CA">
            <w:pPr>
              <w:jc w:val="right"/>
              <w:cnfStyle w:val="000000000000" w:firstRow="0" w:lastRow="0" w:firstColumn="0" w:lastColumn="0" w:oddVBand="0" w:evenVBand="0" w:oddHBand="0" w:evenHBand="0" w:firstRowFirstColumn="0" w:firstRowLastColumn="0" w:lastRowFirstColumn="0" w:lastRowLastColumn="0"/>
            </w:pPr>
            <w:r>
              <w:t>0.36 (0.132)</w:t>
            </w:r>
          </w:p>
        </w:tc>
        <w:tc>
          <w:tcPr>
            <w:tcW w:w="720" w:type="dxa"/>
            <w:gridSpan w:val="2"/>
            <w:shd w:val="clear" w:color="auto" w:fill="auto"/>
          </w:tcPr>
          <w:p w14:paraId="1E3E5D0A" w14:textId="1AD0097D" w:rsidR="00632446" w:rsidRPr="004641CA" w:rsidRDefault="00632446" w:rsidP="004641CA">
            <w:pPr>
              <w:jc w:val="right"/>
              <w:cnfStyle w:val="000000000000" w:firstRow="0" w:lastRow="0" w:firstColumn="0" w:lastColumn="0" w:oddVBand="0" w:evenVBand="0" w:oddHBand="0" w:evenHBand="0" w:firstRowFirstColumn="0" w:firstRowLastColumn="0" w:lastRowFirstColumn="0" w:lastRowLastColumn="0"/>
            </w:pPr>
            <w:r w:rsidRPr="004641CA">
              <w:t>0.007</w:t>
            </w:r>
          </w:p>
        </w:tc>
      </w:tr>
      <w:tr w:rsidR="00632446" w14:paraId="2AE3AEAE" w14:textId="77777777" w:rsidTr="00575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gridSpan w:val="3"/>
            <w:shd w:val="clear" w:color="auto" w:fill="auto"/>
          </w:tcPr>
          <w:p w14:paraId="3BEC3BFC" w14:textId="1D052FAD" w:rsidR="00632446" w:rsidRPr="004641CA" w:rsidRDefault="00632446" w:rsidP="009F45F1">
            <w:pPr>
              <w:rPr>
                <w:b w:val="0"/>
              </w:rPr>
            </w:pPr>
            <w:r w:rsidRPr="004641CA">
              <w:rPr>
                <w:b w:val="0"/>
              </w:rPr>
              <w:t xml:space="preserve">     Interaction</w:t>
            </w:r>
            <w:r w:rsidRPr="00632446">
              <w:rPr>
                <w:b w:val="0"/>
                <w:vertAlign w:val="superscript"/>
              </w:rPr>
              <w:t>§</w:t>
            </w:r>
          </w:p>
        </w:tc>
        <w:tc>
          <w:tcPr>
            <w:tcW w:w="1962" w:type="dxa"/>
            <w:gridSpan w:val="2"/>
            <w:shd w:val="clear" w:color="auto" w:fill="auto"/>
          </w:tcPr>
          <w:p w14:paraId="0A400541" w14:textId="5208FF07" w:rsidR="00632446" w:rsidRPr="004641CA" w:rsidRDefault="00632446" w:rsidP="004641CA">
            <w:pPr>
              <w:jc w:val="right"/>
              <w:cnfStyle w:val="000000100000" w:firstRow="0" w:lastRow="0" w:firstColumn="0" w:lastColumn="0" w:oddVBand="0" w:evenVBand="0" w:oddHBand="1" w:evenHBand="0" w:firstRowFirstColumn="0" w:firstRowLastColumn="0" w:lastRowFirstColumn="0" w:lastRowLastColumn="0"/>
            </w:pPr>
            <w:r w:rsidRPr="004641CA">
              <w:t>-0.09</w:t>
            </w:r>
            <w:r>
              <w:t xml:space="preserve"> (0.069)</w:t>
            </w:r>
          </w:p>
        </w:tc>
        <w:tc>
          <w:tcPr>
            <w:tcW w:w="884" w:type="dxa"/>
            <w:gridSpan w:val="3"/>
            <w:shd w:val="clear" w:color="auto" w:fill="auto"/>
          </w:tcPr>
          <w:p w14:paraId="7854A974" w14:textId="737FD5F5" w:rsidR="00632446" w:rsidRPr="004641CA" w:rsidRDefault="00632446" w:rsidP="00A14A52">
            <w:pPr>
              <w:cnfStyle w:val="000000100000" w:firstRow="0" w:lastRow="0" w:firstColumn="0" w:lastColumn="0" w:oddVBand="0" w:evenVBand="0" w:oddHBand="1" w:evenHBand="0" w:firstRowFirstColumn="0" w:firstRowLastColumn="0" w:lastRowFirstColumn="0" w:lastRowLastColumn="0"/>
            </w:pPr>
            <w:r w:rsidRPr="004641CA">
              <w:t>0.196</w:t>
            </w:r>
          </w:p>
        </w:tc>
        <w:tc>
          <w:tcPr>
            <w:tcW w:w="1906" w:type="dxa"/>
            <w:gridSpan w:val="2"/>
            <w:shd w:val="clear" w:color="auto" w:fill="auto"/>
          </w:tcPr>
          <w:p w14:paraId="398A98EC" w14:textId="6F76D665" w:rsidR="00632446" w:rsidRPr="004641CA" w:rsidRDefault="00632446" w:rsidP="004641CA">
            <w:pPr>
              <w:jc w:val="right"/>
              <w:cnfStyle w:val="000000100000" w:firstRow="0" w:lastRow="0" w:firstColumn="0" w:lastColumn="0" w:oddVBand="0" w:evenVBand="0" w:oddHBand="1" w:evenHBand="0" w:firstRowFirstColumn="0" w:firstRowLastColumn="0" w:lastRowFirstColumn="0" w:lastRowLastColumn="0"/>
            </w:pPr>
            <w:r>
              <w:t>0.15 (0.077)</w:t>
            </w:r>
          </w:p>
        </w:tc>
        <w:tc>
          <w:tcPr>
            <w:tcW w:w="720" w:type="dxa"/>
            <w:gridSpan w:val="2"/>
            <w:shd w:val="clear" w:color="auto" w:fill="auto"/>
          </w:tcPr>
          <w:p w14:paraId="08EA985C" w14:textId="7C9349FE" w:rsidR="00632446" w:rsidRPr="004641CA" w:rsidRDefault="00632446" w:rsidP="004641CA">
            <w:pPr>
              <w:jc w:val="right"/>
              <w:cnfStyle w:val="000000100000" w:firstRow="0" w:lastRow="0" w:firstColumn="0" w:lastColumn="0" w:oddVBand="0" w:evenVBand="0" w:oddHBand="1" w:evenHBand="0" w:firstRowFirstColumn="0" w:firstRowLastColumn="0" w:lastRowFirstColumn="0" w:lastRowLastColumn="0"/>
            </w:pPr>
            <w:r w:rsidRPr="004641CA">
              <w:t>0.060</w:t>
            </w:r>
          </w:p>
        </w:tc>
      </w:tr>
      <w:tr w:rsidR="00632446" w:rsidRPr="002C5C44" w14:paraId="4166E64B" w14:textId="77777777" w:rsidTr="001150B7">
        <w:tc>
          <w:tcPr>
            <w:cnfStyle w:val="001000000000" w:firstRow="0" w:lastRow="0" w:firstColumn="1" w:lastColumn="0" w:oddVBand="0" w:evenVBand="0" w:oddHBand="0" w:evenHBand="0" w:firstRowFirstColumn="0" w:firstRowLastColumn="0" w:lastRowFirstColumn="0" w:lastRowLastColumn="0"/>
            <w:tcW w:w="3888" w:type="dxa"/>
            <w:gridSpan w:val="3"/>
            <w:shd w:val="clear" w:color="auto" w:fill="auto"/>
          </w:tcPr>
          <w:p w14:paraId="7BB117F5" w14:textId="3573981A" w:rsidR="00632446" w:rsidRPr="00CF34C7" w:rsidRDefault="00632446" w:rsidP="0091297F">
            <w:pPr>
              <w:rPr>
                <w:b w:val="0"/>
                <w:vertAlign w:val="superscript"/>
              </w:rPr>
            </w:pPr>
            <w:r w:rsidRPr="004641CA">
              <w:rPr>
                <w:b w:val="0"/>
              </w:rPr>
              <w:t>Participation in Organizational Affairs</w:t>
            </w:r>
          </w:p>
        </w:tc>
        <w:tc>
          <w:tcPr>
            <w:tcW w:w="1962" w:type="dxa"/>
            <w:gridSpan w:val="2"/>
            <w:shd w:val="clear" w:color="auto" w:fill="auto"/>
          </w:tcPr>
          <w:p w14:paraId="50FB0926" w14:textId="2A2C4E9C" w:rsidR="00632446" w:rsidRPr="004641CA" w:rsidRDefault="00632446" w:rsidP="004641CA">
            <w:pPr>
              <w:jc w:val="right"/>
              <w:cnfStyle w:val="000000000000" w:firstRow="0" w:lastRow="0" w:firstColumn="0" w:lastColumn="0" w:oddVBand="0" w:evenVBand="0" w:oddHBand="0" w:evenHBand="0" w:firstRowFirstColumn="0" w:firstRowLastColumn="0" w:lastRowFirstColumn="0" w:lastRowLastColumn="0"/>
            </w:pPr>
            <w:r>
              <w:t>-1.36 (0.572)</w:t>
            </w:r>
          </w:p>
        </w:tc>
        <w:tc>
          <w:tcPr>
            <w:tcW w:w="884" w:type="dxa"/>
            <w:gridSpan w:val="3"/>
            <w:shd w:val="clear" w:color="auto" w:fill="auto"/>
          </w:tcPr>
          <w:p w14:paraId="61C77369" w14:textId="55163BA5" w:rsidR="00632446" w:rsidRPr="004641CA" w:rsidRDefault="00632446" w:rsidP="00A14A52">
            <w:pPr>
              <w:cnfStyle w:val="000000000000" w:firstRow="0" w:lastRow="0" w:firstColumn="0" w:lastColumn="0" w:oddVBand="0" w:evenVBand="0" w:oddHBand="0" w:evenHBand="0" w:firstRowFirstColumn="0" w:firstRowLastColumn="0" w:lastRowFirstColumn="0" w:lastRowLastColumn="0"/>
            </w:pPr>
            <w:r w:rsidRPr="004641CA">
              <w:t>0.019</w:t>
            </w:r>
          </w:p>
        </w:tc>
        <w:tc>
          <w:tcPr>
            <w:tcW w:w="1906" w:type="dxa"/>
            <w:gridSpan w:val="2"/>
            <w:shd w:val="clear" w:color="auto" w:fill="auto"/>
          </w:tcPr>
          <w:p w14:paraId="0CAEE282" w14:textId="5ECC45D4" w:rsidR="00632446" w:rsidRPr="004641CA" w:rsidRDefault="00632446" w:rsidP="00632446">
            <w:pPr>
              <w:jc w:val="right"/>
              <w:cnfStyle w:val="000000000000" w:firstRow="0" w:lastRow="0" w:firstColumn="0" w:lastColumn="0" w:oddVBand="0" w:evenVBand="0" w:oddHBand="0" w:evenHBand="0" w:firstRowFirstColumn="0" w:firstRowLastColumn="0" w:lastRowFirstColumn="0" w:lastRowLastColumn="0"/>
            </w:pPr>
            <w:r>
              <w:t>1.97 (0.659)</w:t>
            </w:r>
          </w:p>
        </w:tc>
        <w:tc>
          <w:tcPr>
            <w:tcW w:w="720" w:type="dxa"/>
            <w:gridSpan w:val="2"/>
            <w:shd w:val="clear" w:color="auto" w:fill="auto"/>
          </w:tcPr>
          <w:p w14:paraId="08BC787C" w14:textId="1519751F" w:rsidR="00632446" w:rsidRPr="004641CA" w:rsidRDefault="00632446" w:rsidP="004641CA">
            <w:pPr>
              <w:jc w:val="right"/>
              <w:cnfStyle w:val="000000000000" w:firstRow="0" w:lastRow="0" w:firstColumn="0" w:lastColumn="0" w:oddVBand="0" w:evenVBand="0" w:oddHBand="0" w:evenHBand="0" w:firstRowFirstColumn="0" w:firstRowLastColumn="0" w:lastRowFirstColumn="0" w:lastRowLastColumn="0"/>
            </w:pPr>
            <w:r w:rsidRPr="004641CA">
              <w:t>0.003</w:t>
            </w:r>
          </w:p>
        </w:tc>
      </w:tr>
      <w:tr w:rsidR="00632446" w14:paraId="066E0B1F" w14:textId="77777777" w:rsidTr="00510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gridSpan w:val="3"/>
            <w:shd w:val="clear" w:color="auto" w:fill="auto"/>
          </w:tcPr>
          <w:p w14:paraId="239D9C65" w14:textId="4DB715F9" w:rsidR="00632446" w:rsidRPr="004641CA" w:rsidRDefault="00632446" w:rsidP="00C312AB">
            <w:pPr>
              <w:rPr>
                <w:b w:val="0"/>
              </w:rPr>
            </w:pPr>
            <w:r w:rsidRPr="004641CA">
              <w:rPr>
                <w:b w:val="0"/>
              </w:rPr>
              <w:t xml:space="preserve">     Emotional Exhaustion</w:t>
            </w:r>
          </w:p>
        </w:tc>
        <w:tc>
          <w:tcPr>
            <w:tcW w:w="1962" w:type="dxa"/>
            <w:gridSpan w:val="2"/>
            <w:shd w:val="clear" w:color="auto" w:fill="auto"/>
          </w:tcPr>
          <w:p w14:paraId="54908C9C" w14:textId="6D378A16" w:rsidR="00632446" w:rsidRPr="004641CA" w:rsidRDefault="00632446" w:rsidP="004641CA">
            <w:pPr>
              <w:jc w:val="right"/>
              <w:cnfStyle w:val="000000100000" w:firstRow="0" w:lastRow="0" w:firstColumn="0" w:lastColumn="0" w:oddVBand="0" w:evenVBand="0" w:oddHBand="1" w:evenHBand="0" w:firstRowFirstColumn="0" w:firstRowLastColumn="0" w:lastRowFirstColumn="0" w:lastRowLastColumn="0"/>
            </w:pPr>
            <w:r>
              <w:t>-0.24 (0.113)</w:t>
            </w:r>
          </w:p>
        </w:tc>
        <w:tc>
          <w:tcPr>
            <w:tcW w:w="884" w:type="dxa"/>
            <w:gridSpan w:val="3"/>
            <w:shd w:val="clear" w:color="auto" w:fill="auto"/>
          </w:tcPr>
          <w:p w14:paraId="50FE6DD4" w14:textId="499AD956" w:rsidR="00632446" w:rsidRPr="004641CA" w:rsidRDefault="00632446" w:rsidP="00A14A52">
            <w:pPr>
              <w:cnfStyle w:val="000000100000" w:firstRow="0" w:lastRow="0" w:firstColumn="0" w:lastColumn="0" w:oddVBand="0" w:evenVBand="0" w:oddHBand="1" w:evenHBand="0" w:firstRowFirstColumn="0" w:firstRowLastColumn="0" w:lastRowFirstColumn="0" w:lastRowLastColumn="0"/>
            </w:pPr>
            <w:r w:rsidRPr="004641CA">
              <w:t>0.036</w:t>
            </w:r>
          </w:p>
        </w:tc>
        <w:tc>
          <w:tcPr>
            <w:tcW w:w="1906" w:type="dxa"/>
            <w:gridSpan w:val="2"/>
            <w:shd w:val="clear" w:color="auto" w:fill="auto"/>
          </w:tcPr>
          <w:p w14:paraId="6D0F7079" w14:textId="2E409AA4" w:rsidR="00632446" w:rsidRPr="004641CA" w:rsidRDefault="00632446" w:rsidP="00EF6783">
            <w:pPr>
              <w:jc w:val="right"/>
              <w:cnfStyle w:val="000000100000" w:firstRow="0" w:lastRow="0" w:firstColumn="0" w:lastColumn="0" w:oddVBand="0" w:evenVBand="0" w:oddHBand="1" w:evenHBand="0" w:firstRowFirstColumn="0" w:firstRowLastColumn="0" w:lastRowFirstColumn="0" w:lastRowLastColumn="0"/>
            </w:pPr>
            <w:r>
              <w:t>0.26 (0.130)</w:t>
            </w:r>
          </w:p>
        </w:tc>
        <w:tc>
          <w:tcPr>
            <w:tcW w:w="720" w:type="dxa"/>
            <w:gridSpan w:val="2"/>
            <w:shd w:val="clear" w:color="auto" w:fill="auto"/>
          </w:tcPr>
          <w:p w14:paraId="5E5538B9" w14:textId="2C344A34" w:rsidR="00632446" w:rsidRPr="004641CA" w:rsidRDefault="00632446" w:rsidP="004641CA">
            <w:pPr>
              <w:jc w:val="right"/>
              <w:cnfStyle w:val="000000100000" w:firstRow="0" w:lastRow="0" w:firstColumn="0" w:lastColumn="0" w:oddVBand="0" w:evenVBand="0" w:oddHBand="1" w:evenHBand="0" w:firstRowFirstColumn="0" w:firstRowLastColumn="0" w:lastRowFirstColumn="0" w:lastRowLastColumn="0"/>
            </w:pPr>
            <w:r w:rsidRPr="004641CA">
              <w:t>0.045</w:t>
            </w:r>
          </w:p>
        </w:tc>
      </w:tr>
      <w:tr w:rsidR="00632446" w14:paraId="119DE5B3" w14:textId="77777777" w:rsidTr="00B94D12">
        <w:tc>
          <w:tcPr>
            <w:cnfStyle w:val="001000000000" w:firstRow="0" w:lastRow="0" w:firstColumn="1" w:lastColumn="0" w:oddVBand="0" w:evenVBand="0" w:oddHBand="0" w:evenHBand="0" w:firstRowFirstColumn="0" w:firstRowLastColumn="0" w:lastRowFirstColumn="0" w:lastRowLastColumn="0"/>
            <w:tcW w:w="3888" w:type="dxa"/>
            <w:gridSpan w:val="3"/>
            <w:shd w:val="clear" w:color="auto" w:fill="auto"/>
          </w:tcPr>
          <w:p w14:paraId="46AD45AE" w14:textId="6B02C7B4" w:rsidR="00632446" w:rsidRPr="004641CA" w:rsidRDefault="00632446" w:rsidP="009F45F1">
            <w:pPr>
              <w:rPr>
                <w:b w:val="0"/>
              </w:rPr>
            </w:pPr>
            <w:r w:rsidRPr="004641CA">
              <w:rPr>
                <w:b w:val="0"/>
              </w:rPr>
              <w:t xml:space="preserve">     Interaction</w:t>
            </w:r>
            <w:r w:rsidRPr="00632446">
              <w:rPr>
                <w:b w:val="0"/>
                <w:vertAlign w:val="superscript"/>
              </w:rPr>
              <w:t>§</w:t>
            </w:r>
          </w:p>
        </w:tc>
        <w:tc>
          <w:tcPr>
            <w:tcW w:w="1962" w:type="dxa"/>
            <w:gridSpan w:val="2"/>
            <w:shd w:val="clear" w:color="auto" w:fill="auto"/>
          </w:tcPr>
          <w:p w14:paraId="6BC78E57" w14:textId="0F612CF8" w:rsidR="00632446" w:rsidRPr="004641CA" w:rsidRDefault="00632446" w:rsidP="004641CA">
            <w:pPr>
              <w:jc w:val="right"/>
              <w:cnfStyle w:val="000000000000" w:firstRow="0" w:lastRow="0" w:firstColumn="0" w:lastColumn="0" w:oddVBand="0" w:evenVBand="0" w:oddHBand="0" w:evenHBand="0" w:firstRowFirstColumn="0" w:firstRowLastColumn="0" w:lastRowFirstColumn="0" w:lastRowLastColumn="0"/>
            </w:pPr>
            <w:r w:rsidRPr="004641CA">
              <w:t>-0.13</w:t>
            </w:r>
            <w:r>
              <w:t xml:space="preserve"> (0.073)</w:t>
            </w:r>
          </w:p>
        </w:tc>
        <w:tc>
          <w:tcPr>
            <w:tcW w:w="884" w:type="dxa"/>
            <w:gridSpan w:val="3"/>
            <w:shd w:val="clear" w:color="auto" w:fill="auto"/>
          </w:tcPr>
          <w:p w14:paraId="246E499F" w14:textId="486F2ABE" w:rsidR="00632446" w:rsidRPr="004641CA" w:rsidRDefault="00632446" w:rsidP="00A14A52">
            <w:pPr>
              <w:cnfStyle w:val="000000000000" w:firstRow="0" w:lastRow="0" w:firstColumn="0" w:lastColumn="0" w:oddVBand="0" w:evenVBand="0" w:oddHBand="0" w:evenHBand="0" w:firstRowFirstColumn="0" w:firstRowLastColumn="0" w:lastRowFirstColumn="0" w:lastRowLastColumn="0"/>
            </w:pPr>
            <w:r w:rsidRPr="004641CA">
              <w:t>0.078</w:t>
            </w:r>
          </w:p>
        </w:tc>
        <w:tc>
          <w:tcPr>
            <w:tcW w:w="1906" w:type="dxa"/>
            <w:gridSpan w:val="2"/>
            <w:shd w:val="clear" w:color="auto" w:fill="auto"/>
          </w:tcPr>
          <w:p w14:paraId="2A518B3F" w14:textId="30393E6E" w:rsidR="00632446" w:rsidRPr="004641CA" w:rsidRDefault="00632446" w:rsidP="00EF6783">
            <w:pPr>
              <w:jc w:val="right"/>
              <w:cnfStyle w:val="000000000000" w:firstRow="0" w:lastRow="0" w:firstColumn="0" w:lastColumn="0" w:oddVBand="0" w:evenVBand="0" w:oddHBand="0" w:evenHBand="0" w:firstRowFirstColumn="0" w:firstRowLastColumn="0" w:lastRowFirstColumn="0" w:lastRowLastColumn="0"/>
            </w:pPr>
            <w:r w:rsidRPr="004641CA">
              <w:t>0.16</w:t>
            </w:r>
            <w:r>
              <w:t xml:space="preserve"> (0.084)</w:t>
            </w:r>
          </w:p>
        </w:tc>
        <w:tc>
          <w:tcPr>
            <w:tcW w:w="720" w:type="dxa"/>
            <w:gridSpan w:val="2"/>
            <w:shd w:val="clear" w:color="auto" w:fill="auto"/>
          </w:tcPr>
          <w:p w14:paraId="62DB4974" w14:textId="045ACC05" w:rsidR="00632446" w:rsidRPr="004641CA" w:rsidRDefault="00632446" w:rsidP="004641CA">
            <w:pPr>
              <w:jc w:val="right"/>
              <w:cnfStyle w:val="000000000000" w:firstRow="0" w:lastRow="0" w:firstColumn="0" w:lastColumn="0" w:oddVBand="0" w:evenVBand="0" w:oddHBand="0" w:evenHBand="0" w:firstRowFirstColumn="0" w:firstRowLastColumn="0" w:lastRowFirstColumn="0" w:lastRowLastColumn="0"/>
            </w:pPr>
            <w:r w:rsidRPr="004641CA">
              <w:t>0.056</w:t>
            </w:r>
          </w:p>
        </w:tc>
      </w:tr>
      <w:tr w:rsidR="00632446" w14:paraId="0963EC95" w14:textId="77777777" w:rsidTr="00531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gridSpan w:val="3"/>
            <w:shd w:val="clear" w:color="auto" w:fill="auto"/>
          </w:tcPr>
          <w:p w14:paraId="6DE6B874" w14:textId="55E20803" w:rsidR="00632446" w:rsidRPr="004641CA" w:rsidRDefault="00632446" w:rsidP="0091297F">
            <w:r w:rsidRPr="004641CA">
              <w:rPr>
                <w:b w:val="0"/>
              </w:rPr>
              <w:t>Collegial Nurse-Physician Relations</w:t>
            </w:r>
          </w:p>
        </w:tc>
        <w:tc>
          <w:tcPr>
            <w:tcW w:w="1962" w:type="dxa"/>
            <w:gridSpan w:val="2"/>
            <w:shd w:val="clear" w:color="auto" w:fill="auto"/>
          </w:tcPr>
          <w:p w14:paraId="600A0F93" w14:textId="0B593F3C" w:rsidR="00632446" w:rsidRDefault="00632446" w:rsidP="004641CA">
            <w:pPr>
              <w:jc w:val="right"/>
              <w:cnfStyle w:val="000000100000" w:firstRow="0" w:lastRow="0" w:firstColumn="0" w:lastColumn="0" w:oddVBand="0" w:evenVBand="0" w:oddHBand="1" w:evenHBand="0" w:firstRowFirstColumn="0" w:firstRowLastColumn="0" w:lastRowFirstColumn="0" w:lastRowLastColumn="0"/>
            </w:pPr>
            <w:r w:rsidRPr="004641CA">
              <w:t>-</w:t>
            </w:r>
            <w:r>
              <w:t>0</w:t>
            </w:r>
            <w:r w:rsidRPr="004641CA">
              <w:t>.38</w:t>
            </w:r>
            <w:r>
              <w:t xml:space="preserve"> (0.556)</w:t>
            </w:r>
          </w:p>
        </w:tc>
        <w:tc>
          <w:tcPr>
            <w:tcW w:w="884" w:type="dxa"/>
            <w:gridSpan w:val="3"/>
            <w:shd w:val="clear" w:color="auto" w:fill="auto"/>
          </w:tcPr>
          <w:p w14:paraId="7D047056" w14:textId="1818F9AD" w:rsidR="00632446" w:rsidRPr="004641CA" w:rsidRDefault="00632446" w:rsidP="00A14A52">
            <w:pPr>
              <w:cnfStyle w:val="000000100000" w:firstRow="0" w:lastRow="0" w:firstColumn="0" w:lastColumn="0" w:oddVBand="0" w:evenVBand="0" w:oddHBand="1" w:evenHBand="0" w:firstRowFirstColumn="0" w:firstRowLastColumn="0" w:lastRowFirstColumn="0" w:lastRowLastColumn="0"/>
            </w:pPr>
            <w:r w:rsidRPr="004641CA">
              <w:t>0.501</w:t>
            </w:r>
          </w:p>
        </w:tc>
        <w:tc>
          <w:tcPr>
            <w:tcW w:w="1906" w:type="dxa"/>
            <w:gridSpan w:val="2"/>
            <w:shd w:val="clear" w:color="auto" w:fill="auto"/>
          </w:tcPr>
          <w:p w14:paraId="49D394A0" w14:textId="0F415C16" w:rsidR="00632446" w:rsidRDefault="00632446" w:rsidP="00EF6783">
            <w:pPr>
              <w:jc w:val="right"/>
              <w:cnfStyle w:val="000000100000" w:firstRow="0" w:lastRow="0" w:firstColumn="0" w:lastColumn="0" w:oddVBand="0" w:evenVBand="0" w:oddHBand="1" w:evenHBand="0" w:firstRowFirstColumn="0" w:firstRowLastColumn="0" w:lastRowFirstColumn="0" w:lastRowLastColumn="0"/>
            </w:pPr>
            <w:r w:rsidRPr="004641CA">
              <w:t>0.32</w:t>
            </w:r>
            <w:r>
              <w:t xml:space="preserve"> (0.651)</w:t>
            </w:r>
          </w:p>
        </w:tc>
        <w:tc>
          <w:tcPr>
            <w:tcW w:w="720" w:type="dxa"/>
            <w:gridSpan w:val="2"/>
            <w:shd w:val="clear" w:color="auto" w:fill="auto"/>
          </w:tcPr>
          <w:p w14:paraId="54F9ACB8" w14:textId="19B2E88D" w:rsidR="00632446" w:rsidRPr="004641CA" w:rsidRDefault="00632446" w:rsidP="004641CA">
            <w:pPr>
              <w:jc w:val="right"/>
              <w:cnfStyle w:val="000000100000" w:firstRow="0" w:lastRow="0" w:firstColumn="0" w:lastColumn="0" w:oddVBand="0" w:evenVBand="0" w:oddHBand="1" w:evenHBand="0" w:firstRowFirstColumn="0" w:firstRowLastColumn="0" w:lastRowFirstColumn="0" w:lastRowLastColumn="0"/>
            </w:pPr>
            <w:r w:rsidRPr="004641CA">
              <w:t>0.627</w:t>
            </w:r>
          </w:p>
        </w:tc>
      </w:tr>
      <w:tr w:rsidR="00632446" w14:paraId="3294FF92" w14:textId="77777777" w:rsidTr="00341264">
        <w:tc>
          <w:tcPr>
            <w:cnfStyle w:val="001000000000" w:firstRow="0" w:lastRow="0" w:firstColumn="1" w:lastColumn="0" w:oddVBand="0" w:evenVBand="0" w:oddHBand="0" w:evenHBand="0" w:firstRowFirstColumn="0" w:firstRowLastColumn="0" w:lastRowFirstColumn="0" w:lastRowLastColumn="0"/>
            <w:tcW w:w="3888" w:type="dxa"/>
            <w:gridSpan w:val="3"/>
            <w:shd w:val="clear" w:color="auto" w:fill="auto"/>
          </w:tcPr>
          <w:p w14:paraId="0B681BB8" w14:textId="10391D9C" w:rsidR="00632446" w:rsidRPr="004641CA" w:rsidRDefault="00632446" w:rsidP="009F45F1">
            <w:r>
              <w:rPr>
                <w:b w:val="0"/>
              </w:rPr>
              <w:t xml:space="preserve">     </w:t>
            </w:r>
            <w:r>
              <w:rPr>
                <w:b w:val="0"/>
              </w:rPr>
              <w:t>Emotional Exhaustion</w:t>
            </w:r>
          </w:p>
        </w:tc>
        <w:tc>
          <w:tcPr>
            <w:tcW w:w="1962" w:type="dxa"/>
            <w:gridSpan w:val="2"/>
            <w:shd w:val="clear" w:color="auto" w:fill="auto"/>
          </w:tcPr>
          <w:p w14:paraId="68F5DA85" w14:textId="79ED9AEA" w:rsidR="00632446" w:rsidRDefault="00632446" w:rsidP="004641CA">
            <w:pPr>
              <w:jc w:val="right"/>
              <w:cnfStyle w:val="000000000000" w:firstRow="0" w:lastRow="0" w:firstColumn="0" w:lastColumn="0" w:oddVBand="0" w:evenVBand="0" w:oddHBand="0" w:evenHBand="0" w:firstRowFirstColumn="0" w:firstRowLastColumn="0" w:lastRowFirstColumn="0" w:lastRowLastColumn="0"/>
            </w:pPr>
            <w:r>
              <w:t>-0.11</w:t>
            </w:r>
            <w:r>
              <w:t xml:space="preserve"> (0.107)</w:t>
            </w:r>
          </w:p>
        </w:tc>
        <w:tc>
          <w:tcPr>
            <w:tcW w:w="884" w:type="dxa"/>
            <w:gridSpan w:val="3"/>
            <w:shd w:val="clear" w:color="auto" w:fill="auto"/>
          </w:tcPr>
          <w:p w14:paraId="3ACD089E" w14:textId="119C8390" w:rsidR="00632446" w:rsidRPr="004641CA" w:rsidRDefault="00632446" w:rsidP="00A14A52">
            <w:pPr>
              <w:cnfStyle w:val="000000000000" w:firstRow="0" w:lastRow="0" w:firstColumn="0" w:lastColumn="0" w:oddVBand="0" w:evenVBand="0" w:oddHBand="0" w:evenHBand="0" w:firstRowFirstColumn="0" w:firstRowLastColumn="0" w:lastRowFirstColumn="0" w:lastRowLastColumn="0"/>
            </w:pPr>
            <w:r w:rsidRPr="004641CA">
              <w:t>0.299</w:t>
            </w:r>
          </w:p>
        </w:tc>
        <w:tc>
          <w:tcPr>
            <w:tcW w:w="1906" w:type="dxa"/>
            <w:gridSpan w:val="2"/>
            <w:shd w:val="clear" w:color="auto" w:fill="auto"/>
          </w:tcPr>
          <w:p w14:paraId="6462532D" w14:textId="27B7930F" w:rsidR="00632446" w:rsidRDefault="00632446" w:rsidP="00EF6783">
            <w:pPr>
              <w:jc w:val="right"/>
              <w:cnfStyle w:val="000000000000" w:firstRow="0" w:lastRow="0" w:firstColumn="0" w:lastColumn="0" w:oddVBand="0" w:evenVBand="0" w:oddHBand="0" w:evenHBand="0" w:firstRowFirstColumn="0" w:firstRowLastColumn="0" w:lastRowFirstColumn="0" w:lastRowLastColumn="0"/>
            </w:pPr>
            <w:r>
              <w:t>0.07 (0.126)</w:t>
            </w:r>
          </w:p>
        </w:tc>
        <w:tc>
          <w:tcPr>
            <w:tcW w:w="720" w:type="dxa"/>
            <w:gridSpan w:val="2"/>
            <w:shd w:val="clear" w:color="auto" w:fill="auto"/>
          </w:tcPr>
          <w:p w14:paraId="2B1DD584" w14:textId="6FC5C54C" w:rsidR="00632446" w:rsidRPr="004641CA" w:rsidRDefault="00632446" w:rsidP="004641CA">
            <w:pPr>
              <w:jc w:val="right"/>
              <w:cnfStyle w:val="000000000000" w:firstRow="0" w:lastRow="0" w:firstColumn="0" w:lastColumn="0" w:oddVBand="0" w:evenVBand="0" w:oddHBand="0" w:evenHBand="0" w:firstRowFirstColumn="0" w:firstRowLastColumn="0" w:lastRowFirstColumn="0" w:lastRowLastColumn="0"/>
            </w:pPr>
            <w:r w:rsidRPr="004641CA">
              <w:t>0.576</w:t>
            </w:r>
          </w:p>
        </w:tc>
      </w:tr>
      <w:tr w:rsidR="00632446" w14:paraId="4D37477B" w14:textId="77777777" w:rsidTr="00071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gridSpan w:val="3"/>
            <w:tcBorders>
              <w:bottom w:val="single" w:sz="4" w:space="0" w:color="auto"/>
            </w:tcBorders>
            <w:shd w:val="clear" w:color="auto" w:fill="auto"/>
          </w:tcPr>
          <w:p w14:paraId="484B6AE2" w14:textId="64B425A5" w:rsidR="00632446" w:rsidRDefault="00632446" w:rsidP="009F45F1">
            <w:pPr>
              <w:rPr>
                <w:b w:val="0"/>
              </w:rPr>
            </w:pPr>
            <w:r>
              <w:rPr>
                <w:b w:val="0"/>
              </w:rPr>
              <w:t xml:space="preserve">     </w:t>
            </w:r>
            <w:r w:rsidRPr="00431C71">
              <w:rPr>
                <w:b w:val="0"/>
              </w:rPr>
              <w:t>Interaction</w:t>
            </w:r>
            <w:r w:rsidRPr="00632446">
              <w:rPr>
                <w:b w:val="0"/>
                <w:vertAlign w:val="superscript"/>
              </w:rPr>
              <w:t>§</w:t>
            </w:r>
          </w:p>
        </w:tc>
        <w:tc>
          <w:tcPr>
            <w:tcW w:w="1962" w:type="dxa"/>
            <w:gridSpan w:val="2"/>
            <w:tcBorders>
              <w:bottom w:val="single" w:sz="4" w:space="0" w:color="auto"/>
            </w:tcBorders>
            <w:shd w:val="clear" w:color="auto" w:fill="auto"/>
          </w:tcPr>
          <w:p w14:paraId="70196C3D" w14:textId="29C146D5" w:rsidR="00632446" w:rsidRDefault="00632446" w:rsidP="004641CA">
            <w:pPr>
              <w:jc w:val="right"/>
              <w:cnfStyle w:val="000000100000" w:firstRow="0" w:lastRow="0" w:firstColumn="0" w:lastColumn="0" w:oddVBand="0" w:evenVBand="0" w:oddHBand="1" w:evenHBand="0" w:firstRowFirstColumn="0" w:firstRowLastColumn="0" w:lastRowFirstColumn="0" w:lastRowLastColumn="0"/>
            </w:pPr>
            <w:r>
              <w:t>-0.10</w:t>
            </w:r>
            <w:r>
              <w:t xml:space="preserve"> (0.084)</w:t>
            </w:r>
          </w:p>
        </w:tc>
        <w:tc>
          <w:tcPr>
            <w:tcW w:w="884" w:type="dxa"/>
            <w:gridSpan w:val="3"/>
            <w:tcBorders>
              <w:bottom w:val="single" w:sz="4" w:space="0" w:color="auto"/>
            </w:tcBorders>
            <w:shd w:val="clear" w:color="auto" w:fill="auto"/>
          </w:tcPr>
          <w:p w14:paraId="1A5A52E1" w14:textId="1E13D68F" w:rsidR="00632446" w:rsidRPr="004641CA" w:rsidRDefault="00632446" w:rsidP="00A14A52">
            <w:pPr>
              <w:cnfStyle w:val="000000100000" w:firstRow="0" w:lastRow="0" w:firstColumn="0" w:lastColumn="0" w:oddVBand="0" w:evenVBand="0" w:oddHBand="1" w:evenHBand="0" w:firstRowFirstColumn="0" w:firstRowLastColumn="0" w:lastRowFirstColumn="0" w:lastRowLastColumn="0"/>
            </w:pPr>
            <w:r w:rsidRPr="004641CA">
              <w:t>0.252</w:t>
            </w:r>
          </w:p>
        </w:tc>
        <w:tc>
          <w:tcPr>
            <w:tcW w:w="1906" w:type="dxa"/>
            <w:gridSpan w:val="2"/>
            <w:tcBorders>
              <w:bottom w:val="single" w:sz="4" w:space="0" w:color="auto"/>
            </w:tcBorders>
            <w:shd w:val="clear" w:color="auto" w:fill="auto"/>
          </w:tcPr>
          <w:p w14:paraId="6CD24A71" w14:textId="09557611" w:rsidR="00632446" w:rsidRDefault="00632446" w:rsidP="00EF6783">
            <w:pPr>
              <w:jc w:val="right"/>
              <w:cnfStyle w:val="000000100000" w:firstRow="0" w:lastRow="0" w:firstColumn="0" w:lastColumn="0" w:oddVBand="0" w:evenVBand="0" w:oddHBand="1" w:evenHBand="0" w:firstRowFirstColumn="0" w:firstRowLastColumn="0" w:lastRowFirstColumn="0" w:lastRowLastColumn="0"/>
            </w:pPr>
            <w:r>
              <w:t>0.10 (0.099)</w:t>
            </w:r>
          </w:p>
        </w:tc>
        <w:tc>
          <w:tcPr>
            <w:tcW w:w="720" w:type="dxa"/>
            <w:gridSpan w:val="2"/>
            <w:tcBorders>
              <w:bottom w:val="single" w:sz="4" w:space="0" w:color="auto"/>
            </w:tcBorders>
            <w:shd w:val="clear" w:color="auto" w:fill="auto"/>
          </w:tcPr>
          <w:p w14:paraId="5A7ECACF" w14:textId="3BC1463D" w:rsidR="00632446" w:rsidRPr="004641CA" w:rsidRDefault="00632446" w:rsidP="004641CA">
            <w:pPr>
              <w:jc w:val="right"/>
              <w:cnfStyle w:val="000000100000" w:firstRow="0" w:lastRow="0" w:firstColumn="0" w:lastColumn="0" w:oddVBand="0" w:evenVBand="0" w:oddHBand="1" w:evenHBand="0" w:firstRowFirstColumn="0" w:firstRowLastColumn="0" w:lastRowFirstColumn="0" w:lastRowLastColumn="0"/>
            </w:pPr>
            <w:r w:rsidRPr="004641CA">
              <w:t>0.294</w:t>
            </w:r>
          </w:p>
        </w:tc>
      </w:tr>
      <w:tr w:rsidR="00071A05" w14:paraId="12AA0BB0" w14:textId="77777777" w:rsidTr="00071A05">
        <w:tc>
          <w:tcPr>
            <w:cnfStyle w:val="001000000000" w:firstRow="0" w:lastRow="0" w:firstColumn="1" w:lastColumn="0" w:oddVBand="0" w:evenVBand="0" w:oddHBand="0" w:evenHBand="0" w:firstRowFirstColumn="0" w:firstRowLastColumn="0" w:lastRowFirstColumn="0" w:lastRowLastColumn="0"/>
            <w:tcW w:w="9360" w:type="dxa"/>
            <w:gridSpan w:val="12"/>
            <w:tcBorders>
              <w:top w:val="single" w:sz="4" w:space="0" w:color="auto"/>
              <w:bottom w:val="single" w:sz="12" w:space="0" w:color="auto"/>
            </w:tcBorders>
            <w:shd w:val="clear" w:color="auto" w:fill="auto"/>
          </w:tcPr>
          <w:p w14:paraId="172BC776" w14:textId="77777777" w:rsidR="00071A05" w:rsidRPr="00071A05" w:rsidRDefault="00071A05" w:rsidP="00071A05">
            <w:pPr>
              <w:contextualSpacing/>
              <w:rPr>
                <w:b w:val="0"/>
              </w:rPr>
            </w:pPr>
            <w:r w:rsidRPr="00071A05">
              <w:rPr>
                <w:b w:val="0"/>
              </w:rPr>
              <w:t>*Models are all adjusted for State (California, New Jersey, Pennsylvania)</w:t>
            </w:r>
          </w:p>
          <w:p w14:paraId="058FB1FE" w14:textId="77777777" w:rsidR="00071A05" w:rsidRPr="00071A05" w:rsidRDefault="00071A05" w:rsidP="00071A05">
            <w:pPr>
              <w:contextualSpacing/>
              <w:rPr>
                <w:b w:val="0"/>
              </w:rPr>
            </w:pPr>
            <w:r w:rsidRPr="00071A05">
              <w:rPr>
                <w:b w:val="0"/>
                <w:vertAlign w:val="superscript"/>
              </w:rPr>
              <w:t>§</w:t>
            </w:r>
            <w:r w:rsidRPr="00071A05">
              <w:rPr>
                <w:b w:val="0"/>
              </w:rPr>
              <w:t>Interaction between Sub-scale of Work Environment and Nurse Burnout</w:t>
            </w:r>
          </w:p>
          <w:p w14:paraId="74AC129F" w14:textId="20ED8658" w:rsidR="00071A05" w:rsidRPr="00071A05" w:rsidRDefault="00071A05" w:rsidP="00071A05">
            <w:pPr>
              <w:contextualSpacing/>
              <w:rPr>
                <w:b w:val="0"/>
              </w:rPr>
            </w:pPr>
            <w:r>
              <w:rPr>
                <w:b w:val="0"/>
              </w:rPr>
              <w:t xml:space="preserve">Work Environment Sub-scale </w:t>
            </w:r>
            <w:r w:rsidRPr="00071A05">
              <w:rPr>
                <w:b w:val="0"/>
              </w:rPr>
              <w:t>Mod</w:t>
            </w:r>
            <w:bookmarkStart w:id="0" w:name="_GoBack"/>
            <w:bookmarkEnd w:id="0"/>
            <w:r w:rsidRPr="00071A05">
              <w:rPr>
                <w:b w:val="0"/>
              </w:rPr>
              <w:t>el Statistics: Acute Hospitalizations; Community Discharge</w:t>
            </w:r>
          </w:p>
          <w:p w14:paraId="08534431" w14:textId="77777777" w:rsidR="00071A05" w:rsidRPr="00071A05" w:rsidRDefault="00071A05" w:rsidP="00071A05">
            <w:pPr>
              <w:contextualSpacing/>
              <w:rPr>
                <w:b w:val="0"/>
              </w:rPr>
            </w:pPr>
            <w:r w:rsidRPr="00071A05">
              <w:rPr>
                <w:b w:val="0"/>
                <w:vertAlign w:val="superscript"/>
              </w:rPr>
              <w:t>†</w:t>
            </w:r>
            <w:r w:rsidRPr="00071A05">
              <w:rPr>
                <w:b w:val="0"/>
              </w:rPr>
              <w:t xml:space="preserve">NMLS </w:t>
            </w:r>
            <w:r w:rsidRPr="00071A05">
              <w:rPr>
                <w:b w:val="0"/>
              </w:rPr>
              <w:tab/>
              <w:t>F(5,112) = 9.30, p &lt; 0.001, R</w:t>
            </w:r>
            <w:r w:rsidRPr="00071A05">
              <w:rPr>
                <w:b w:val="0"/>
                <w:vertAlign w:val="superscript"/>
              </w:rPr>
              <w:t>2</w:t>
            </w:r>
            <w:r w:rsidRPr="00071A05">
              <w:rPr>
                <w:b w:val="0"/>
              </w:rPr>
              <w:t xml:space="preserve"> = 0.293;  </w:t>
            </w:r>
            <w:r w:rsidRPr="00071A05">
              <w:rPr>
                <w:b w:val="0"/>
                <w:vertAlign w:val="superscript"/>
              </w:rPr>
              <w:t>‡</w:t>
            </w:r>
            <w:r w:rsidRPr="00071A05">
              <w:rPr>
                <w:b w:val="0"/>
              </w:rPr>
              <w:t xml:space="preserve">NMLS </w:t>
            </w:r>
            <w:r w:rsidRPr="00071A05">
              <w:rPr>
                <w:b w:val="0"/>
              </w:rPr>
              <w:tab/>
              <w:t>F(5,112) = 7.28, p &lt; 0.001, R</w:t>
            </w:r>
            <w:r w:rsidRPr="00071A05">
              <w:rPr>
                <w:b w:val="0"/>
                <w:vertAlign w:val="superscript"/>
              </w:rPr>
              <w:t>2</w:t>
            </w:r>
            <w:r w:rsidRPr="00071A05">
              <w:rPr>
                <w:b w:val="0"/>
              </w:rPr>
              <w:t xml:space="preserve"> = 0.245</w:t>
            </w:r>
          </w:p>
          <w:p w14:paraId="7D6BCAF6" w14:textId="77777777" w:rsidR="00071A05" w:rsidRPr="00071A05" w:rsidRDefault="00071A05" w:rsidP="00071A05">
            <w:pPr>
              <w:contextualSpacing/>
              <w:rPr>
                <w:b w:val="0"/>
                <w:lang w:val="es-ES_tradnl"/>
              </w:rPr>
            </w:pPr>
            <w:r w:rsidRPr="00071A05">
              <w:rPr>
                <w:b w:val="0"/>
                <w:vertAlign w:val="superscript"/>
                <w:lang w:val="es-ES_tradnl"/>
              </w:rPr>
              <w:t>†</w:t>
            </w:r>
            <w:r w:rsidRPr="00071A05">
              <w:rPr>
                <w:b w:val="0"/>
                <w:lang w:val="es-ES_tradnl"/>
              </w:rPr>
              <w:t xml:space="preserve">SRA </w:t>
            </w:r>
            <w:r w:rsidRPr="00071A05">
              <w:rPr>
                <w:b w:val="0"/>
                <w:lang w:val="es-ES_tradnl"/>
              </w:rPr>
              <w:tab/>
              <w:t>F(5,112) = 6.10, p &lt; 0.001, R</w:t>
            </w:r>
            <w:r w:rsidRPr="00071A05">
              <w:rPr>
                <w:b w:val="0"/>
                <w:vertAlign w:val="superscript"/>
                <w:lang w:val="es-ES_tradnl"/>
              </w:rPr>
              <w:t>2</w:t>
            </w:r>
            <w:r w:rsidRPr="00071A05">
              <w:rPr>
                <w:b w:val="0"/>
                <w:lang w:val="es-ES_tradnl"/>
              </w:rPr>
              <w:t xml:space="preserve"> = 0.214;  </w:t>
            </w:r>
            <w:r w:rsidRPr="00071A05">
              <w:rPr>
                <w:b w:val="0"/>
                <w:vertAlign w:val="superscript"/>
                <w:lang w:val="es-ES_tradnl"/>
              </w:rPr>
              <w:t>‡</w:t>
            </w:r>
            <w:r w:rsidRPr="00071A05">
              <w:rPr>
                <w:b w:val="0"/>
                <w:lang w:val="es-ES_tradnl"/>
              </w:rPr>
              <w:t xml:space="preserve">SRA </w:t>
            </w:r>
            <w:r w:rsidRPr="00071A05">
              <w:rPr>
                <w:b w:val="0"/>
                <w:lang w:val="es-ES_tradnl"/>
              </w:rPr>
              <w:tab/>
              <w:t>F(5,112) = 4.57, p &lt; 0.001, R</w:t>
            </w:r>
            <w:r w:rsidRPr="00071A05">
              <w:rPr>
                <w:b w:val="0"/>
                <w:vertAlign w:val="superscript"/>
                <w:lang w:val="es-ES_tradnl"/>
              </w:rPr>
              <w:t>2</w:t>
            </w:r>
            <w:r w:rsidRPr="00071A05">
              <w:rPr>
                <w:b w:val="0"/>
                <w:lang w:val="es-ES_tradnl"/>
              </w:rPr>
              <w:t xml:space="preserve"> = 0.169</w:t>
            </w:r>
          </w:p>
          <w:p w14:paraId="2B56444B" w14:textId="77777777" w:rsidR="00071A05" w:rsidRPr="00071A05" w:rsidRDefault="00071A05" w:rsidP="00071A05">
            <w:pPr>
              <w:contextualSpacing/>
              <w:rPr>
                <w:b w:val="0"/>
                <w:lang w:val="es-ES_tradnl"/>
              </w:rPr>
            </w:pPr>
            <w:r w:rsidRPr="00071A05">
              <w:rPr>
                <w:b w:val="0"/>
                <w:vertAlign w:val="superscript"/>
                <w:lang w:val="es-ES_tradnl"/>
              </w:rPr>
              <w:t>†</w:t>
            </w:r>
            <w:r w:rsidRPr="00071A05">
              <w:rPr>
                <w:b w:val="0"/>
                <w:lang w:val="es-ES_tradnl"/>
              </w:rPr>
              <w:t xml:space="preserve">NFQC </w:t>
            </w:r>
            <w:r w:rsidRPr="00071A05">
              <w:rPr>
                <w:b w:val="0"/>
                <w:lang w:val="es-ES_tradnl"/>
              </w:rPr>
              <w:tab/>
              <w:t>F(5,112) = 7.50, p &lt; 0.001, R</w:t>
            </w:r>
            <w:r w:rsidRPr="00071A05">
              <w:rPr>
                <w:b w:val="0"/>
                <w:vertAlign w:val="superscript"/>
                <w:lang w:val="es-ES_tradnl"/>
              </w:rPr>
              <w:t>2</w:t>
            </w:r>
            <w:r w:rsidRPr="00071A05">
              <w:rPr>
                <w:b w:val="0"/>
                <w:lang w:val="es-ES_tradnl"/>
              </w:rPr>
              <w:t xml:space="preserve"> = 0.251;  </w:t>
            </w:r>
            <w:r w:rsidRPr="00071A05">
              <w:rPr>
                <w:b w:val="0"/>
                <w:vertAlign w:val="superscript"/>
                <w:lang w:val="es-ES_tradnl"/>
              </w:rPr>
              <w:t>‡</w:t>
            </w:r>
            <w:r w:rsidRPr="00071A05">
              <w:rPr>
                <w:b w:val="0"/>
                <w:lang w:val="es-ES_tradnl"/>
              </w:rPr>
              <w:t>NFQC</w:t>
            </w:r>
            <w:r w:rsidRPr="00071A05">
              <w:rPr>
                <w:b w:val="0"/>
                <w:lang w:val="es-ES_tradnl"/>
              </w:rPr>
              <w:tab/>
              <w:t>F(5,112) = 7.05, p &lt; 0.001, R</w:t>
            </w:r>
            <w:r w:rsidRPr="00071A05">
              <w:rPr>
                <w:b w:val="0"/>
                <w:vertAlign w:val="superscript"/>
                <w:lang w:val="es-ES_tradnl"/>
              </w:rPr>
              <w:t>2</w:t>
            </w:r>
            <w:r w:rsidRPr="00071A05">
              <w:rPr>
                <w:b w:val="0"/>
                <w:lang w:val="es-ES_tradnl"/>
              </w:rPr>
              <w:t xml:space="preserve"> = 0.239</w:t>
            </w:r>
          </w:p>
          <w:p w14:paraId="2786AD91" w14:textId="77777777" w:rsidR="00071A05" w:rsidRPr="00071A05" w:rsidRDefault="00071A05" w:rsidP="00071A05">
            <w:pPr>
              <w:contextualSpacing/>
              <w:rPr>
                <w:b w:val="0"/>
              </w:rPr>
            </w:pPr>
            <w:r w:rsidRPr="00071A05">
              <w:rPr>
                <w:b w:val="0"/>
                <w:vertAlign w:val="superscript"/>
              </w:rPr>
              <w:t>†</w:t>
            </w:r>
            <w:r w:rsidRPr="00071A05">
              <w:rPr>
                <w:b w:val="0"/>
              </w:rPr>
              <w:t xml:space="preserve">POA </w:t>
            </w:r>
            <w:r w:rsidRPr="00071A05">
              <w:rPr>
                <w:b w:val="0"/>
              </w:rPr>
              <w:tab/>
              <w:t>F(5,112) = 6.91, p &lt; 0.001, R</w:t>
            </w:r>
            <w:r w:rsidRPr="00071A05">
              <w:rPr>
                <w:b w:val="0"/>
                <w:vertAlign w:val="superscript"/>
              </w:rPr>
              <w:t>2</w:t>
            </w:r>
            <w:r w:rsidRPr="00071A05">
              <w:rPr>
                <w:b w:val="0"/>
              </w:rPr>
              <w:t xml:space="preserve"> = 0.202;  </w:t>
            </w:r>
            <w:r w:rsidRPr="00071A05">
              <w:rPr>
                <w:b w:val="0"/>
                <w:vertAlign w:val="superscript"/>
              </w:rPr>
              <w:t>‡</w:t>
            </w:r>
            <w:r w:rsidRPr="00071A05">
              <w:rPr>
                <w:b w:val="0"/>
              </w:rPr>
              <w:t xml:space="preserve">POA </w:t>
            </w:r>
            <w:r w:rsidRPr="00071A05">
              <w:rPr>
                <w:b w:val="0"/>
              </w:rPr>
              <w:tab/>
              <w:t>F(5,112) = 5.38, p &lt; 0.001, R</w:t>
            </w:r>
            <w:r w:rsidRPr="00071A05">
              <w:rPr>
                <w:b w:val="0"/>
                <w:vertAlign w:val="superscript"/>
              </w:rPr>
              <w:t>2</w:t>
            </w:r>
            <w:r w:rsidRPr="00071A05">
              <w:rPr>
                <w:b w:val="0"/>
              </w:rPr>
              <w:t xml:space="preserve"> = 0.194</w:t>
            </w:r>
          </w:p>
          <w:p w14:paraId="5F6DCEF9" w14:textId="1DA4463A" w:rsidR="00071A05" w:rsidRPr="00071A05" w:rsidRDefault="00071A05" w:rsidP="00071A05">
            <w:pPr>
              <w:contextualSpacing/>
              <w:rPr>
                <w:b w:val="0"/>
              </w:rPr>
            </w:pPr>
            <w:r w:rsidRPr="00071A05">
              <w:rPr>
                <w:b w:val="0"/>
                <w:vertAlign w:val="superscript"/>
              </w:rPr>
              <w:t>†</w:t>
            </w:r>
            <w:r w:rsidRPr="00071A05">
              <w:rPr>
                <w:b w:val="0"/>
              </w:rPr>
              <w:t>CNPR</w:t>
            </w:r>
            <w:r w:rsidRPr="00071A05">
              <w:rPr>
                <w:b w:val="0"/>
              </w:rPr>
              <w:tab/>
              <w:t>F(5,112) = 5.37, p &lt; 0.001, R</w:t>
            </w:r>
            <w:r w:rsidRPr="00071A05">
              <w:rPr>
                <w:b w:val="0"/>
                <w:vertAlign w:val="superscript"/>
              </w:rPr>
              <w:t>2</w:t>
            </w:r>
            <w:r w:rsidRPr="00071A05">
              <w:rPr>
                <w:b w:val="0"/>
              </w:rPr>
              <w:t xml:space="preserve"> = 0.193;  </w:t>
            </w:r>
            <w:r w:rsidRPr="00071A05">
              <w:rPr>
                <w:b w:val="0"/>
                <w:vertAlign w:val="superscript"/>
              </w:rPr>
              <w:t>‡</w:t>
            </w:r>
            <w:r w:rsidRPr="00071A05">
              <w:rPr>
                <w:b w:val="0"/>
              </w:rPr>
              <w:t>CNPR</w:t>
            </w:r>
            <w:r w:rsidRPr="00071A05">
              <w:rPr>
                <w:b w:val="0"/>
              </w:rPr>
              <w:tab/>
              <w:t>F(5,112) = 3.04, p = 0.01, R</w:t>
            </w:r>
            <w:r w:rsidRPr="00071A05">
              <w:rPr>
                <w:b w:val="0"/>
                <w:vertAlign w:val="superscript"/>
              </w:rPr>
              <w:t>2</w:t>
            </w:r>
            <w:r w:rsidRPr="00071A05">
              <w:rPr>
                <w:b w:val="0"/>
              </w:rPr>
              <w:t xml:space="preserve"> = 0.119</w:t>
            </w:r>
          </w:p>
        </w:tc>
      </w:tr>
    </w:tbl>
    <w:p w14:paraId="208F21A0" w14:textId="77777777" w:rsidR="00071A05" w:rsidRPr="00B70364" w:rsidRDefault="00071A05">
      <w:pPr>
        <w:contextualSpacing/>
      </w:pPr>
    </w:p>
    <w:sectPr w:rsidR="00071A05" w:rsidRPr="00B70364" w:rsidSect="005D7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5C8"/>
    <w:rsid w:val="00052FC4"/>
    <w:rsid w:val="00071A05"/>
    <w:rsid w:val="00174088"/>
    <w:rsid w:val="00242805"/>
    <w:rsid w:val="002C5C44"/>
    <w:rsid w:val="0031493B"/>
    <w:rsid w:val="00352D82"/>
    <w:rsid w:val="004041AF"/>
    <w:rsid w:val="00431C71"/>
    <w:rsid w:val="004641CA"/>
    <w:rsid w:val="004E67DD"/>
    <w:rsid w:val="004F3B7F"/>
    <w:rsid w:val="00513C05"/>
    <w:rsid w:val="00522B72"/>
    <w:rsid w:val="00532E8A"/>
    <w:rsid w:val="005D710E"/>
    <w:rsid w:val="006105C8"/>
    <w:rsid w:val="00612910"/>
    <w:rsid w:val="00632446"/>
    <w:rsid w:val="006A28F0"/>
    <w:rsid w:val="008C3E8E"/>
    <w:rsid w:val="0091297F"/>
    <w:rsid w:val="00944579"/>
    <w:rsid w:val="00A14A52"/>
    <w:rsid w:val="00A70374"/>
    <w:rsid w:val="00B10550"/>
    <w:rsid w:val="00B70364"/>
    <w:rsid w:val="00BE3F59"/>
    <w:rsid w:val="00C34EDE"/>
    <w:rsid w:val="00C3778A"/>
    <w:rsid w:val="00CF34C7"/>
    <w:rsid w:val="00CF6C34"/>
    <w:rsid w:val="00DA26B5"/>
    <w:rsid w:val="00E967CB"/>
    <w:rsid w:val="00EF6783"/>
    <w:rsid w:val="00F33D78"/>
    <w:rsid w:val="00F5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2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D710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D710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2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Jarrín</dc:creator>
  <cp:lastModifiedBy>Olga Jarrín</cp:lastModifiedBy>
  <cp:revision>2</cp:revision>
  <cp:lastPrinted>2014-04-23T20:34:00Z</cp:lastPrinted>
  <dcterms:created xsi:type="dcterms:W3CDTF">2014-05-30T19:05:00Z</dcterms:created>
  <dcterms:modified xsi:type="dcterms:W3CDTF">2014-05-30T19:05:00Z</dcterms:modified>
</cp:coreProperties>
</file>