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4ABA" w14:textId="2C57CDD0" w:rsidR="00401C1A" w:rsidRPr="00952D96" w:rsidRDefault="00952D96" w:rsidP="00952D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D96">
        <w:rPr>
          <w:rFonts w:ascii="Times New Roman" w:hAnsi="Times New Roman" w:cs="Times New Roman"/>
          <w:b/>
          <w:sz w:val="24"/>
          <w:szCs w:val="24"/>
        </w:rPr>
        <w:t>Alternative Approaches to Ensuring Adequate Nurse Staffing: The Effect of State Legislation on Hospital Nurse Staffing</w:t>
      </w:r>
    </w:p>
    <w:p w14:paraId="51CCA30D" w14:textId="77777777" w:rsidR="00504102" w:rsidRDefault="006F611B" w:rsidP="00D10E2F">
      <w:pPr>
        <w:spacing w:before="12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D10E2F">
        <w:rPr>
          <w:rFonts w:ascii="Times New Roman" w:hAnsi="Times New Roman" w:cs="Times New Roman"/>
          <w:b/>
          <w:sz w:val="24"/>
        </w:rPr>
        <w:t>Appendix</w:t>
      </w:r>
    </w:p>
    <w:p w14:paraId="4C1A76E8" w14:textId="77777777" w:rsidR="0043624E" w:rsidRDefault="008773FF" w:rsidP="00401C1A">
      <w:pPr>
        <w:spacing w:before="120" w:line="480" w:lineRule="auto"/>
        <w:ind w:firstLine="720"/>
        <w:rPr>
          <w:rFonts w:ascii="Times New Roman" w:hAnsi="Times New Roman" w:cs="Times New Roman"/>
          <w:sz w:val="24"/>
        </w:rPr>
      </w:pPr>
      <w:r w:rsidRPr="00D10E2F">
        <w:rPr>
          <w:rFonts w:ascii="Times New Roman" w:hAnsi="Times New Roman" w:cs="Times New Roman"/>
          <w:sz w:val="24"/>
        </w:rPr>
        <w:t xml:space="preserve">The purpose of this appendix is to provide </w:t>
      </w:r>
      <w:r w:rsidR="00871C63">
        <w:rPr>
          <w:rFonts w:ascii="Times New Roman" w:hAnsi="Times New Roman" w:cs="Times New Roman"/>
          <w:sz w:val="24"/>
        </w:rPr>
        <w:t>additional documentation of</w:t>
      </w:r>
      <w:r w:rsidRPr="00D10E2F">
        <w:rPr>
          <w:rFonts w:ascii="Times New Roman" w:hAnsi="Times New Roman" w:cs="Times New Roman"/>
          <w:sz w:val="24"/>
        </w:rPr>
        <w:t xml:space="preserve"> the analytical approach and detail</w:t>
      </w:r>
      <w:r w:rsidR="00871C63">
        <w:rPr>
          <w:rFonts w:ascii="Times New Roman" w:hAnsi="Times New Roman" w:cs="Times New Roman"/>
          <w:sz w:val="24"/>
        </w:rPr>
        <w:t>ed</w:t>
      </w:r>
      <w:r w:rsidRPr="00D10E2F">
        <w:rPr>
          <w:rFonts w:ascii="Times New Roman" w:hAnsi="Times New Roman" w:cs="Times New Roman"/>
          <w:sz w:val="24"/>
        </w:rPr>
        <w:t xml:space="preserve"> statistics for descriptive and regression analyses.</w:t>
      </w:r>
    </w:p>
    <w:p w14:paraId="32980FA0" w14:textId="467C426F" w:rsidR="00401C1A" w:rsidRPr="00B81149" w:rsidRDefault="008773FF" w:rsidP="0043624E">
      <w:pPr>
        <w:spacing w:before="120" w:line="480" w:lineRule="auto"/>
        <w:rPr>
          <w:rFonts w:ascii="Times New Roman" w:hAnsi="Times New Roman" w:cs="Times New Roman"/>
          <w:b/>
          <w:bCs/>
          <w:sz w:val="24"/>
        </w:rPr>
      </w:pPr>
      <w:r w:rsidRPr="00D10E2F">
        <w:rPr>
          <w:rFonts w:ascii="Times New Roman" w:hAnsi="Times New Roman" w:cs="Times New Roman"/>
          <w:sz w:val="24"/>
        </w:rPr>
        <w:t xml:space="preserve"> </w:t>
      </w:r>
      <w:r w:rsidR="00B81149" w:rsidRPr="00B81149">
        <w:rPr>
          <w:rFonts w:ascii="Times New Roman" w:hAnsi="Times New Roman" w:cs="Times New Roman"/>
          <w:b/>
          <w:bCs/>
          <w:sz w:val="24"/>
        </w:rPr>
        <w:t>Difference-in-Difference Model Specification</w:t>
      </w:r>
    </w:p>
    <w:p w14:paraId="59AF7231" w14:textId="5028DFD1" w:rsidR="00BF65E4" w:rsidRDefault="008773FF" w:rsidP="00B75BC4">
      <w:pPr>
        <w:spacing w:before="120" w:line="480" w:lineRule="auto"/>
        <w:ind w:firstLine="720"/>
        <w:rPr>
          <w:rFonts w:ascii="Times New Roman" w:hAnsi="Times New Roman" w:cs="Times New Roman"/>
          <w:sz w:val="24"/>
        </w:rPr>
      </w:pPr>
      <w:r w:rsidRPr="00D10E2F">
        <w:rPr>
          <w:rFonts w:ascii="Times New Roman" w:hAnsi="Times New Roman" w:cs="Times New Roman"/>
          <w:sz w:val="24"/>
        </w:rPr>
        <w:t>I</w:t>
      </w:r>
      <w:r w:rsidRPr="00D10E2F">
        <w:rPr>
          <w:rFonts w:ascii="Times New Roman" w:hAnsi="Times New Roman" w:cs="Times New Roman" w:hint="eastAsia"/>
          <w:sz w:val="24"/>
        </w:rPr>
        <w:t>n</w:t>
      </w:r>
      <w:r w:rsidRPr="00D10E2F">
        <w:rPr>
          <w:rFonts w:ascii="Times New Roman" w:hAnsi="Times New Roman" w:cs="Times New Roman"/>
          <w:sz w:val="24"/>
        </w:rPr>
        <w:t xml:space="preserve"> this </w:t>
      </w:r>
      <w:r w:rsidR="009A58DD">
        <w:rPr>
          <w:rFonts w:ascii="Times New Roman" w:hAnsi="Times New Roman" w:cs="Times New Roman"/>
          <w:sz w:val="24"/>
        </w:rPr>
        <w:t>study</w:t>
      </w:r>
      <w:r w:rsidRPr="00D10E2F">
        <w:rPr>
          <w:rFonts w:ascii="Times New Roman" w:hAnsi="Times New Roman" w:cs="Times New Roman"/>
          <w:sz w:val="24"/>
        </w:rPr>
        <w:t xml:space="preserve">, we </w:t>
      </w:r>
      <w:r w:rsidR="002906AE">
        <w:rPr>
          <w:rFonts w:ascii="Times New Roman" w:hAnsi="Times New Roman" w:cs="Times New Roman"/>
          <w:sz w:val="24"/>
        </w:rPr>
        <w:t xml:space="preserve">run two multivariate linear regression </w:t>
      </w:r>
      <w:r w:rsidR="00BF65E4">
        <w:rPr>
          <w:rFonts w:ascii="Times New Roman" w:hAnsi="Times New Roman" w:cs="Times New Roman"/>
          <w:sz w:val="24"/>
        </w:rPr>
        <w:t xml:space="preserve">models to measure the difference-in-difference estimates. </w:t>
      </w:r>
      <w:r w:rsidR="00FB5934">
        <w:rPr>
          <w:rFonts w:ascii="Times New Roman" w:hAnsi="Times New Roman" w:cs="Times New Roman"/>
          <w:sz w:val="24"/>
        </w:rPr>
        <w:t>M</w:t>
      </w:r>
      <w:r w:rsidR="00BF65E4">
        <w:rPr>
          <w:rFonts w:ascii="Times New Roman" w:hAnsi="Times New Roman" w:cs="Times New Roman"/>
          <w:sz w:val="24"/>
        </w:rPr>
        <w:t xml:space="preserve">odel </w:t>
      </w:r>
      <w:r w:rsidR="00FB5934">
        <w:rPr>
          <w:rFonts w:ascii="Times New Roman" w:hAnsi="Times New Roman" w:cs="Times New Roman"/>
          <w:sz w:val="24"/>
        </w:rPr>
        <w:t xml:space="preserve">(1) </w:t>
      </w:r>
      <w:r w:rsidRPr="00D10E2F">
        <w:rPr>
          <w:rFonts w:ascii="Times New Roman" w:hAnsi="Times New Roman" w:cs="Times New Roman"/>
          <w:sz w:val="24"/>
        </w:rPr>
        <w:t>compare</w:t>
      </w:r>
      <w:r w:rsidR="00BF65E4">
        <w:rPr>
          <w:rFonts w:ascii="Times New Roman" w:hAnsi="Times New Roman" w:cs="Times New Roman"/>
          <w:sz w:val="24"/>
        </w:rPr>
        <w:t>s</w:t>
      </w:r>
      <w:r w:rsidRPr="00D10E2F">
        <w:rPr>
          <w:rFonts w:ascii="Times New Roman" w:hAnsi="Times New Roman" w:cs="Times New Roman"/>
          <w:sz w:val="24"/>
        </w:rPr>
        <w:t xml:space="preserve"> changes in hospital staffing in the state </w:t>
      </w:r>
      <w:r w:rsidR="00F04E6D">
        <w:rPr>
          <w:rFonts w:ascii="Times New Roman" w:hAnsi="Times New Roman" w:cs="Times New Roman"/>
          <w:sz w:val="24"/>
        </w:rPr>
        <w:t xml:space="preserve">that </w:t>
      </w:r>
      <w:r w:rsidRPr="00D10E2F">
        <w:rPr>
          <w:rFonts w:ascii="Times New Roman" w:hAnsi="Times New Roman" w:cs="Times New Roman"/>
          <w:sz w:val="24"/>
        </w:rPr>
        <w:t>mandated staffing ratios</w:t>
      </w:r>
      <w:r w:rsidR="00BF65E4">
        <w:rPr>
          <w:rFonts w:ascii="Times New Roman" w:hAnsi="Times New Roman" w:cs="Times New Roman"/>
          <w:sz w:val="24"/>
        </w:rPr>
        <w:t xml:space="preserve"> (i.e., California)</w:t>
      </w:r>
      <w:r w:rsidRPr="00D10E2F">
        <w:rPr>
          <w:rFonts w:ascii="Times New Roman" w:hAnsi="Times New Roman" w:cs="Times New Roman"/>
          <w:sz w:val="24"/>
        </w:rPr>
        <w:t xml:space="preserve">, in states </w:t>
      </w:r>
      <w:r w:rsidR="00C81213">
        <w:rPr>
          <w:rFonts w:ascii="Times New Roman" w:hAnsi="Times New Roman" w:cs="Times New Roman"/>
          <w:sz w:val="24"/>
        </w:rPr>
        <w:t xml:space="preserve">that </w:t>
      </w:r>
      <w:r w:rsidRPr="00D10E2F">
        <w:rPr>
          <w:rFonts w:ascii="Times New Roman" w:hAnsi="Times New Roman" w:cs="Times New Roman"/>
          <w:sz w:val="24"/>
        </w:rPr>
        <w:t>legislated staffing committees, and in states</w:t>
      </w:r>
      <w:r w:rsidR="00C81213">
        <w:rPr>
          <w:rFonts w:ascii="Times New Roman" w:hAnsi="Times New Roman" w:cs="Times New Roman"/>
          <w:sz w:val="24"/>
        </w:rPr>
        <w:t xml:space="preserve"> that</w:t>
      </w:r>
      <w:r w:rsidRPr="00D10E2F">
        <w:rPr>
          <w:rFonts w:ascii="Times New Roman" w:hAnsi="Times New Roman" w:cs="Times New Roman"/>
          <w:sz w:val="24"/>
        </w:rPr>
        <w:t xml:space="preserve"> legislated public reporting before and after the</w:t>
      </w:r>
      <w:r w:rsidR="00C81213">
        <w:rPr>
          <w:rFonts w:ascii="Times New Roman" w:hAnsi="Times New Roman" w:cs="Times New Roman"/>
          <w:sz w:val="24"/>
        </w:rPr>
        <w:t xml:space="preserve"> implementation of the legislation, </w:t>
      </w:r>
      <w:r w:rsidRPr="00D10E2F">
        <w:rPr>
          <w:rFonts w:ascii="Times New Roman" w:hAnsi="Times New Roman" w:cs="Times New Roman"/>
          <w:sz w:val="24"/>
        </w:rPr>
        <w:t>to staffing changes</w:t>
      </w:r>
      <w:r w:rsidR="00C81213">
        <w:rPr>
          <w:rFonts w:ascii="Times New Roman" w:hAnsi="Times New Roman" w:cs="Times New Roman"/>
          <w:sz w:val="24"/>
        </w:rPr>
        <w:t xml:space="preserve"> in</w:t>
      </w:r>
      <w:r w:rsidRPr="00D10E2F">
        <w:rPr>
          <w:rFonts w:ascii="Times New Roman" w:hAnsi="Times New Roman" w:cs="Times New Roman"/>
          <w:sz w:val="24"/>
        </w:rPr>
        <w:t xml:space="preserve"> states that did not implement any staffing legislation during the same period</w:t>
      </w:r>
      <w:r w:rsidR="001111A5">
        <w:rPr>
          <w:rFonts w:ascii="Times New Roman" w:hAnsi="Times New Roman" w:cs="Times New Roman"/>
          <w:sz w:val="24"/>
        </w:rPr>
        <w:t xml:space="preserve">. </w:t>
      </w:r>
      <w:r w:rsidR="00FB5934">
        <w:rPr>
          <w:rFonts w:ascii="Times New Roman" w:hAnsi="Times New Roman" w:cs="Times New Roman"/>
          <w:sz w:val="24"/>
        </w:rPr>
        <w:t>M</w:t>
      </w:r>
      <w:r w:rsidR="00BF65E4">
        <w:rPr>
          <w:rFonts w:ascii="Times New Roman" w:hAnsi="Times New Roman" w:cs="Times New Roman"/>
          <w:sz w:val="24"/>
        </w:rPr>
        <w:t xml:space="preserve">odel </w:t>
      </w:r>
      <w:r w:rsidR="00FB5934">
        <w:rPr>
          <w:rFonts w:ascii="Times New Roman" w:hAnsi="Times New Roman" w:cs="Times New Roman"/>
          <w:sz w:val="24"/>
        </w:rPr>
        <w:t xml:space="preserve">(2) </w:t>
      </w:r>
      <w:r w:rsidR="00BF65E4">
        <w:rPr>
          <w:rFonts w:ascii="Times New Roman" w:hAnsi="Times New Roman" w:cs="Times New Roman"/>
          <w:sz w:val="24"/>
        </w:rPr>
        <w:t>omit</w:t>
      </w:r>
      <w:r w:rsidR="00FB5934">
        <w:rPr>
          <w:rFonts w:ascii="Times New Roman" w:hAnsi="Times New Roman" w:cs="Times New Roman"/>
          <w:sz w:val="24"/>
        </w:rPr>
        <w:t>ted</w:t>
      </w:r>
      <w:r w:rsidR="00BF65E4">
        <w:rPr>
          <w:rFonts w:ascii="Times New Roman" w:hAnsi="Times New Roman" w:cs="Times New Roman"/>
          <w:sz w:val="24"/>
        </w:rPr>
        <w:t xml:space="preserve"> the state of California</w:t>
      </w:r>
      <w:r w:rsidR="00FB5934">
        <w:rPr>
          <w:rFonts w:ascii="Times New Roman" w:hAnsi="Times New Roman" w:cs="Times New Roman"/>
          <w:sz w:val="24"/>
        </w:rPr>
        <w:t xml:space="preserve"> from the study sample</w:t>
      </w:r>
      <w:r w:rsidR="00BF65E4">
        <w:rPr>
          <w:rFonts w:ascii="Times New Roman" w:hAnsi="Times New Roman" w:cs="Times New Roman"/>
          <w:sz w:val="24"/>
        </w:rPr>
        <w:t xml:space="preserve">. </w:t>
      </w:r>
    </w:p>
    <w:p w14:paraId="38EC350D" w14:textId="4B1F3AAE" w:rsidR="00673446" w:rsidRPr="00F2695E" w:rsidRDefault="001111A5" w:rsidP="00B75BC4">
      <w:pPr>
        <w:spacing w:before="12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</w:t>
      </w:r>
      <w:r w:rsidR="00B75BC4">
        <w:rPr>
          <w:rFonts w:ascii="Times New Roman" w:hAnsi="Times New Roman" w:cs="Times New Roman"/>
          <w:sz w:val="24"/>
        </w:rPr>
        <w:t xml:space="preserve"> </w:t>
      </w:r>
      <w:r w:rsidR="00B75BC4" w:rsidRPr="00F2695E">
        <w:rPr>
          <w:rFonts w:ascii="Times New Roman" w:hAnsi="Times New Roman" w:cs="Times New Roman"/>
          <w:sz w:val="24"/>
        </w:rPr>
        <w:t>specification</w:t>
      </w:r>
      <w:r w:rsidR="00FB5934">
        <w:rPr>
          <w:rFonts w:ascii="Times New Roman" w:hAnsi="Times New Roman" w:cs="Times New Roman"/>
          <w:sz w:val="24"/>
        </w:rPr>
        <w:t xml:space="preserve"> for model (1)</w:t>
      </w:r>
      <w:r w:rsidR="00B75BC4" w:rsidRPr="00F2695E">
        <w:rPr>
          <w:rFonts w:ascii="Times New Roman" w:hAnsi="Times New Roman" w:cs="Times New Roman"/>
          <w:sz w:val="24"/>
        </w:rPr>
        <w:t xml:space="preserve"> is </w:t>
      </w:r>
      <w:r w:rsidR="0098197A">
        <w:rPr>
          <w:rFonts w:ascii="Times New Roman" w:hAnsi="Times New Roman" w:cs="Times New Roman"/>
          <w:sz w:val="24"/>
        </w:rPr>
        <w:t>as following</w:t>
      </w:r>
      <w:r w:rsidR="00B75BC4" w:rsidRPr="00F2695E">
        <w:rPr>
          <w:rFonts w:ascii="Times New Roman" w:hAnsi="Times New Roman" w:cs="Times New Roman"/>
          <w:sz w:val="24"/>
        </w:rPr>
        <w:t>:</w:t>
      </w:r>
    </w:p>
    <w:p w14:paraId="2021F051" w14:textId="7844D476" w:rsidR="00B75BC4" w:rsidRPr="001977D8" w:rsidRDefault="00B75BC4" w:rsidP="008D624D">
      <w:pPr>
        <w:spacing w:before="120" w:line="480" w:lineRule="auto"/>
        <w:jc w:val="center"/>
        <w:rPr>
          <w:rFonts w:ascii="Times New Roman" w:hAnsi="Times New Roman" w:cs="Times New Roman"/>
          <w:sz w:val="24"/>
        </w:rPr>
      </w:pPr>
      <w:r w:rsidRPr="001977D8">
        <w:rPr>
          <w:rFonts w:ascii="Times New Roman" w:hAnsi="Times New Roman" w:cs="Times New Roman"/>
          <w:i/>
          <w:noProof/>
          <w:sz w:val="24"/>
        </w:rPr>
        <w:t>Y</w:t>
      </w:r>
      <w:r w:rsidRPr="001977D8">
        <w:rPr>
          <w:rFonts w:ascii="Times New Roman" w:hAnsi="Times New Roman" w:cs="Times New Roman"/>
          <w:noProof/>
          <w:sz w:val="24"/>
          <w:vertAlign w:val="subscript"/>
        </w:rPr>
        <w:t>ist</w:t>
      </w:r>
      <w:r w:rsidRPr="001977D8">
        <w:rPr>
          <w:rFonts w:ascii="Times New Roman" w:hAnsi="Times New Roman" w:cs="Times New Roman"/>
          <w:i/>
          <w:sz w:val="24"/>
        </w:rPr>
        <w:t xml:space="preserve"> </w:t>
      </w:r>
      <w:r w:rsidRPr="001977D8">
        <w:rPr>
          <w:rFonts w:ascii="Times New Roman" w:hAnsi="Times New Roman" w:cs="Times New Roman"/>
          <w:sz w:val="24"/>
        </w:rPr>
        <w:t xml:space="preserve">= </w:t>
      </w:r>
      <w:r w:rsidRPr="001977D8">
        <w:rPr>
          <w:rFonts w:ascii="Times New Roman" w:hAnsi="Times New Roman" w:cs="Times New Roman"/>
          <w:i/>
          <w:sz w:val="24"/>
        </w:rPr>
        <w:t>b</w:t>
      </w:r>
      <w:r w:rsidRPr="001977D8">
        <w:rPr>
          <w:rFonts w:ascii="Times New Roman" w:hAnsi="Times New Roman" w:cs="Times New Roman"/>
          <w:sz w:val="24"/>
          <w:vertAlign w:val="subscript"/>
        </w:rPr>
        <w:t xml:space="preserve">0 </w:t>
      </w:r>
      <w:r w:rsidRPr="001977D8">
        <w:rPr>
          <w:rFonts w:ascii="Times New Roman" w:hAnsi="Times New Roman" w:cs="Times New Roman"/>
          <w:sz w:val="24"/>
        </w:rPr>
        <w:t xml:space="preserve">+ </w:t>
      </w:r>
      <w:r w:rsidR="002F0BE3" w:rsidRPr="001977D8">
        <w:rPr>
          <w:rFonts w:ascii="Times New Roman" w:hAnsi="Times New Roman" w:cs="Times New Roman"/>
          <w:i/>
          <w:sz w:val="24"/>
        </w:rPr>
        <w:t>b</w:t>
      </w:r>
      <w:r w:rsidR="002F0BE3" w:rsidRPr="001977D8">
        <w:rPr>
          <w:rFonts w:ascii="Times New Roman" w:hAnsi="Times New Roman" w:cs="Times New Roman"/>
          <w:sz w:val="24"/>
          <w:vertAlign w:val="subscript"/>
        </w:rPr>
        <w:t>1</w:t>
      </w:r>
      <w:r w:rsidR="002F0BE3" w:rsidRPr="001977D8">
        <w:rPr>
          <w:rFonts w:ascii="Times New Roman" w:hAnsi="Times New Roman" w:cs="Times New Roman"/>
          <w:sz w:val="24"/>
        </w:rPr>
        <w:t>mandate</w:t>
      </w:r>
      <w:r w:rsidR="002F0BE3" w:rsidRPr="001977D8">
        <w:rPr>
          <w:rFonts w:ascii="Times New Roman" w:hAnsi="Times New Roman" w:cs="Times New Roman"/>
          <w:sz w:val="24"/>
          <w:vertAlign w:val="subscript"/>
        </w:rPr>
        <w:t>i</w:t>
      </w:r>
      <w:r w:rsidR="002F0BE3" w:rsidRPr="001977D8">
        <w:rPr>
          <w:rFonts w:ascii="Times New Roman" w:hAnsi="Times New Roman" w:cs="Times New Roman"/>
          <w:sz w:val="24"/>
        </w:rPr>
        <w:t xml:space="preserve"> + </w:t>
      </w:r>
      <w:r w:rsidR="002F0BE3" w:rsidRPr="001977D8">
        <w:rPr>
          <w:rFonts w:ascii="Times New Roman" w:hAnsi="Times New Roman" w:cs="Times New Roman"/>
          <w:i/>
          <w:sz w:val="24"/>
        </w:rPr>
        <w:t>b</w:t>
      </w:r>
      <w:r w:rsidR="002F0BE3" w:rsidRPr="001977D8">
        <w:rPr>
          <w:rFonts w:ascii="Times New Roman" w:hAnsi="Times New Roman" w:cs="Times New Roman"/>
          <w:sz w:val="24"/>
          <w:vertAlign w:val="subscript"/>
        </w:rPr>
        <w:t>2</w:t>
      </w:r>
      <w:r w:rsidR="002F0BE3" w:rsidRPr="001977D8">
        <w:rPr>
          <w:rFonts w:ascii="Times New Roman" w:hAnsi="Times New Roman" w:cs="Times New Roman"/>
          <w:sz w:val="24"/>
        </w:rPr>
        <w:t>committee</w:t>
      </w:r>
      <w:r w:rsidR="002F0BE3" w:rsidRPr="001977D8">
        <w:rPr>
          <w:rFonts w:ascii="Times New Roman" w:hAnsi="Times New Roman" w:cs="Times New Roman"/>
          <w:sz w:val="24"/>
          <w:vertAlign w:val="subscript"/>
        </w:rPr>
        <w:t>i</w:t>
      </w:r>
      <w:r w:rsidR="002F0BE3" w:rsidRPr="001977D8">
        <w:rPr>
          <w:rFonts w:ascii="Times New Roman" w:hAnsi="Times New Roman" w:cs="Times New Roman"/>
          <w:sz w:val="24"/>
        </w:rPr>
        <w:t xml:space="preserve"> + </w:t>
      </w:r>
      <w:r w:rsidR="002F0BE3" w:rsidRPr="001977D8">
        <w:rPr>
          <w:rFonts w:ascii="Times New Roman" w:hAnsi="Times New Roman" w:cs="Times New Roman"/>
          <w:i/>
          <w:sz w:val="24"/>
        </w:rPr>
        <w:t>b</w:t>
      </w:r>
      <w:r w:rsidR="002F0BE3" w:rsidRPr="001977D8">
        <w:rPr>
          <w:rFonts w:ascii="Times New Roman" w:hAnsi="Times New Roman" w:cs="Times New Roman"/>
          <w:sz w:val="24"/>
          <w:vertAlign w:val="subscript"/>
        </w:rPr>
        <w:t>3</w:t>
      </w:r>
      <w:r w:rsidR="002F0BE3" w:rsidRPr="001977D8">
        <w:rPr>
          <w:rFonts w:ascii="Times New Roman" w:hAnsi="Times New Roman" w:cs="Times New Roman"/>
          <w:sz w:val="24"/>
        </w:rPr>
        <w:t>reporting</w:t>
      </w:r>
      <w:r w:rsidR="002F0BE3" w:rsidRPr="001977D8">
        <w:rPr>
          <w:rFonts w:ascii="Times New Roman" w:hAnsi="Times New Roman" w:cs="Times New Roman"/>
          <w:sz w:val="24"/>
          <w:vertAlign w:val="subscript"/>
        </w:rPr>
        <w:t>i</w:t>
      </w:r>
      <w:r w:rsidR="002F0BE3" w:rsidRPr="001977D8">
        <w:rPr>
          <w:rFonts w:ascii="Times New Roman" w:hAnsi="Times New Roman" w:cs="Times New Roman"/>
          <w:sz w:val="24"/>
        </w:rPr>
        <w:t xml:space="preserve"> </w:t>
      </w:r>
      <w:r w:rsidR="002F0BE3" w:rsidRPr="001977D8">
        <w:rPr>
          <w:rFonts w:ascii="Times New Roman" w:hAnsi="Times New Roman" w:cs="Times New Roman" w:hint="eastAsia"/>
          <w:sz w:val="24"/>
        </w:rPr>
        <w:t>+</w:t>
      </w:r>
      <w:r w:rsidR="002F0BE3" w:rsidRPr="001977D8">
        <w:rPr>
          <w:rFonts w:ascii="Times New Roman" w:hAnsi="Times New Roman" w:cs="Times New Roman"/>
          <w:sz w:val="24"/>
        </w:rPr>
        <w:t xml:space="preserve"> </w:t>
      </w:r>
      <w:r w:rsidRPr="001977D8">
        <w:rPr>
          <w:rFonts w:ascii="Times New Roman" w:hAnsi="Times New Roman" w:cs="Times New Roman"/>
          <w:i/>
          <w:sz w:val="24"/>
        </w:rPr>
        <w:t>b</w:t>
      </w:r>
      <w:r w:rsidR="002F0BE3" w:rsidRPr="001977D8">
        <w:rPr>
          <w:rFonts w:ascii="Times New Roman" w:hAnsi="Times New Roman" w:cs="Times New Roman" w:hint="eastAsia"/>
          <w:sz w:val="24"/>
          <w:vertAlign w:val="subscript"/>
        </w:rPr>
        <w:t>4</w:t>
      </w:r>
      <w:r w:rsidRPr="001977D8">
        <w:rPr>
          <w:rFonts w:ascii="Times New Roman" w:hAnsi="Times New Roman" w:cs="Times New Roman"/>
          <w:sz w:val="24"/>
        </w:rPr>
        <w:t>mandate</w:t>
      </w:r>
      <w:r w:rsidR="00E42EF5" w:rsidRPr="001977D8">
        <w:rPr>
          <w:rFonts w:ascii="Times New Roman" w:hAnsi="Times New Roman" w:cs="Times New Roman"/>
          <w:sz w:val="24"/>
        </w:rPr>
        <w:t>_post</w:t>
      </w:r>
      <w:r w:rsidRPr="001977D8">
        <w:rPr>
          <w:rFonts w:ascii="Times New Roman" w:hAnsi="Times New Roman" w:cs="Times New Roman"/>
          <w:sz w:val="24"/>
          <w:vertAlign w:val="subscript"/>
        </w:rPr>
        <w:t>it</w:t>
      </w:r>
      <w:r w:rsidRPr="001977D8">
        <w:rPr>
          <w:rFonts w:ascii="Times New Roman" w:hAnsi="Times New Roman" w:cs="Times New Roman"/>
          <w:sz w:val="24"/>
        </w:rPr>
        <w:t xml:space="preserve"> + </w:t>
      </w:r>
      <w:r w:rsidRPr="001977D8">
        <w:rPr>
          <w:rFonts w:ascii="Times New Roman" w:hAnsi="Times New Roman" w:cs="Times New Roman"/>
          <w:i/>
          <w:sz w:val="24"/>
        </w:rPr>
        <w:t>b</w:t>
      </w:r>
      <w:r w:rsidR="002F0BE3" w:rsidRPr="001977D8">
        <w:rPr>
          <w:rFonts w:ascii="Times New Roman" w:hAnsi="Times New Roman" w:cs="Times New Roman" w:hint="eastAsia"/>
          <w:sz w:val="24"/>
          <w:vertAlign w:val="subscript"/>
        </w:rPr>
        <w:t>5</w:t>
      </w:r>
      <w:r w:rsidRPr="001977D8">
        <w:rPr>
          <w:rFonts w:ascii="Times New Roman" w:hAnsi="Times New Roman" w:cs="Times New Roman"/>
          <w:sz w:val="24"/>
        </w:rPr>
        <w:t>committee</w:t>
      </w:r>
      <w:r w:rsidR="00E42EF5" w:rsidRPr="001977D8">
        <w:rPr>
          <w:rFonts w:ascii="Times New Roman" w:hAnsi="Times New Roman" w:cs="Times New Roman"/>
          <w:sz w:val="24"/>
        </w:rPr>
        <w:t>_post</w:t>
      </w:r>
      <w:r w:rsidRPr="001977D8">
        <w:rPr>
          <w:rFonts w:ascii="Times New Roman" w:hAnsi="Times New Roman" w:cs="Times New Roman"/>
          <w:sz w:val="24"/>
          <w:vertAlign w:val="subscript"/>
        </w:rPr>
        <w:t>it</w:t>
      </w:r>
      <w:r w:rsidRPr="001977D8">
        <w:rPr>
          <w:rFonts w:ascii="Times New Roman" w:hAnsi="Times New Roman" w:cs="Times New Roman"/>
          <w:sz w:val="24"/>
        </w:rPr>
        <w:t xml:space="preserve"> + </w:t>
      </w:r>
      <w:r w:rsidRPr="001977D8">
        <w:rPr>
          <w:rFonts w:ascii="Times New Roman" w:hAnsi="Times New Roman" w:cs="Times New Roman"/>
          <w:i/>
          <w:sz w:val="24"/>
        </w:rPr>
        <w:t>b</w:t>
      </w:r>
      <w:r w:rsidR="002F0BE3" w:rsidRPr="001977D8">
        <w:rPr>
          <w:rFonts w:ascii="Times New Roman" w:hAnsi="Times New Roman" w:cs="Times New Roman" w:hint="eastAsia"/>
          <w:sz w:val="24"/>
          <w:vertAlign w:val="subscript"/>
        </w:rPr>
        <w:t>6</w:t>
      </w:r>
      <w:r w:rsidRPr="001977D8">
        <w:rPr>
          <w:rFonts w:ascii="Times New Roman" w:hAnsi="Times New Roman" w:cs="Times New Roman"/>
          <w:sz w:val="24"/>
        </w:rPr>
        <w:t>reporting</w:t>
      </w:r>
      <w:r w:rsidR="00E42EF5" w:rsidRPr="001977D8">
        <w:rPr>
          <w:rFonts w:ascii="Times New Roman" w:hAnsi="Times New Roman" w:cs="Times New Roman"/>
          <w:sz w:val="24"/>
        </w:rPr>
        <w:t>_post</w:t>
      </w:r>
      <w:r w:rsidRPr="001977D8">
        <w:rPr>
          <w:rFonts w:ascii="Times New Roman" w:hAnsi="Times New Roman" w:cs="Times New Roman"/>
          <w:sz w:val="24"/>
          <w:vertAlign w:val="subscript"/>
        </w:rPr>
        <w:t>it</w:t>
      </w:r>
      <w:r w:rsidRPr="001977D8">
        <w:rPr>
          <w:rFonts w:ascii="Times New Roman" w:hAnsi="Times New Roman" w:cs="Times New Roman"/>
          <w:sz w:val="24"/>
        </w:rPr>
        <w:t xml:space="preserve"> + </w:t>
      </w:r>
      <w:r w:rsidRPr="001977D8">
        <w:rPr>
          <w:rFonts w:ascii="Times New Roman" w:hAnsi="Times New Roman" w:cs="Times New Roman"/>
          <w:i/>
          <w:sz w:val="24"/>
        </w:rPr>
        <w:t>b</w:t>
      </w:r>
      <w:r w:rsidR="002B5B7B">
        <w:rPr>
          <w:rFonts w:ascii="Times New Roman" w:hAnsi="Times New Roman" w:cs="Times New Roman"/>
          <w:sz w:val="24"/>
          <w:vertAlign w:val="subscript"/>
        </w:rPr>
        <w:t>7</w:t>
      </w:r>
      <w:r w:rsidRPr="001977D8">
        <w:rPr>
          <w:rFonts w:ascii="Times New Roman" w:hAnsi="Times New Roman" w:cs="Times New Roman"/>
          <w:i/>
          <w:sz w:val="24"/>
        </w:rPr>
        <w:t>X</w:t>
      </w:r>
      <w:r w:rsidRPr="001977D8">
        <w:rPr>
          <w:rFonts w:ascii="Times New Roman" w:hAnsi="Times New Roman" w:cs="Times New Roman"/>
          <w:sz w:val="24"/>
          <w:vertAlign w:val="subscript"/>
        </w:rPr>
        <w:t>ist</w:t>
      </w:r>
      <w:r w:rsidRPr="001977D8">
        <w:rPr>
          <w:rFonts w:ascii="Times New Roman" w:hAnsi="Times New Roman" w:cs="Times New Roman"/>
          <w:sz w:val="24"/>
        </w:rPr>
        <w:t xml:space="preserve"> + </w:t>
      </w:r>
      <w:r w:rsidRPr="001977D8">
        <w:rPr>
          <w:rFonts w:ascii="Times New Roman" w:hAnsi="Times New Roman" w:cs="Times New Roman"/>
          <w:i/>
          <w:noProof/>
          <w:sz w:val="24"/>
        </w:rPr>
        <w:t>u</w:t>
      </w:r>
      <w:r w:rsidRPr="001977D8">
        <w:rPr>
          <w:rFonts w:ascii="Times New Roman" w:hAnsi="Times New Roman" w:cs="Times New Roman"/>
          <w:noProof/>
          <w:sz w:val="24"/>
          <w:vertAlign w:val="subscript"/>
        </w:rPr>
        <w:t>i</w:t>
      </w:r>
      <w:r w:rsidRPr="001977D8">
        <w:rPr>
          <w:rFonts w:ascii="Times New Roman" w:hAnsi="Times New Roman" w:cs="Times New Roman"/>
          <w:sz w:val="24"/>
        </w:rPr>
        <w:t xml:space="preserve"> + </w:t>
      </w:r>
      <w:proofErr w:type="spellStart"/>
      <w:r w:rsidRPr="001977D8">
        <w:rPr>
          <w:rFonts w:ascii="Times New Roman" w:hAnsi="Times New Roman" w:cs="Times New Roman"/>
          <w:i/>
          <w:sz w:val="24"/>
        </w:rPr>
        <w:t>v</w:t>
      </w:r>
      <w:r w:rsidRPr="001977D8">
        <w:rPr>
          <w:rFonts w:ascii="Times New Roman" w:hAnsi="Times New Roman" w:cs="Times New Roman"/>
          <w:sz w:val="24"/>
          <w:vertAlign w:val="subscript"/>
        </w:rPr>
        <w:t>t</w:t>
      </w:r>
      <w:proofErr w:type="spellEnd"/>
      <w:r w:rsidRPr="001977D8">
        <w:rPr>
          <w:rFonts w:ascii="Times New Roman" w:hAnsi="Times New Roman" w:cs="Times New Roman"/>
          <w:i/>
          <w:sz w:val="24"/>
          <w:vertAlign w:val="subscript"/>
        </w:rPr>
        <w:t xml:space="preserve"> </w:t>
      </w:r>
      <w:r w:rsidRPr="001977D8">
        <w:rPr>
          <w:rFonts w:ascii="Times New Roman" w:hAnsi="Times New Roman" w:cs="Times New Roman"/>
          <w:sz w:val="24"/>
        </w:rPr>
        <w:t xml:space="preserve">+ </w:t>
      </w:r>
      <w:r w:rsidRPr="001977D8">
        <w:rPr>
          <w:rFonts w:ascii="Times New Roman" w:hAnsi="Times New Roman" w:cs="Times New Roman"/>
          <w:i/>
          <w:noProof/>
          <w:sz w:val="24"/>
        </w:rPr>
        <w:t>e</w:t>
      </w:r>
      <w:r w:rsidRPr="001977D8">
        <w:rPr>
          <w:rFonts w:ascii="Times New Roman" w:hAnsi="Times New Roman" w:cs="Times New Roman"/>
          <w:noProof/>
          <w:sz w:val="24"/>
          <w:vertAlign w:val="subscript"/>
        </w:rPr>
        <w:t>ist</w:t>
      </w:r>
      <w:r w:rsidR="00B56062">
        <w:rPr>
          <w:rFonts w:ascii="Times New Roman" w:hAnsi="Times New Roman" w:cs="Times New Roman"/>
          <w:sz w:val="24"/>
          <w:vertAlign w:val="subscript"/>
        </w:rPr>
        <w:tab/>
      </w:r>
      <w:r w:rsidRPr="001977D8">
        <w:rPr>
          <w:rFonts w:ascii="Times New Roman" w:hAnsi="Times New Roman" w:cs="Times New Roman"/>
          <w:sz w:val="24"/>
        </w:rPr>
        <w:t>(1)</w:t>
      </w:r>
    </w:p>
    <w:p w14:paraId="510D1F7A" w14:textId="5093F6F0" w:rsidR="00B75BC4" w:rsidRDefault="00B75BC4" w:rsidP="00B75BC4">
      <w:pPr>
        <w:spacing w:before="120" w:line="480" w:lineRule="auto"/>
        <w:ind w:firstLine="720"/>
        <w:rPr>
          <w:rFonts w:ascii="Times New Roman" w:hAnsi="Times New Roman" w:cs="Times New Roman"/>
          <w:noProof/>
          <w:sz w:val="24"/>
        </w:rPr>
      </w:pPr>
      <w:r w:rsidRPr="00F2695E">
        <w:rPr>
          <w:rFonts w:ascii="Times New Roman" w:hAnsi="Times New Roman" w:cs="Times New Roman"/>
          <w:sz w:val="24"/>
        </w:rPr>
        <w:t xml:space="preserve">Where </w:t>
      </w:r>
      <w:proofErr w:type="spellStart"/>
      <w:r w:rsidRPr="00F2695E">
        <w:rPr>
          <w:rFonts w:ascii="Times New Roman" w:hAnsi="Times New Roman" w:cs="Times New Roman"/>
          <w:i/>
          <w:sz w:val="24"/>
        </w:rPr>
        <w:t>Y</w:t>
      </w:r>
      <w:r w:rsidRPr="00F2695E">
        <w:rPr>
          <w:rFonts w:ascii="Times New Roman" w:hAnsi="Times New Roman" w:cs="Times New Roman"/>
          <w:i/>
          <w:sz w:val="24"/>
          <w:vertAlign w:val="subscript"/>
        </w:rPr>
        <w:t>it</w:t>
      </w:r>
      <w:proofErr w:type="spellEnd"/>
      <w:r w:rsidRPr="00F2695E"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791F05">
        <w:rPr>
          <w:rFonts w:ascii="Times New Roman" w:hAnsi="Times New Roman" w:cs="Times New Roman"/>
          <w:sz w:val="24"/>
        </w:rPr>
        <w:t xml:space="preserve">represents the staffing </w:t>
      </w:r>
      <w:r w:rsidR="00476149">
        <w:rPr>
          <w:rFonts w:ascii="Times New Roman" w:hAnsi="Times New Roman" w:cs="Times New Roman"/>
          <w:sz w:val="24"/>
        </w:rPr>
        <w:t>outcomes</w:t>
      </w:r>
      <w:r w:rsidRPr="00F2695E">
        <w:rPr>
          <w:rFonts w:ascii="Times New Roman" w:hAnsi="Times New Roman" w:cs="Times New Roman"/>
          <w:sz w:val="24"/>
        </w:rPr>
        <w:t xml:space="preserve"> of interest</w:t>
      </w:r>
      <w:r w:rsidR="00D721FE">
        <w:rPr>
          <w:rFonts w:ascii="Times New Roman" w:hAnsi="Times New Roman" w:cs="Times New Roman" w:hint="eastAsia"/>
          <w:sz w:val="24"/>
        </w:rPr>
        <w:t>,</w:t>
      </w:r>
      <w:r w:rsidR="00D721FE">
        <w:rPr>
          <w:rFonts w:ascii="Times New Roman" w:hAnsi="Times New Roman" w:cs="Times New Roman"/>
          <w:sz w:val="24"/>
        </w:rPr>
        <w:t xml:space="preserve"> as mentioned in the main text,</w:t>
      </w:r>
      <w:r w:rsidRPr="00F2695E">
        <w:rPr>
          <w:rFonts w:ascii="Times New Roman" w:hAnsi="Times New Roman" w:cs="Times New Roman"/>
          <w:sz w:val="24"/>
        </w:rPr>
        <w:t xml:space="preserve"> for hospital </w:t>
      </w:r>
      <w:r w:rsidRPr="00F33E90">
        <w:rPr>
          <w:rFonts w:ascii="Times New Roman" w:hAnsi="Times New Roman" w:cs="Times New Roman"/>
          <w:i/>
          <w:noProof/>
          <w:sz w:val="24"/>
        </w:rPr>
        <w:t>i</w:t>
      </w:r>
      <w:r w:rsidRPr="00F2695E">
        <w:rPr>
          <w:rFonts w:ascii="Times New Roman" w:hAnsi="Times New Roman" w:cs="Times New Roman"/>
          <w:i/>
          <w:sz w:val="24"/>
        </w:rPr>
        <w:t xml:space="preserve"> </w:t>
      </w:r>
      <w:r w:rsidRPr="00F2695E">
        <w:rPr>
          <w:rFonts w:ascii="Times New Roman" w:hAnsi="Times New Roman" w:cs="Times New Roman"/>
          <w:sz w:val="24"/>
        </w:rPr>
        <w:t xml:space="preserve">in </w:t>
      </w:r>
      <w:proofErr w:type="spellStart"/>
      <w:r w:rsidRPr="00F2695E">
        <w:rPr>
          <w:rFonts w:ascii="Times New Roman" w:hAnsi="Times New Roman" w:cs="Times New Roman"/>
          <w:sz w:val="24"/>
        </w:rPr>
        <w:t xml:space="preserve">state </w:t>
      </w:r>
      <w:r w:rsidRPr="00F2695E">
        <w:rPr>
          <w:rFonts w:ascii="Times New Roman" w:hAnsi="Times New Roman" w:cs="Times New Roman"/>
          <w:i/>
          <w:sz w:val="24"/>
        </w:rPr>
        <w:t>s</w:t>
      </w:r>
      <w:proofErr w:type="spellEnd"/>
      <w:r w:rsidRPr="00F2695E">
        <w:rPr>
          <w:rFonts w:ascii="Times New Roman" w:hAnsi="Times New Roman" w:cs="Times New Roman"/>
          <w:sz w:val="24"/>
        </w:rPr>
        <w:t xml:space="preserve"> at year </w:t>
      </w:r>
      <w:r w:rsidRPr="00F2695E">
        <w:rPr>
          <w:rFonts w:ascii="Times New Roman" w:hAnsi="Times New Roman" w:cs="Times New Roman"/>
          <w:i/>
          <w:sz w:val="24"/>
        </w:rPr>
        <w:t>t</w:t>
      </w:r>
      <w:r w:rsidRPr="00F2695E">
        <w:rPr>
          <w:rFonts w:ascii="Times New Roman" w:hAnsi="Times New Roman" w:cs="Times New Roman"/>
          <w:sz w:val="24"/>
        </w:rPr>
        <w:t>,</w:t>
      </w:r>
      <w:r w:rsidR="004E0D9D" w:rsidRPr="004E0D9D">
        <w:rPr>
          <w:rFonts w:ascii="Times New Roman" w:hAnsi="Times New Roman" w:cs="Times New Roman"/>
          <w:noProof/>
          <w:sz w:val="24"/>
        </w:rPr>
        <w:t xml:space="preserve"> </w:t>
      </w:r>
      <w:r w:rsidR="004E0D9D">
        <w:rPr>
          <w:rFonts w:ascii="Times New Roman" w:hAnsi="Times New Roman" w:cs="Times New Roman"/>
          <w:noProof/>
          <w:sz w:val="24"/>
        </w:rPr>
        <w:t>mandate</w:t>
      </w:r>
      <w:r w:rsidR="004E0D9D" w:rsidRPr="00F33E90">
        <w:rPr>
          <w:rFonts w:ascii="Times New Roman" w:hAnsi="Times New Roman" w:cs="Times New Roman"/>
          <w:noProof/>
          <w:sz w:val="24"/>
          <w:vertAlign w:val="subscript"/>
        </w:rPr>
        <w:t>i</w:t>
      </w:r>
      <w:r w:rsidR="004E0D9D" w:rsidRPr="00F2695E"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4E0D9D" w:rsidRPr="00F2695E">
        <w:rPr>
          <w:rFonts w:ascii="Times New Roman" w:hAnsi="Times New Roman" w:cs="Times New Roman"/>
          <w:sz w:val="24"/>
        </w:rPr>
        <w:t xml:space="preserve">is a dummy variable indicating hospital </w:t>
      </w:r>
      <w:r w:rsidR="004E0D9D" w:rsidRPr="00F2695E">
        <w:rPr>
          <w:rFonts w:ascii="Times New Roman" w:hAnsi="Times New Roman" w:cs="Times New Roman"/>
          <w:i/>
          <w:noProof/>
          <w:sz w:val="24"/>
        </w:rPr>
        <w:t>i</w:t>
      </w:r>
      <w:r w:rsidR="004E0D9D" w:rsidRPr="00F2695E">
        <w:rPr>
          <w:rFonts w:ascii="Times New Roman" w:hAnsi="Times New Roman" w:cs="Times New Roman"/>
          <w:sz w:val="24"/>
        </w:rPr>
        <w:t xml:space="preserve"> = 1 </w:t>
      </w:r>
      <w:r w:rsidR="004E0D9D">
        <w:rPr>
          <w:rFonts w:ascii="Times New Roman" w:hAnsi="Times New Roman" w:cs="Times New Roman"/>
          <w:sz w:val="24"/>
        </w:rPr>
        <w:t>in the state that legislated staffing mandate</w:t>
      </w:r>
      <w:r w:rsidR="00FB5934">
        <w:rPr>
          <w:rFonts w:ascii="Times New Roman" w:hAnsi="Times New Roman" w:cs="Times New Roman"/>
          <w:sz w:val="24"/>
        </w:rPr>
        <w:t xml:space="preserve"> (i.e., California)</w:t>
      </w:r>
      <w:r w:rsidR="004E0D9D">
        <w:rPr>
          <w:rFonts w:ascii="Times New Roman" w:hAnsi="Times New Roman" w:cs="Times New Roman"/>
          <w:sz w:val="24"/>
        </w:rPr>
        <w:t>,</w:t>
      </w:r>
      <w:r w:rsidRPr="00F2695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5C9C">
        <w:rPr>
          <w:rFonts w:ascii="Times New Roman" w:hAnsi="Times New Roman" w:cs="Times New Roman"/>
          <w:sz w:val="24"/>
        </w:rPr>
        <w:t>committee</w:t>
      </w:r>
      <w:r w:rsidR="00455C9C" w:rsidRPr="00F2695E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="00455C9C"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455C9C">
        <w:rPr>
          <w:rFonts w:ascii="Times New Roman" w:hAnsi="Times New Roman" w:cs="Times New Roman"/>
          <w:sz w:val="24"/>
        </w:rPr>
        <w:t xml:space="preserve">is a dummy variable indicating hospital </w:t>
      </w:r>
      <w:proofErr w:type="spellStart"/>
      <w:r w:rsidR="00455C9C">
        <w:rPr>
          <w:rFonts w:ascii="Times New Roman" w:hAnsi="Times New Roman" w:cs="Times New Roman"/>
          <w:i/>
          <w:sz w:val="24"/>
        </w:rPr>
        <w:t>i</w:t>
      </w:r>
      <w:proofErr w:type="spellEnd"/>
      <w:r w:rsidR="00455C9C">
        <w:rPr>
          <w:rFonts w:ascii="Times New Roman" w:hAnsi="Times New Roman" w:cs="Times New Roman"/>
          <w:i/>
          <w:sz w:val="24"/>
        </w:rPr>
        <w:t xml:space="preserve"> </w:t>
      </w:r>
      <w:r w:rsidR="00455C9C">
        <w:rPr>
          <w:rFonts w:ascii="Times New Roman" w:hAnsi="Times New Roman" w:cs="Times New Roman"/>
          <w:sz w:val="24"/>
        </w:rPr>
        <w:t xml:space="preserve">= 1 </w:t>
      </w:r>
      <w:r w:rsidR="00455C9C" w:rsidRPr="00F2695E">
        <w:rPr>
          <w:rFonts w:ascii="Times New Roman" w:hAnsi="Times New Roman" w:cs="Times New Roman"/>
          <w:sz w:val="24"/>
        </w:rPr>
        <w:t xml:space="preserve">in states </w:t>
      </w:r>
      <w:r w:rsidR="00455C9C">
        <w:rPr>
          <w:rFonts w:ascii="Times New Roman" w:hAnsi="Times New Roman" w:cs="Times New Roman"/>
          <w:sz w:val="24"/>
        </w:rPr>
        <w:t xml:space="preserve">that legislated staffing committee, </w:t>
      </w:r>
      <w:proofErr w:type="spellStart"/>
      <w:r w:rsidR="00455C9C">
        <w:rPr>
          <w:rFonts w:ascii="Times New Roman" w:hAnsi="Times New Roman" w:cs="Times New Roman"/>
          <w:sz w:val="24"/>
        </w:rPr>
        <w:t>reporting</w:t>
      </w:r>
      <w:r w:rsidR="00455C9C" w:rsidRPr="00F2695E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="00455C9C"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455C9C">
        <w:rPr>
          <w:rFonts w:ascii="Times New Roman" w:hAnsi="Times New Roman" w:cs="Times New Roman"/>
          <w:sz w:val="24"/>
        </w:rPr>
        <w:t>is</w:t>
      </w:r>
      <w:r w:rsidR="00455C9C" w:rsidRPr="00F2695E">
        <w:rPr>
          <w:rFonts w:ascii="Times New Roman" w:hAnsi="Times New Roman" w:cs="Times New Roman"/>
          <w:sz w:val="24"/>
        </w:rPr>
        <w:t xml:space="preserve"> a dummy variable indicating hospital </w:t>
      </w:r>
      <w:proofErr w:type="spellStart"/>
      <w:r w:rsidR="00455C9C" w:rsidRPr="00F2695E">
        <w:rPr>
          <w:rFonts w:ascii="Times New Roman" w:hAnsi="Times New Roman" w:cs="Times New Roman"/>
          <w:i/>
          <w:sz w:val="24"/>
        </w:rPr>
        <w:t>i</w:t>
      </w:r>
      <w:proofErr w:type="spellEnd"/>
      <w:r w:rsidR="00455C9C" w:rsidRPr="00F2695E">
        <w:rPr>
          <w:rFonts w:ascii="Times New Roman" w:hAnsi="Times New Roman" w:cs="Times New Roman"/>
          <w:i/>
          <w:sz w:val="24"/>
        </w:rPr>
        <w:t xml:space="preserve"> </w:t>
      </w:r>
      <w:r w:rsidR="00455C9C" w:rsidRPr="00F2695E">
        <w:rPr>
          <w:rFonts w:ascii="Times New Roman" w:hAnsi="Times New Roman" w:cs="Times New Roman"/>
          <w:sz w:val="24"/>
        </w:rPr>
        <w:t xml:space="preserve">= 1 </w:t>
      </w:r>
      <w:r w:rsidR="00455C9C" w:rsidRPr="00F33E90">
        <w:rPr>
          <w:rFonts w:ascii="Times New Roman" w:hAnsi="Times New Roman" w:cs="Times New Roman"/>
          <w:i/>
          <w:noProof/>
          <w:sz w:val="24"/>
        </w:rPr>
        <w:t>i</w:t>
      </w:r>
      <w:r w:rsidR="00455C9C" w:rsidRPr="00F2695E">
        <w:rPr>
          <w:rFonts w:ascii="Times New Roman" w:hAnsi="Times New Roman" w:cs="Times New Roman"/>
          <w:i/>
          <w:sz w:val="24"/>
        </w:rPr>
        <w:t xml:space="preserve"> </w:t>
      </w:r>
      <w:r w:rsidR="00455C9C">
        <w:rPr>
          <w:rFonts w:ascii="Times New Roman" w:hAnsi="Times New Roman" w:cs="Times New Roman"/>
          <w:sz w:val="24"/>
        </w:rPr>
        <w:t>in states that legislated public reporting</w:t>
      </w:r>
      <w:r w:rsidR="00455C9C">
        <w:rPr>
          <w:rFonts w:ascii="Times New Roman" w:hAnsi="Times New Roman" w:cs="Times New Roman"/>
          <w:noProof/>
          <w:sz w:val="24"/>
        </w:rPr>
        <w:t xml:space="preserve">, </w:t>
      </w:r>
      <w:r>
        <w:rPr>
          <w:rFonts w:ascii="Times New Roman" w:hAnsi="Times New Roman" w:cs="Times New Roman"/>
          <w:noProof/>
          <w:sz w:val="24"/>
        </w:rPr>
        <w:t>mandate</w:t>
      </w:r>
      <w:r w:rsidR="00EF42B7">
        <w:rPr>
          <w:rFonts w:ascii="Times New Roman" w:hAnsi="Times New Roman" w:cs="Times New Roman"/>
          <w:noProof/>
          <w:sz w:val="24"/>
        </w:rPr>
        <w:t>_post</w:t>
      </w:r>
      <w:r w:rsidRPr="00F33E90">
        <w:rPr>
          <w:rFonts w:ascii="Times New Roman" w:hAnsi="Times New Roman" w:cs="Times New Roman"/>
          <w:noProof/>
          <w:sz w:val="24"/>
          <w:vertAlign w:val="subscript"/>
        </w:rPr>
        <w:t>it</w:t>
      </w:r>
      <w:r w:rsidRPr="00F2695E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F2695E">
        <w:rPr>
          <w:rFonts w:ascii="Times New Roman" w:hAnsi="Times New Roman" w:cs="Times New Roman"/>
          <w:sz w:val="24"/>
        </w:rPr>
        <w:t xml:space="preserve">is a dummy variable indicating hospital </w:t>
      </w:r>
      <w:r w:rsidRPr="00F2695E">
        <w:rPr>
          <w:rFonts w:ascii="Times New Roman" w:hAnsi="Times New Roman" w:cs="Times New Roman"/>
          <w:i/>
          <w:noProof/>
          <w:sz w:val="24"/>
        </w:rPr>
        <w:t>i</w:t>
      </w:r>
      <w:r w:rsidRPr="00F2695E">
        <w:rPr>
          <w:rFonts w:ascii="Times New Roman" w:hAnsi="Times New Roman" w:cs="Times New Roman"/>
          <w:sz w:val="24"/>
        </w:rPr>
        <w:t xml:space="preserve"> = 1 </w:t>
      </w:r>
      <w:r>
        <w:rPr>
          <w:rFonts w:ascii="Times New Roman" w:hAnsi="Times New Roman" w:cs="Times New Roman"/>
          <w:sz w:val="24"/>
        </w:rPr>
        <w:t xml:space="preserve">in the state </w:t>
      </w:r>
      <w:r w:rsidR="00D721FE">
        <w:rPr>
          <w:rFonts w:ascii="Times New Roman" w:hAnsi="Times New Roman" w:cs="Times New Roman"/>
          <w:sz w:val="24"/>
        </w:rPr>
        <w:t xml:space="preserve">that </w:t>
      </w:r>
      <w:r>
        <w:rPr>
          <w:rFonts w:ascii="Times New Roman" w:hAnsi="Times New Roman" w:cs="Times New Roman"/>
          <w:sz w:val="24"/>
        </w:rPr>
        <w:t xml:space="preserve">legislated staffing mandate </w:t>
      </w:r>
      <w:r w:rsidR="009A2C9D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 xml:space="preserve">at year </w:t>
      </w:r>
      <w:r w:rsidRPr="00DA6B4B">
        <w:rPr>
          <w:rFonts w:ascii="Times New Roman" w:hAnsi="Times New Roman" w:cs="Times New Roman"/>
          <w:i/>
          <w:sz w:val="24"/>
        </w:rPr>
        <w:t>t</w:t>
      </w:r>
      <w:r w:rsidRPr="00F2695E">
        <w:rPr>
          <w:rFonts w:ascii="Times New Roman" w:hAnsi="Times New Roman" w:cs="Times New Roman"/>
          <w:sz w:val="24"/>
        </w:rPr>
        <w:t xml:space="preserve"> </w:t>
      </w:r>
      <w:r w:rsidR="00BE4826">
        <w:rPr>
          <w:rFonts w:ascii="Times New Roman" w:hAnsi="Times New Roman" w:cs="Times New Roman"/>
          <w:sz w:val="24"/>
        </w:rPr>
        <w:t>when the law was in effect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committee</w:t>
      </w:r>
      <w:r w:rsidR="00EF42B7">
        <w:rPr>
          <w:rFonts w:ascii="Times New Roman" w:hAnsi="Times New Roman" w:cs="Times New Roman"/>
          <w:sz w:val="24"/>
        </w:rPr>
        <w:t>_post</w:t>
      </w:r>
      <w:r w:rsidRPr="00F2695E">
        <w:rPr>
          <w:rFonts w:ascii="Times New Roman" w:hAnsi="Times New Roman" w:cs="Times New Roman"/>
          <w:sz w:val="24"/>
          <w:vertAlign w:val="subscript"/>
        </w:rPr>
        <w:t>it</w:t>
      </w:r>
      <w:proofErr w:type="spellEnd"/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is a dummy variable indicating hospital </w:t>
      </w:r>
      <w:proofErr w:type="spellStart"/>
      <w:r>
        <w:rPr>
          <w:rFonts w:ascii="Times New Roman" w:hAnsi="Times New Roman" w:cs="Times New Roman"/>
          <w:i/>
          <w:sz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= 1 </w:t>
      </w:r>
      <w:r w:rsidRPr="00F2695E">
        <w:rPr>
          <w:rFonts w:ascii="Times New Roman" w:hAnsi="Times New Roman" w:cs="Times New Roman"/>
          <w:sz w:val="24"/>
        </w:rPr>
        <w:t xml:space="preserve">in states </w:t>
      </w:r>
      <w:r>
        <w:rPr>
          <w:rFonts w:ascii="Times New Roman" w:hAnsi="Times New Roman" w:cs="Times New Roman"/>
          <w:sz w:val="24"/>
        </w:rPr>
        <w:t xml:space="preserve">that </w:t>
      </w:r>
      <w:r>
        <w:rPr>
          <w:rFonts w:ascii="Times New Roman" w:hAnsi="Times New Roman" w:cs="Times New Roman"/>
          <w:sz w:val="24"/>
        </w:rPr>
        <w:lastRenderedPageBreak/>
        <w:t xml:space="preserve">legislated </w:t>
      </w:r>
      <w:r w:rsidR="0026085C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staffing committee</w:t>
      </w:r>
      <w:r w:rsidR="009A2C9D">
        <w:rPr>
          <w:rFonts w:ascii="Times New Roman" w:hAnsi="Times New Roman" w:cs="Times New Roman"/>
          <w:sz w:val="24"/>
        </w:rPr>
        <w:t xml:space="preserve"> and</w:t>
      </w:r>
      <w:r>
        <w:rPr>
          <w:rFonts w:ascii="Times New Roman" w:hAnsi="Times New Roman" w:cs="Times New Roman"/>
          <w:sz w:val="24"/>
        </w:rPr>
        <w:t xml:space="preserve"> at year </w:t>
      </w:r>
      <w:r>
        <w:rPr>
          <w:rFonts w:ascii="Times New Roman" w:hAnsi="Times New Roman" w:cs="Times New Roman"/>
          <w:i/>
          <w:sz w:val="24"/>
        </w:rPr>
        <w:t xml:space="preserve">t </w:t>
      </w:r>
      <w:r w:rsidR="009A2C9D">
        <w:rPr>
          <w:rFonts w:ascii="Times New Roman" w:hAnsi="Times New Roman" w:cs="Times New Roman"/>
          <w:sz w:val="24"/>
        </w:rPr>
        <w:t>when the law was in effect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reporting</w:t>
      </w:r>
      <w:r w:rsidR="00EF42B7">
        <w:rPr>
          <w:rFonts w:ascii="Times New Roman" w:hAnsi="Times New Roman" w:cs="Times New Roman"/>
          <w:sz w:val="24"/>
        </w:rPr>
        <w:t>_post</w:t>
      </w:r>
      <w:r w:rsidRPr="00F2695E">
        <w:rPr>
          <w:rFonts w:ascii="Times New Roman" w:hAnsi="Times New Roman" w:cs="Times New Roman"/>
          <w:sz w:val="24"/>
          <w:vertAlign w:val="subscript"/>
        </w:rPr>
        <w:t>ist</w:t>
      </w:r>
      <w:proofErr w:type="spellEnd"/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</w:rPr>
        <w:t>is</w:t>
      </w:r>
      <w:r w:rsidRPr="00F2695E">
        <w:rPr>
          <w:rFonts w:ascii="Times New Roman" w:hAnsi="Times New Roman" w:cs="Times New Roman"/>
          <w:sz w:val="24"/>
        </w:rPr>
        <w:t xml:space="preserve"> a dummy variable indicating hospital </w:t>
      </w:r>
      <w:proofErr w:type="spellStart"/>
      <w:r w:rsidRPr="00F2695E">
        <w:rPr>
          <w:rFonts w:ascii="Times New Roman" w:hAnsi="Times New Roman" w:cs="Times New Roman"/>
          <w:i/>
          <w:sz w:val="24"/>
        </w:rPr>
        <w:t>i</w:t>
      </w:r>
      <w:proofErr w:type="spellEnd"/>
      <w:r w:rsidRPr="00F2695E">
        <w:rPr>
          <w:rFonts w:ascii="Times New Roman" w:hAnsi="Times New Roman" w:cs="Times New Roman"/>
          <w:i/>
          <w:sz w:val="24"/>
        </w:rPr>
        <w:t xml:space="preserve"> </w:t>
      </w:r>
      <w:r w:rsidRPr="00F2695E">
        <w:rPr>
          <w:rFonts w:ascii="Times New Roman" w:hAnsi="Times New Roman" w:cs="Times New Roman"/>
          <w:sz w:val="24"/>
        </w:rPr>
        <w:t xml:space="preserve">= 1 </w:t>
      </w:r>
      <w:r w:rsidRPr="00F33E90">
        <w:rPr>
          <w:rFonts w:ascii="Times New Roman" w:hAnsi="Times New Roman" w:cs="Times New Roman"/>
          <w:i/>
          <w:noProof/>
          <w:sz w:val="24"/>
        </w:rPr>
        <w:t>i</w:t>
      </w:r>
      <w:r w:rsidRPr="00F2695E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 states</w:t>
      </w:r>
      <w:r w:rsidR="00D721FE">
        <w:rPr>
          <w:rFonts w:ascii="Times New Roman" w:hAnsi="Times New Roman" w:cs="Times New Roman"/>
          <w:sz w:val="24"/>
        </w:rPr>
        <w:t xml:space="preserve"> that</w:t>
      </w:r>
      <w:r>
        <w:rPr>
          <w:rFonts w:ascii="Times New Roman" w:hAnsi="Times New Roman" w:cs="Times New Roman"/>
          <w:sz w:val="24"/>
        </w:rPr>
        <w:t xml:space="preserve"> legislated public reporting </w:t>
      </w:r>
      <w:r w:rsidR="009A2C9D">
        <w:rPr>
          <w:rFonts w:ascii="Times New Roman" w:hAnsi="Times New Roman" w:cs="Times New Roman"/>
          <w:sz w:val="24"/>
        </w:rPr>
        <w:t xml:space="preserve">and </w:t>
      </w:r>
      <w:r>
        <w:rPr>
          <w:rFonts w:ascii="Times New Roman" w:hAnsi="Times New Roman" w:cs="Times New Roman"/>
          <w:sz w:val="24"/>
        </w:rPr>
        <w:t xml:space="preserve">at year </w:t>
      </w:r>
      <w:r>
        <w:rPr>
          <w:rFonts w:ascii="Times New Roman" w:hAnsi="Times New Roman" w:cs="Times New Roman"/>
          <w:i/>
          <w:sz w:val="24"/>
        </w:rPr>
        <w:t>t</w:t>
      </w:r>
      <w:r w:rsidRPr="00F2695E">
        <w:rPr>
          <w:rFonts w:ascii="Times New Roman" w:hAnsi="Times New Roman" w:cs="Times New Roman"/>
          <w:sz w:val="24"/>
        </w:rPr>
        <w:t xml:space="preserve"> </w:t>
      </w:r>
      <w:r w:rsidR="009A2C9D">
        <w:rPr>
          <w:rFonts w:ascii="Times New Roman" w:hAnsi="Times New Roman" w:cs="Times New Roman"/>
          <w:sz w:val="24"/>
        </w:rPr>
        <w:t>when the law was in effect</w:t>
      </w:r>
      <w:r w:rsidR="0069100C">
        <w:rPr>
          <w:rFonts w:ascii="Times New Roman" w:hAnsi="Times New Roman" w:cs="Times New Roman"/>
          <w:sz w:val="24"/>
        </w:rPr>
        <w:t>,</w:t>
      </w:r>
      <w:r w:rsidRPr="00F2695E">
        <w:rPr>
          <w:rFonts w:ascii="Times New Roman" w:hAnsi="Times New Roman" w:cs="Times New Roman"/>
          <w:sz w:val="24"/>
        </w:rPr>
        <w:t xml:space="preserve"> </w:t>
      </w:r>
      <w:r w:rsidRPr="00F2695E">
        <w:rPr>
          <w:rFonts w:ascii="Times New Roman" w:hAnsi="Times New Roman" w:cs="Times New Roman"/>
          <w:i/>
          <w:noProof/>
          <w:sz w:val="24"/>
        </w:rPr>
        <w:t>X</w:t>
      </w:r>
      <w:r w:rsidRPr="00F2695E">
        <w:rPr>
          <w:rFonts w:ascii="Times New Roman" w:hAnsi="Times New Roman" w:cs="Times New Roman"/>
          <w:noProof/>
          <w:sz w:val="24"/>
          <w:vertAlign w:val="subscript"/>
        </w:rPr>
        <w:t>ist</w:t>
      </w:r>
      <w:r w:rsidRPr="00F2695E">
        <w:rPr>
          <w:rFonts w:ascii="Times New Roman" w:hAnsi="Times New Roman" w:cs="Times New Roman"/>
          <w:i/>
          <w:sz w:val="24"/>
          <w:vertAlign w:val="subscript"/>
        </w:rPr>
        <w:t xml:space="preserve"> </w:t>
      </w:r>
      <w:r w:rsidRPr="00F2695E">
        <w:rPr>
          <w:rFonts w:ascii="Times New Roman" w:hAnsi="Times New Roman" w:cs="Times New Roman"/>
          <w:sz w:val="24"/>
        </w:rPr>
        <w:t>is a vector of hospital-level</w:t>
      </w:r>
      <w:r>
        <w:rPr>
          <w:rFonts w:ascii="Times New Roman" w:hAnsi="Times New Roman" w:cs="Times New Roman"/>
          <w:sz w:val="24"/>
        </w:rPr>
        <w:t xml:space="preserve"> </w:t>
      </w:r>
      <w:r w:rsidRPr="00F2695E">
        <w:rPr>
          <w:rFonts w:ascii="Times New Roman" w:hAnsi="Times New Roman" w:cs="Times New Roman"/>
          <w:sz w:val="24"/>
        </w:rPr>
        <w:t>and state-level controls,</w:t>
      </w:r>
      <w:r w:rsidRPr="00F2695E">
        <w:rPr>
          <w:rFonts w:ascii="Times New Roman" w:hAnsi="Times New Roman" w:cs="Times New Roman"/>
          <w:i/>
          <w:sz w:val="24"/>
        </w:rPr>
        <w:t xml:space="preserve"> </w:t>
      </w:r>
      <w:r w:rsidRPr="00F33E90">
        <w:rPr>
          <w:rFonts w:ascii="Times New Roman" w:hAnsi="Times New Roman" w:cs="Times New Roman"/>
          <w:i/>
          <w:noProof/>
          <w:sz w:val="24"/>
        </w:rPr>
        <w:t>u</w:t>
      </w:r>
      <w:r w:rsidRPr="00F33E90">
        <w:rPr>
          <w:rFonts w:ascii="Times New Roman" w:hAnsi="Times New Roman" w:cs="Times New Roman"/>
          <w:noProof/>
          <w:sz w:val="24"/>
          <w:vertAlign w:val="subscript"/>
        </w:rPr>
        <w:t>i</w:t>
      </w:r>
      <w:r w:rsidRPr="00F2695E">
        <w:rPr>
          <w:rFonts w:ascii="Times New Roman" w:hAnsi="Times New Roman" w:cs="Times New Roman"/>
          <w:noProof/>
          <w:sz w:val="24"/>
          <w:vertAlign w:val="subscript"/>
        </w:rPr>
        <w:t xml:space="preserve"> </w:t>
      </w:r>
      <w:r w:rsidRPr="00F2695E">
        <w:rPr>
          <w:rFonts w:ascii="Times New Roman" w:hAnsi="Times New Roman" w:cs="Times New Roman"/>
          <w:noProof/>
          <w:sz w:val="24"/>
        </w:rPr>
        <w:t xml:space="preserve">is a vector of </w:t>
      </w:r>
      <w:r w:rsidRPr="00F7698D">
        <w:rPr>
          <w:rFonts w:ascii="Times New Roman" w:hAnsi="Times New Roman" w:cs="Times New Roman"/>
          <w:noProof/>
          <w:sz w:val="24"/>
        </w:rPr>
        <w:t>hosp</w:t>
      </w:r>
      <w:r>
        <w:rPr>
          <w:rFonts w:ascii="Times New Roman" w:hAnsi="Times New Roman" w:cs="Times New Roman"/>
          <w:noProof/>
          <w:sz w:val="24"/>
        </w:rPr>
        <w:t>it</w:t>
      </w:r>
      <w:r w:rsidRPr="00F7698D">
        <w:rPr>
          <w:rFonts w:ascii="Times New Roman" w:hAnsi="Times New Roman" w:cs="Times New Roman"/>
          <w:noProof/>
          <w:sz w:val="24"/>
        </w:rPr>
        <w:t>al</w:t>
      </w:r>
      <w:r w:rsidRPr="00F2695E">
        <w:rPr>
          <w:rFonts w:ascii="Times New Roman" w:hAnsi="Times New Roman" w:cs="Times New Roman"/>
          <w:noProof/>
          <w:sz w:val="24"/>
        </w:rPr>
        <w:t xml:space="preserve"> fixed effects, and</w:t>
      </w:r>
      <w:r w:rsidRPr="00F2695E">
        <w:rPr>
          <w:rFonts w:ascii="Times New Roman" w:hAnsi="Times New Roman" w:cs="Times New Roman"/>
          <w:i/>
          <w:sz w:val="24"/>
        </w:rPr>
        <w:t xml:space="preserve"> </w:t>
      </w:r>
      <w:r w:rsidRPr="00F33E90">
        <w:rPr>
          <w:rFonts w:ascii="Times New Roman" w:hAnsi="Times New Roman" w:cs="Times New Roman"/>
          <w:i/>
          <w:noProof/>
          <w:sz w:val="24"/>
        </w:rPr>
        <w:t>v</w:t>
      </w:r>
      <w:r w:rsidRPr="00F33E90">
        <w:rPr>
          <w:rFonts w:ascii="Times New Roman" w:hAnsi="Times New Roman" w:cs="Times New Roman"/>
          <w:noProof/>
          <w:sz w:val="24"/>
          <w:vertAlign w:val="subscript"/>
        </w:rPr>
        <w:t>t</w:t>
      </w:r>
      <w:r w:rsidRPr="00F2695E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F2695E">
        <w:rPr>
          <w:rFonts w:ascii="Times New Roman" w:hAnsi="Times New Roman" w:cs="Times New Roman"/>
          <w:sz w:val="24"/>
        </w:rPr>
        <w:t>is a vector of year fixed effects</w:t>
      </w:r>
      <w:r w:rsidRPr="00F2695E">
        <w:rPr>
          <w:rFonts w:ascii="Times New Roman" w:hAnsi="Times New Roman" w:cs="Times New Roman"/>
          <w:noProof/>
          <w:sz w:val="24"/>
        </w:rPr>
        <w:t xml:space="preserve">. The coefficient </w:t>
      </w:r>
      <w:r w:rsidRPr="00F2695E">
        <w:rPr>
          <w:rFonts w:ascii="Times New Roman" w:hAnsi="Times New Roman" w:cs="Times New Roman"/>
          <w:i/>
          <w:sz w:val="24"/>
        </w:rPr>
        <w:t>b</w:t>
      </w:r>
      <w:r w:rsidR="0069100C">
        <w:rPr>
          <w:rFonts w:ascii="Times New Roman" w:hAnsi="Times New Roman" w:cs="Times New Roman"/>
          <w:sz w:val="24"/>
          <w:vertAlign w:val="subscript"/>
        </w:rPr>
        <w:t>4</w:t>
      </w:r>
      <w:r w:rsidRPr="00F2695E">
        <w:rPr>
          <w:rFonts w:ascii="Times New Roman" w:hAnsi="Times New Roman" w:cs="Times New Roman"/>
          <w:noProof/>
          <w:sz w:val="24"/>
        </w:rPr>
        <w:t xml:space="preserve"> represent</w:t>
      </w:r>
      <w:r w:rsidR="0078756D">
        <w:rPr>
          <w:rFonts w:ascii="Times New Roman" w:hAnsi="Times New Roman" w:cs="Times New Roman"/>
          <w:noProof/>
          <w:sz w:val="24"/>
        </w:rPr>
        <w:t>s the difference-in-difference</w:t>
      </w:r>
      <w:r w:rsidR="0078756D" w:rsidRPr="0078756D">
        <w:rPr>
          <w:rFonts w:ascii="Times New Roman" w:hAnsi="Times New Roman" w:cs="Times New Roman"/>
          <w:noProof/>
          <w:sz w:val="24"/>
        </w:rPr>
        <w:t xml:space="preserve"> </w:t>
      </w:r>
      <w:r w:rsidR="0078756D">
        <w:rPr>
          <w:rFonts w:ascii="Times New Roman" w:hAnsi="Times New Roman" w:cs="Times New Roman"/>
          <w:noProof/>
          <w:sz w:val="24"/>
        </w:rPr>
        <w:t>estimate in the state that legislated</w:t>
      </w:r>
      <w:r w:rsidRPr="00F2695E">
        <w:rPr>
          <w:rFonts w:ascii="Times New Roman" w:hAnsi="Times New Roman" w:cs="Times New Roman"/>
          <w:noProof/>
          <w:sz w:val="24"/>
        </w:rPr>
        <w:t xml:space="preserve"> staffing mandate</w:t>
      </w:r>
      <w:r w:rsidR="00840FE9">
        <w:rPr>
          <w:rFonts w:ascii="Times New Roman" w:hAnsi="Times New Roman" w:cs="Times New Roman"/>
          <w:noProof/>
          <w:sz w:val="24"/>
        </w:rPr>
        <w:t>s</w:t>
      </w:r>
      <w:r w:rsidRPr="00F2695E">
        <w:rPr>
          <w:rFonts w:ascii="Times New Roman" w:hAnsi="Times New Roman" w:cs="Times New Roman"/>
          <w:noProof/>
          <w:sz w:val="24"/>
        </w:rPr>
        <w:t xml:space="preserve"> compared</w:t>
      </w:r>
      <w:r w:rsidR="0078756D">
        <w:rPr>
          <w:rFonts w:ascii="Times New Roman" w:hAnsi="Times New Roman" w:cs="Times New Roman"/>
          <w:noProof/>
          <w:sz w:val="24"/>
        </w:rPr>
        <w:t xml:space="preserve"> to</w:t>
      </w:r>
      <w:r w:rsidRPr="00F2695E">
        <w:rPr>
          <w:rFonts w:ascii="Times New Roman" w:hAnsi="Times New Roman" w:cs="Times New Roman"/>
          <w:noProof/>
          <w:sz w:val="24"/>
        </w:rPr>
        <w:t xml:space="preserve"> </w:t>
      </w:r>
      <w:r w:rsidR="0078756D">
        <w:rPr>
          <w:rFonts w:ascii="Times New Roman" w:hAnsi="Times New Roman" w:cs="Times New Roman"/>
          <w:noProof/>
          <w:sz w:val="24"/>
        </w:rPr>
        <w:t xml:space="preserve">states </w:t>
      </w:r>
      <w:r w:rsidRPr="00F2695E">
        <w:rPr>
          <w:rFonts w:ascii="Times New Roman" w:hAnsi="Times New Roman" w:cs="Times New Roman"/>
          <w:noProof/>
          <w:sz w:val="24"/>
        </w:rPr>
        <w:t>with no laws</w:t>
      </w:r>
      <w:r w:rsidR="009A2C9D">
        <w:rPr>
          <w:rFonts w:ascii="Times New Roman" w:hAnsi="Times New Roman" w:cs="Times New Roman"/>
          <w:noProof/>
          <w:sz w:val="24"/>
        </w:rPr>
        <w:t xml:space="preserve"> before and after the law was implemented</w:t>
      </w:r>
      <w:r w:rsidRPr="00F2695E">
        <w:rPr>
          <w:rFonts w:ascii="Times New Roman" w:hAnsi="Times New Roman" w:cs="Times New Roman"/>
          <w:noProof/>
          <w:sz w:val="24"/>
        </w:rPr>
        <w:t xml:space="preserve">, </w:t>
      </w:r>
      <w:r w:rsidRPr="00F2695E">
        <w:rPr>
          <w:rFonts w:ascii="Times New Roman" w:hAnsi="Times New Roman" w:cs="Times New Roman"/>
          <w:i/>
          <w:sz w:val="24"/>
        </w:rPr>
        <w:t>b</w:t>
      </w:r>
      <w:r w:rsidR="0069100C">
        <w:rPr>
          <w:rFonts w:ascii="Times New Roman" w:hAnsi="Times New Roman" w:cs="Times New Roman"/>
          <w:sz w:val="24"/>
          <w:vertAlign w:val="subscript"/>
        </w:rPr>
        <w:t>5</w:t>
      </w:r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78756D">
        <w:rPr>
          <w:rFonts w:ascii="Times New Roman" w:hAnsi="Times New Roman" w:cs="Times New Roman"/>
          <w:noProof/>
          <w:sz w:val="24"/>
        </w:rPr>
        <w:t xml:space="preserve">reprsents the outcome estimate in states that </w:t>
      </w:r>
      <w:r w:rsidR="00CE4CEE">
        <w:rPr>
          <w:rFonts w:ascii="Times New Roman" w:hAnsi="Times New Roman" w:cs="Times New Roman"/>
          <w:noProof/>
          <w:sz w:val="24"/>
        </w:rPr>
        <w:t>legislated</w:t>
      </w:r>
      <w:r>
        <w:rPr>
          <w:rFonts w:ascii="Times New Roman" w:hAnsi="Times New Roman" w:cs="Times New Roman"/>
          <w:noProof/>
          <w:sz w:val="24"/>
        </w:rPr>
        <w:t xml:space="preserve"> </w:t>
      </w:r>
      <w:r w:rsidRPr="00F2695E">
        <w:rPr>
          <w:rFonts w:ascii="Times New Roman" w:hAnsi="Times New Roman" w:cs="Times New Roman"/>
          <w:noProof/>
          <w:sz w:val="24"/>
        </w:rPr>
        <w:t>staffing committee</w:t>
      </w:r>
      <w:r w:rsidR="00CE4CEE">
        <w:rPr>
          <w:rFonts w:ascii="Times New Roman" w:hAnsi="Times New Roman" w:cs="Times New Roman"/>
          <w:noProof/>
          <w:sz w:val="24"/>
        </w:rPr>
        <w:t>s</w:t>
      </w:r>
      <w:r w:rsidRPr="00F2695E">
        <w:rPr>
          <w:rFonts w:ascii="Times New Roman" w:hAnsi="Times New Roman" w:cs="Times New Roman"/>
          <w:noProof/>
          <w:sz w:val="24"/>
        </w:rPr>
        <w:t xml:space="preserve"> compared</w:t>
      </w:r>
      <w:r w:rsidR="0078756D">
        <w:rPr>
          <w:rFonts w:ascii="Times New Roman" w:hAnsi="Times New Roman" w:cs="Times New Roman"/>
          <w:noProof/>
          <w:sz w:val="24"/>
        </w:rPr>
        <w:t xml:space="preserve"> to states</w:t>
      </w:r>
      <w:r w:rsidRPr="00F2695E">
        <w:rPr>
          <w:rFonts w:ascii="Times New Roman" w:hAnsi="Times New Roman" w:cs="Times New Roman"/>
          <w:noProof/>
          <w:sz w:val="24"/>
        </w:rPr>
        <w:t xml:space="preserve"> with no laws</w:t>
      </w:r>
      <w:r w:rsidR="006409A9" w:rsidRPr="006409A9">
        <w:rPr>
          <w:rFonts w:ascii="Times New Roman" w:hAnsi="Times New Roman" w:cs="Times New Roman"/>
          <w:noProof/>
          <w:sz w:val="24"/>
        </w:rPr>
        <w:t xml:space="preserve"> </w:t>
      </w:r>
      <w:r w:rsidR="006409A9">
        <w:rPr>
          <w:rFonts w:ascii="Times New Roman" w:hAnsi="Times New Roman" w:cs="Times New Roman"/>
          <w:noProof/>
          <w:sz w:val="24"/>
        </w:rPr>
        <w:t>before and after the law was implemented</w:t>
      </w:r>
      <w:r w:rsidRPr="00F2695E">
        <w:rPr>
          <w:rFonts w:ascii="Times New Roman" w:hAnsi="Times New Roman" w:cs="Times New Roman"/>
          <w:noProof/>
          <w:sz w:val="24"/>
        </w:rPr>
        <w:t xml:space="preserve">, </w:t>
      </w:r>
      <w:r>
        <w:rPr>
          <w:rFonts w:ascii="Times New Roman" w:hAnsi="Times New Roman" w:cs="Times New Roman"/>
          <w:noProof/>
          <w:sz w:val="24"/>
        </w:rPr>
        <w:t xml:space="preserve">and </w:t>
      </w:r>
      <w:r w:rsidRPr="00F2695E">
        <w:rPr>
          <w:rFonts w:ascii="Times New Roman" w:hAnsi="Times New Roman" w:cs="Times New Roman"/>
          <w:i/>
          <w:sz w:val="24"/>
        </w:rPr>
        <w:t>b</w:t>
      </w:r>
      <w:r w:rsidR="0069100C">
        <w:rPr>
          <w:rFonts w:ascii="Times New Roman" w:hAnsi="Times New Roman" w:cs="Times New Roman"/>
          <w:sz w:val="24"/>
          <w:vertAlign w:val="subscript"/>
        </w:rPr>
        <w:t>6</w:t>
      </w:r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CE4CEE">
        <w:rPr>
          <w:rFonts w:ascii="Times New Roman" w:hAnsi="Times New Roman" w:cs="Times New Roman"/>
          <w:noProof/>
          <w:sz w:val="24"/>
        </w:rPr>
        <w:t xml:space="preserve">represents the estimate in states that legislated </w:t>
      </w:r>
      <w:r w:rsidRPr="00F2695E">
        <w:rPr>
          <w:rFonts w:ascii="Times New Roman" w:hAnsi="Times New Roman" w:cs="Times New Roman"/>
          <w:noProof/>
          <w:sz w:val="24"/>
        </w:rPr>
        <w:t xml:space="preserve">public reporting </w:t>
      </w:r>
      <w:r>
        <w:rPr>
          <w:rFonts w:ascii="Times New Roman" w:hAnsi="Times New Roman" w:cs="Times New Roman"/>
          <w:noProof/>
          <w:sz w:val="24"/>
        </w:rPr>
        <w:t>compared to</w:t>
      </w:r>
      <w:r w:rsidR="00CE4CEE">
        <w:rPr>
          <w:rFonts w:ascii="Times New Roman" w:hAnsi="Times New Roman" w:cs="Times New Roman"/>
          <w:noProof/>
          <w:sz w:val="24"/>
        </w:rPr>
        <w:t xml:space="preserve"> states with</w:t>
      </w:r>
      <w:r>
        <w:rPr>
          <w:rFonts w:ascii="Times New Roman" w:hAnsi="Times New Roman" w:cs="Times New Roman"/>
          <w:noProof/>
          <w:sz w:val="24"/>
        </w:rPr>
        <w:t xml:space="preserve"> no laws</w:t>
      </w:r>
      <w:r w:rsidR="006409A9" w:rsidRPr="006409A9">
        <w:rPr>
          <w:rFonts w:ascii="Times New Roman" w:hAnsi="Times New Roman" w:cs="Times New Roman"/>
          <w:noProof/>
          <w:sz w:val="24"/>
        </w:rPr>
        <w:t xml:space="preserve"> </w:t>
      </w:r>
      <w:r w:rsidR="006409A9">
        <w:rPr>
          <w:rFonts w:ascii="Times New Roman" w:hAnsi="Times New Roman" w:cs="Times New Roman"/>
          <w:noProof/>
          <w:sz w:val="24"/>
        </w:rPr>
        <w:t>before and after the law was implemented</w:t>
      </w:r>
      <w:r>
        <w:rPr>
          <w:rFonts w:ascii="Times New Roman" w:hAnsi="Times New Roman" w:cs="Times New Roman"/>
          <w:noProof/>
          <w:sz w:val="24"/>
        </w:rPr>
        <w:t xml:space="preserve">. </w:t>
      </w:r>
    </w:p>
    <w:p w14:paraId="47A7F98C" w14:textId="1FA12CC7" w:rsidR="00A66272" w:rsidRDefault="00A66272" w:rsidP="00A66272">
      <w:pPr>
        <w:spacing w:before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specification for model (2) is as following:</w:t>
      </w:r>
    </w:p>
    <w:p w14:paraId="121D565D" w14:textId="77777777" w:rsidR="00A66272" w:rsidRPr="001977D8" w:rsidRDefault="00A66272" w:rsidP="00A66272">
      <w:pPr>
        <w:spacing w:before="120" w:line="480" w:lineRule="auto"/>
        <w:jc w:val="center"/>
        <w:rPr>
          <w:rFonts w:ascii="Times New Roman" w:hAnsi="Times New Roman" w:cs="Times New Roman"/>
          <w:sz w:val="24"/>
        </w:rPr>
      </w:pPr>
      <w:r w:rsidRPr="001977D8">
        <w:rPr>
          <w:rFonts w:ascii="Times New Roman" w:hAnsi="Times New Roman" w:cs="Times New Roman"/>
          <w:i/>
          <w:noProof/>
          <w:sz w:val="24"/>
        </w:rPr>
        <w:t>Y</w:t>
      </w:r>
      <w:r w:rsidRPr="001977D8">
        <w:rPr>
          <w:rFonts w:ascii="Times New Roman" w:hAnsi="Times New Roman" w:cs="Times New Roman"/>
          <w:noProof/>
          <w:sz w:val="24"/>
          <w:vertAlign w:val="subscript"/>
        </w:rPr>
        <w:t>ist</w:t>
      </w:r>
      <w:r w:rsidRPr="001977D8">
        <w:rPr>
          <w:rFonts w:ascii="Times New Roman" w:hAnsi="Times New Roman" w:cs="Times New Roman"/>
          <w:i/>
          <w:sz w:val="24"/>
        </w:rPr>
        <w:t xml:space="preserve"> </w:t>
      </w:r>
      <w:r w:rsidRPr="001977D8">
        <w:rPr>
          <w:rFonts w:ascii="Times New Roman" w:hAnsi="Times New Roman" w:cs="Times New Roman"/>
          <w:sz w:val="24"/>
        </w:rPr>
        <w:t xml:space="preserve">= </w:t>
      </w:r>
      <w:r w:rsidRPr="001977D8">
        <w:rPr>
          <w:rFonts w:ascii="Times New Roman" w:hAnsi="Times New Roman" w:cs="Times New Roman"/>
          <w:i/>
          <w:sz w:val="24"/>
        </w:rPr>
        <w:t>b</w:t>
      </w:r>
      <w:r w:rsidRPr="001977D8">
        <w:rPr>
          <w:rFonts w:ascii="Times New Roman" w:hAnsi="Times New Roman" w:cs="Times New Roman"/>
          <w:sz w:val="24"/>
          <w:vertAlign w:val="subscript"/>
        </w:rPr>
        <w:t xml:space="preserve">0 </w:t>
      </w:r>
      <w:r w:rsidRPr="001977D8">
        <w:rPr>
          <w:rFonts w:ascii="Times New Roman" w:hAnsi="Times New Roman" w:cs="Times New Roman"/>
          <w:sz w:val="24"/>
        </w:rPr>
        <w:t xml:space="preserve">+ </w:t>
      </w:r>
      <w:r w:rsidRPr="001977D8">
        <w:rPr>
          <w:rFonts w:ascii="Times New Roman" w:hAnsi="Times New Roman" w:cs="Times New Roman"/>
          <w:i/>
          <w:sz w:val="24"/>
        </w:rPr>
        <w:t>b</w:t>
      </w:r>
      <w:r w:rsidRPr="001977D8">
        <w:rPr>
          <w:rFonts w:ascii="Times New Roman" w:hAnsi="Times New Roman" w:cs="Times New Roman"/>
          <w:sz w:val="24"/>
          <w:vertAlign w:val="subscript"/>
        </w:rPr>
        <w:t>1</w:t>
      </w:r>
      <w:r w:rsidRPr="001977D8">
        <w:rPr>
          <w:rFonts w:ascii="Times New Roman" w:hAnsi="Times New Roman" w:cs="Times New Roman"/>
          <w:sz w:val="24"/>
        </w:rPr>
        <w:t>committee</w:t>
      </w:r>
      <w:r w:rsidRPr="001977D8">
        <w:rPr>
          <w:rFonts w:ascii="Times New Roman" w:hAnsi="Times New Roman" w:cs="Times New Roman"/>
          <w:sz w:val="24"/>
          <w:vertAlign w:val="subscript"/>
        </w:rPr>
        <w:t>i</w:t>
      </w:r>
      <w:r w:rsidRPr="001977D8">
        <w:rPr>
          <w:rFonts w:ascii="Times New Roman" w:hAnsi="Times New Roman" w:cs="Times New Roman"/>
          <w:sz w:val="24"/>
        </w:rPr>
        <w:t xml:space="preserve"> + </w:t>
      </w:r>
      <w:r w:rsidRPr="001977D8">
        <w:rPr>
          <w:rFonts w:ascii="Times New Roman" w:hAnsi="Times New Roman" w:cs="Times New Roman"/>
          <w:i/>
          <w:sz w:val="24"/>
        </w:rPr>
        <w:t>b</w:t>
      </w:r>
      <w:r>
        <w:rPr>
          <w:rFonts w:ascii="Times New Roman" w:hAnsi="Times New Roman" w:cs="Times New Roman"/>
          <w:sz w:val="24"/>
          <w:vertAlign w:val="subscript"/>
        </w:rPr>
        <w:t>2</w:t>
      </w:r>
      <w:r w:rsidRPr="001977D8">
        <w:rPr>
          <w:rFonts w:ascii="Times New Roman" w:hAnsi="Times New Roman" w:cs="Times New Roman"/>
          <w:sz w:val="24"/>
        </w:rPr>
        <w:t>reporting</w:t>
      </w:r>
      <w:r w:rsidRPr="001977D8">
        <w:rPr>
          <w:rFonts w:ascii="Times New Roman" w:hAnsi="Times New Roman" w:cs="Times New Roman"/>
          <w:sz w:val="24"/>
          <w:vertAlign w:val="subscript"/>
        </w:rPr>
        <w:t>i</w:t>
      </w:r>
      <w:r w:rsidRPr="001977D8">
        <w:rPr>
          <w:rFonts w:ascii="Times New Roman" w:hAnsi="Times New Roman" w:cs="Times New Roman"/>
          <w:sz w:val="24"/>
        </w:rPr>
        <w:t xml:space="preserve"> </w:t>
      </w:r>
      <w:r w:rsidRPr="001977D8">
        <w:rPr>
          <w:rFonts w:ascii="Times New Roman" w:hAnsi="Times New Roman" w:cs="Times New Roman" w:hint="eastAsia"/>
          <w:sz w:val="24"/>
        </w:rPr>
        <w:t>+</w:t>
      </w:r>
      <w:r w:rsidRPr="001977D8">
        <w:rPr>
          <w:rFonts w:ascii="Times New Roman" w:hAnsi="Times New Roman" w:cs="Times New Roman"/>
          <w:sz w:val="24"/>
        </w:rPr>
        <w:t xml:space="preserve"> </w:t>
      </w:r>
      <w:r w:rsidRPr="001977D8">
        <w:rPr>
          <w:rFonts w:ascii="Times New Roman" w:hAnsi="Times New Roman" w:cs="Times New Roman"/>
          <w:i/>
          <w:sz w:val="24"/>
        </w:rPr>
        <w:t>b</w:t>
      </w:r>
      <w:r>
        <w:rPr>
          <w:rFonts w:ascii="Times New Roman" w:hAnsi="Times New Roman" w:cs="Times New Roman"/>
          <w:sz w:val="24"/>
          <w:vertAlign w:val="subscript"/>
        </w:rPr>
        <w:t>3</w:t>
      </w:r>
      <w:r w:rsidRPr="001977D8">
        <w:rPr>
          <w:rFonts w:ascii="Times New Roman" w:hAnsi="Times New Roman" w:cs="Times New Roman"/>
          <w:sz w:val="24"/>
        </w:rPr>
        <w:t>committee_post</w:t>
      </w:r>
      <w:r w:rsidRPr="001977D8">
        <w:rPr>
          <w:rFonts w:ascii="Times New Roman" w:hAnsi="Times New Roman" w:cs="Times New Roman"/>
          <w:sz w:val="24"/>
          <w:vertAlign w:val="subscript"/>
        </w:rPr>
        <w:t>it</w:t>
      </w:r>
      <w:r w:rsidRPr="001977D8">
        <w:rPr>
          <w:rFonts w:ascii="Times New Roman" w:hAnsi="Times New Roman" w:cs="Times New Roman"/>
          <w:sz w:val="24"/>
        </w:rPr>
        <w:t xml:space="preserve"> + </w:t>
      </w:r>
      <w:r w:rsidRPr="001977D8">
        <w:rPr>
          <w:rFonts w:ascii="Times New Roman" w:hAnsi="Times New Roman" w:cs="Times New Roman"/>
          <w:i/>
          <w:sz w:val="24"/>
        </w:rPr>
        <w:t>b</w:t>
      </w:r>
      <w:r>
        <w:rPr>
          <w:rFonts w:ascii="Times New Roman" w:hAnsi="Times New Roman" w:cs="Times New Roman"/>
          <w:sz w:val="24"/>
          <w:vertAlign w:val="subscript"/>
        </w:rPr>
        <w:t>4</w:t>
      </w:r>
      <w:r w:rsidRPr="001977D8">
        <w:rPr>
          <w:rFonts w:ascii="Times New Roman" w:hAnsi="Times New Roman" w:cs="Times New Roman"/>
          <w:sz w:val="24"/>
        </w:rPr>
        <w:t>reporting_post</w:t>
      </w:r>
      <w:r w:rsidRPr="001977D8">
        <w:rPr>
          <w:rFonts w:ascii="Times New Roman" w:hAnsi="Times New Roman" w:cs="Times New Roman"/>
          <w:sz w:val="24"/>
          <w:vertAlign w:val="subscript"/>
        </w:rPr>
        <w:t>it</w:t>
      </w:r>
      <w:r w:rsidRPr="001977D8">
        <w:rPr>
          <w:rFonts w:ascii="Times New Roman" w:hAnsi="Times New Roman" w:cs="Times New Roman"/>
          <w:sz w:val="24"/>
        </w:rPr>
        <w:t xml:space="preserve"> + </w:t>
      </w:r>
      <w:r w:rsidRPr="001977D8">
        <w:rPr>
          <w:rFonts w:ascii="Times New Roman" w:hAnsi="Times New Roman" w:cs="Times New Roman"/>
          <w:i/>
          <w:sz w:val="24"/>
        </w:rPr>
        <w:t>b</w:t>
      </w:r>
      <w:r>
        <w:rPr>
          <w:rFonts w:ascii="Times New Roman" w:hAnsi="Times New Roman" w:cs="Times New Roman"/>
          <w:sz w:val="24"/>
          <w:vertAlign w:val="subscript"/>
        </w:rPr>
        <w:t>5</w:t>
      </w:r>
      <w:r w:rsidRPr="001977D8">
        <w:rPr>
          <w:rFonts w:ascii="Times New Roman" w:hAnsi="Times New Roman" w:cs="Times New Roman"/>
          <w:i/>
          <w:sz w:val="24"/>
        </w:rPr>
        <w:t>X</w:t>
      </w:r>
      <w:r w:rsidRPr="001977D8">
        <w:rPr>
          <w:rFonts w:ascii="Times New Roman" w:hAnsi="Times New Roman" w:cs="Times New Roman"/>
          <w:sz w:val="24"/>
          <w:vertAlign w:val="subscript"/>
        </w:rPr>
        <w:t>ist</w:t>
      </w:r>
      <w:r w:rsidRPr="001977D8">
        <w:rPr>
          <w:rFonts w:ascii="Times New Roman" w:hAnsi="Times New Roman" w:cs="Times New Roman"/>
          <w:sz w:val="24"/>
        </w:rPr>
        <w:t xml:space="preserve"> + </w:t>
      </w:r>
      <w:r w:rsidRPr="001977D8">
        <w:rPr>
          <w:rFonts w:ascii="Times New Roman" w:hAnsi="Times New Roman" w:cs="Times New Roman"/>
          <w:i/>
          <w:noProof/>
          <w:sz w:val="24"/>
        </w:rPr>
        <w:t>u</w:t>
      </w:r>
      <w:r w:rsidRPr="001977D8">
        <w:rPr>
          <w:rFonts w:ascii="Times New Roman" w:hAnsi="Times New Roman" w:cs="Times New Roman"/>
          <w:noProof/>
          <w:sz w:val="24"/>
          <w:vertAlign w:val="subscript"/>
        </w:rPr>
        <w:t>i</w:t>
      </w:r>
      <w:r w:rsidRPr="001977D8">
        <w:rPr>
          <w:rFonts w:ascii="Times New Roman" w:hAnsi="Times New Roman" w:cs="Times New Roman"/>
          <w:sz w:val="24"/>
        </w:rPr>
        <w:t xml:space="preserve"> + </w:t>
      </w:r>
      <w:proofErr w:type="spellStart"/>
      <w:r w:rsidRPr="001977D8">
        <w:rPr>
          <w:rFonts w:ascii="Times New Roman" w:hAnsi="Times New Roman" w:cs="Times New Roman"/>
          <w:i/>
          <w:sz w:val="24"/>
        </w:rPr>
        <w:t>v</w:t>
      </w:r>
      <w:r w:rsidRPr="001977D8">
        <w:rPr>
          <w:rFonts w:ascii="Times New Roman" w:hAnsi="Times New Roman" w:cs="Times New Roman"/>
          <w:sz w:val="24"/>
          <w:vertAlign w:val="subscript"/>
        </w:rPr>
        <w:t>t</w:t>
      </w:r>
      <w:proofErr w:type="spellEnd"/>
      <w:r w:rsidRPr="001977D8">
        <w:rPr>
          <w:rFonts w:ascii="Times New Roman" w:hAnsi="Times New Roman" w:cs="Times New Roman"/>
          <w:i/>
          <w:sz w:val="24"/>
          <w:vertAlign w:val="subscript"/>
        </w:rPr>
        <w:t xml:space="preserve"> </w:t>
      </w:r>
      <w:r w:rsidRPr="001977D8">
        <w:rPr>
          <w:rFonts w:ascii="Times New Roman" w:hAnsi="Times New Roman" w:cs="Times New Roman"/>
          <w:sz w:val="24"/>
        </w:rPr>
        <w:t xml:space="preserve">+ </w:t>
      </w:r>
      <w:r w:rsidRPr="001977D8">
        <w:rPr>
          <w:rFonts w:ascii="Times New Roman" w:hAnsi="Times New Roman" w:cs="Times New Roman"/>
          <w:i/>
          <w:noProof/>
          <w:sz w:val="24"/>
        </w:rPr>
        <w:t>e</w:t>
      </w:r>
      <w:r w:rsidRPr="001977D8">
        <w:rPr>
          <w:rFonts w:ascii="Times New Roman" w:hAnsi="Times New Roman" w:cs="Times New Roman"/>
          <w:noProof/>
          <w:sz w:val="24"/>
          <w:vertAlign w:val="subscript"/>
        </w:rPr>
        <w:t>ist</w:t>
      </w:r>
      <w:r>
        <w:rPr>
          <w:rFonts w:ascii="Times New Roman" w:hAnsi="Times New Roman" w:cs="Times New Roman"/>
          <w:sz w:val="24"/>
          <w:vertAlign w:val="subscript"/>
        </w:rPr>
        <w:tab/>
      </w:r>
      <w:r w:rsidRPr="001977D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</w:t>
      </w:r>
      <w:r w:rsidRPr="001977D8">
        <w:rPr>
          <w:rFonts w:ascii="Times New Roman" w:hAnsi="Times New Roman" w:cs="Times New Roman"/>
          <w:sz w:val="24"/>
        </w:rPr>
        <w:t>)</w:t>
      </w:r>
    </w:p>
    <w:p w14:paraId="42C6F576" w14:textId="77777777" w:rsidR="003B4F5C" w:rsidRDefault="00A66272" w:rsidP="00B75BC4">
      <w:pPr>
        <w:spacing w:before="12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where all variables are explained the same as </w:t>
      </w:r>
      <w:r w:rsidR="003B4F5C">
        <w:rPr>
          <w:rFonts w:ascii="Times New Roman" w:hAnsi="Times New Roman" w:cs="Times New Roman"/>
          <w:sz w:val="24"/>
        </w:rPr>
        <w:t xml:space="preserve">in </w:t>
      </w:r>
      <w:r>
        <w:rPr>
          <w:rFonts w:ascii="Times New Roman" w:hAnsi="Times New Roman" w:cs="Times New Roman"/>
          <w:sz w:val="24"/>
        </w:rPr>
        <w:t>model (1), except that the state that legislated staffing mandate (i.e., California) was excluded.</w:t>
      </w:r>
    </w:p>
    <w:p w14:paraId="57753CBD" w14:textId="7FA046BE" w:rsidR="00A66272" w:rsidRPr="00F2695E" w:rsidRDefault="00A66272" w:rsidP="00B75BC4">
      <w:pPr>
        <w:spacing w:before="120" w:line="480" w:lineRule="auto"/>
        <w:ind w:firstLine="72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2B683444" w14:textId="2DD3B34E" w:rsidR="003B4F5C" w:rsidRDefault="003B4F5C" w:rsidP="003B4F5C">
      <w:pPr>
        <w:spacing w:before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Sensitivity Analysis for Oregon’s </w:t>
      </w:r>
      <w:r w:rsidR="00EB6582">
        <w:rPr>
          <w:rFonts w:ascii="Times New Roman" w:hAnsi="Times New Roman" w:cs="Times New Roman"/>
          <w:b/>
          <w:sz w:val="24"/>
          <w:szCs w:val="24"/>
        </w:rPr>
        <w:t>E</w:t>
      </w:r>
      <w:r w:rsidR="00EB6582">
        <w:rPr>
          <w:rFonts w:ascii="Times New Roman" w:hAnsi="Times New Roman" w:cs="Times New Roman" w:hint="eastAsia"/>
          <w:b/>
          <w:sz w:val="24"/>
          <w:szCs w:val="24"/>
        </w:rPr>
        <w:t>nhan</w:t>
      </w:r>
      <w:r w:rsidR="00EB6582">
        <w:rPr>
          <w:rFonts w:ascii="Times New Roman" w:hAnsi="Times New Roman" w:cs="Times New Roman"/>
          <w:b/>
          <w:sz w:val="24"/>
          <w:szCs w:val="24"/>
        </w:rPr>
        <w:t>cement</w:t>
      </w:r>
      <w:r>
        <w:rPr>
          <w:rFonts w:ascii="Times New Roman" w:hAnsi="Times New Roman" w:cs="Times New Roman"/>
          <w:b/>
          <w:sz w:val="24"/>
          <w:szCs w:val="24"/>
        </w:rPr>
        <w:t xml:space="preserve"> Law in 2015</w:t>
      </w:r>
    </w:p>
    <w:p w14:paraId="57A9CEEC" w14:textId="72C15024" w:rsidR="003B4F5C" w:rsidRDefault="003B4F5C" w:rsidP="003B4F5C">
      <w:pPr>
        <w:spacing w:before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4CD1">
        <w:rPr>
          <w:rFonts w:ascii="Times New Roman" w:hAnsi="Times New Roman" w:cs="Times New Roman"/>
          <w:sz w:val="24"/>
          <w:szCs w:val="24"/>
        </w:rPr>
        <w:t>As suggested</w:t>
      </w:r>
      <w:r>
        <w:rPr>
          <w:rFonts w:ascii="Times New Roman" w:hAnsi="Times New Roman" w:cs="Times New Roman"/>
          <w:sz w:val="24"/>
          <w:szCs w:val="24"/>
        </w:rPr>
        <w:t xml:space="preserve"> by reviewers, we conducted a sensitivity analysis by including in the model (1) a dummy variable indicating the state of Oregon and a dummy variable indicating the state of Oregon interacting with the dummy indicating when Oregon implemented the enhancement law (2015). The model specification is shown as following:</w:t>
      </w:r>
    </w:p>
    <w:p w14:paraId="287412BF" w14:textId="717C3D83" w:rsidR="003B4F5C" w:rsidRPr="001977D8" w:rsidRDefault="003B4F5C" w:rsidP="003B4F5C">
      <w:pPr>
        <w:spacing w:before="120" w:line="480" w:lineRule="auto"/>
        <w:jc w:val="center"/>
        <w:rPr>
          <w:rFonts w:ascii="Times New Roman" w:hAnsi="Times New Roman" w:cs="Times New Roman"/>
          <w:sz w:val="24"/>
        </w:rPr>
      </w:pPr>
      <w:r w:rsidRPr="001977D8">
        <w:rPr>
          <w:rFonts w:ascii="Times New Roman" w:hAnsi="Times New Roman" w:cs="Times New Roman"/>
          <w:i/>
          <w:noProof/>
          <w:sz w:val="24"/>
        </w:rPr>
        <w:lastRenderedPageBreak/>
        <w:t>Y</w:t>
      </w:r>
      <w:r w:rsidRPr="001977D8">
        <w:rPr>
          <w:rFonts w:ascii="Times New Roman" w:hAnsi="Times New Roman" w:cs="Times New Roman"/>
          <w:noProof/>
          <w:sz w:val="24"/>
          <w:vertAlign w:val="subscript"/>
        </w:rPr>
        <w:t>ist</w:t>
      </w:r>
      <w:r w:rsidRPr="001977D8">
        <w:rPr>
          <w:rFonts w:ascii="Times New Roman" w:hAnsi="Times New Roman" w:cs="Times New Roman"/>
          <w:i/>
          <w:sz w:val="24"/>
        </w:rPr>
        <w:t xml:space="preserve"> </w:t>
      </w:r>
      <w:r w:rsidRPr="001977D8">
        <w:rPr>
          <w:rFonts w:ascii="Times New Roman" w:hAnsi="Times New Roman" w:cs="Times New Roman"/>
          <w:sz w:val="24"/>
        </w:rPr>
        <w:t xml:space="preserve">= </w:t>
      </w:r>
      <w:r w:rsidRPr="001977D8">
        <w:rPr>
          <w:rFonts w:ascii="Times New Roman" w:hAnsi="Times New Roman" w:cs="Times New Roman"/>
          <w:i/>
          <w:sz w:val="24"/>
        </w:rPr>
        <w:t>b</w:t>
      </w:r>
      <w:r w:rsidRPr="001977D8">
        <w:rPr>
          <w:rFonts w:ascii="Times New Roman" w:hAnsi="Times New Roman" w:cs="Times New Roman"/>
          <w:sz w:val="24"/>
          <w:vertAlign w:val="subscript"/>
        </w:rPr>
        <w:t xml:space="preserve">0 </w:t>
      </w:r>
      <w:r w:rsidRPr="001977D8">
        <w:rPr>
          <w:rFonts w:ascii="Times New Roman" w:hAnsi="Times New Roman" w:cs="Times New Roman"/>
          <w:sz w:val="24"/>
        </w:rPr>
        <w:t xml:space="preserve">+ </w:t>
      </w:r>
      <w:r w:rsidRPr="001977D8">
        <w:rPr>
          <w:rFonts w:ascii="Times New Roman" w:hAnsi="Times New Roman" w:cs="Times New Roman"/>
          <w:i/>
          <w:sz w:val="24"/>
        </w:rPr>
        <w:t>b</w:t>
      </w:r>
      <w:r w:rsidRPr="001977D8">
        <w:rPr>
          <w:rFonts w:ascii="Times New Roman" w:hAnsi="Times New Roman" w:cs="Times New Roman"/>
          <w:sz w:val="24"/>
          <w:vertAlign w:val="subscript"/>
        </w:rPr>
        <w:t>1</w:t>
      </w:r>
      <w:r w:rsidRPr="001977D8">
        <w:rPr>
          <w:rFonts w:ascii="Times New Roman" w:hAnsi="Times New Roman" w:cs="Times New Roman"/>
          <w:sz w:val="24"/>
        </w:rPr>
        <w:t>mandate</w:t>
      </w:r>
      <w:r w:rsidRPr="001977D8">
        <w:rPr>
          <w:rFonts w:ascii="Times New Roman" w:hAnsi="Times New Roman" w:cs="Times New Roman"/>
          <w:sz w:val="24"/>
          <w:vertAlign w:val="subscript"/>
        </w:rPr>
        <w:t>i</w:t>
      </w:r>
      <w:r w:rsidRPr="001977D8">
        <w:rPr>
          <w:rFonts w:ascii="Times New Roman" w:hAnsi="Times New Roman" w:cs="Times New Roman"/>
          <w:sz w:val="24"/>
        </w:rPr>
        <w:t xml:space="preserve"> + </w:t>
      </w:r>
      <w:r w:rsidRPr="001977D8">
        <w:rPr>
          <w:rFonts w:ascii="Times New Roman" w:hAnsi="Times New Roman" w:cs="Times New Roman"/>
          <w:i/>
          <w:sz w:val="24"/>
        </w:rPr>
        <w:t>b</w:t>
      </w:r>
      <w:r w:rsidRPr="001977D8">
        <w:rPr>
          <w:rFonts w:ascii="Times New Roman" w:hAnsi="Times New Roman" w:cs="Times New Roman"/>
          <w:sz w:val="24"/>
          <w:vertAlign w:val="subscript"/>
        </w:rPr>
        <w:t>2</w:t>
      </w:r>
      <w:r w:rsidRPr="001977D8">
        <w:rPr>
          <w:rFonts w:ascii="Times New Roman" w:hAnsi="Times New Roman" w:cs="Times New Roman"/>
          <w:sz w:val="24"/>
        </w:rPr>
        <w:t>committee</w:t>
      </w:r>
      <w:r w:rsidRPr="001977D8">
        <w:rPr>
          <w:rFonts w:ascii="Times New Roman" w:hAnsi="Times New Roman" w:cs="Times New Roman"/>
          <w:sz w:val="24"/>
          <w:vertAlign w:val="subscript"/>
        </w:rPr>
        <w:t>i</w:t>
      </w:r>
      <w:r w:rsidRPr="001977D8">
        <w:rPr>
          <w:rFonts w:ascii="Times New Roman" w:hAnsi="Times New Roman" w:cs="Times New Roman"/>
          <w:sz w:val="24"/>
        </w:rPr>
        <w:t xml:space="preserve"> + </w:t>
      </w:r>
      <w:r w:rsidRPr="001977D8">
        <w:rPr>
          <w:rFonts w:ascii="Times New Roman" w:hAnsi="Times New Roman" w:cs="Times New Roman"/>
          <w:i/>
          <w:sz w:val="24"/>
        </w:rPr>
        <w:t>b</w:t>
      </w:r>
      <w:r w:rsidRPr="001977D8">
        <w:rPr>
          <w:rFonts w:ascii="Times New Roman" w:hAnsi="Times New Roman" w:cs="Times New Roman"/>
          <w:sz w:val="24"/>
          <w:vertAlign w:val="subscript"/>
        </w:rPr>
        <w:t>3</w:t>
      </w:r>
      <w:r w:rsidRPr="001977D8">
        <w:rPr>
          <w:rFonts w:ascii="Times New Roman" w:hAnsi="Times New Roman" w:cs="Times New Roman"/>
          <w:sz w:val="24"/>
        </w:rPr>
        <w:t>reporting</w:t>
      </w:r>
      <w:r w:rsidRPr="001977D8">
        <w:rPr>
          <w:rFonts w:ascii="Times New Roman" w:hAnsi="Times New Roman" w:cs="Times New Roman"/>
          <w:sz w:val="24"/>
          <w:vertAlign w:val="subscript"/>
        </w:rPr>
        <w:t>i</w:t>
      </w:r>
      <w:r w:rsidRPr="001977D8">
        <w:rPr>
          <w:rFonts w:ascii="Times New Roman" w:hAnsi="Times New Roman" w:cs="Times New Roman"/>
          <w:sz w:val="24"/>
        </w:rPr>
        <w:t xml:space="preserve"> + </w:t>
      </w:r>
      <w:r w:rsidRPr="00C26F68">
        <w:rPr>
          <w:rFonts w:ascii="Times New Roman" w:hAnsi="Times New Roman" w:cs="Times New Roman"/>
          <w:b/>
          <w:bCs/>
          <w:i/>
          <w:sz w:val="24"/>
        </w:rPr>
        <w:t>b</w:t>
      </w:r>
      <w:r w:rsidRPr="00C26F68">
        <w:rPr>
          <w:rFonts w:ascii="Times New Roman" w:hAnsi="Times New Roman" w:cs="Times New Roman"/>
          <w:b/>
          <w:bCs/>
          <w:sz w:val="24"/>
          <w:vertAlign w:val="subscript"/>
        </w:rPr>
        <w:t>4</w:t>
      </w:r>
      <w:r w:rsidRPr="005F2EFE">
        <w:rPr>
          <w:rFonts w:ascii="Times New Roman" w:hAnsi="Times New Roman" w:cs="Times New Roman"/>
          <w:b/>
          <w:bCs/>
          <w:iCs/>
          <w:sz w:val="24"/>
        </w:rPr>
        <w:t>oregon</w:t>
      </w:r>
      <w:r w:rsidRPr="00C26F68">
        <w:rPr>
          <w:rFonts w:ascii="Times New Roman" w:hAnsi="Times New Roman" w:cs="Times New Roman"/>
          <w:b/>
          <w:bCs/>
          <w:sz w:val="24"/>
          <w:vertAlign w:val="subscript"/>
        </w:rPr>
        <w:t>i</w:t>
      </w:r>
      <w:r w:rsidRPr="00C26F68">
        <w:rPr>
          <w:rFonts w:ascii="Times New Roman" w:hAnsi="Times New Roman" w:cs="Times New Roman"/>
          <w:b/>
          <w:bCs/>
          <w:sz w:val="24"/>
        </w:rPr>
        <w:t xml:space="preserve"> </w:t>
      </w:r>
      <w:r w:rsidRPr="001977D8">
        <w:rPr>
          <w:rFonts w:ascii="Times New Roman" w:hAnsi="Times New Roman" w:cs="Times New Roman" w:hint="eastAsia"/>
          <w:sz w:val="24"/>
        </w:rPr>
        <w:t>+</w:t>
      </w:r>
      <w:r w:rsidRPr="001977D8">
        <w:rPr>
          <w:rFonts w:ascii="Times New Roman" w:hAnsi="Times New Roman" w:cs="Times New Roman"/>
          <w:sz w:val="24"/>
        </w:rPr>
        <w:t xml:space="preserve"> </w:t>
      </w:r>
      <w:r w:rsidRPr="001977D8">
        <w:rPr>
          <w:rFonts w:ascii="Times New Roman" w:hAnsi="Times New Roman" w:cs="Times New Roman"/>
          <w:i/>
          <w:sz w:val="24"/>
        </w:rPr>
        <w:t>b</w:t>
      </w:r>
      <w:r>
        <w:rPr>
          <w:rFonts w:ascii="Times New Roman" w:hAnsi="Times New Roman" w:cs="Times New Roman"/>
          <w:sz w:val="24"/>
          <w:vertAlign w:val="subscript"/>
        </w:rPr>
        <w:t>5</w:t>
      </w:r>
      <w:r w:rsidRPr="001977D8">
        <w:rPr>
          <w:rFonts w:ascii="Times New Roman" w:hAnsi="Times New Roman" w:cs="Times New Roman"/>
          <w:sz w:val="24"/>
        </w:rPr>
        <w:t>mandate_post</w:t>
      </w:r>
      <w:r w:rsidRPr="001977D8">
        <w:rPr>
          <w:rFonts w:ascii="Times New Roman" w:hAnsi="Times New Roman" w:cs="Times New Roman"/>
          <w:sz w:val="24"/>
          <w:vertAlign w:val="subscript"/>
        </w:rPr>
        <w:t>it</w:t>
      </w:r>
      <w:r w:rsidRPr="001977D8">
        <w:rPr>
          <w:rFonts w:ascii="Times New Roman" w:hAnsi="Times New Roman" w:cs="Times New Roman"/>
          <w:sz w:val="24"/>
        </w:rPr>
        <w:t xml:space="preserve"> + </w:t>
      </w:r>
      <w:r w:rsidRPr="001977D8">
        <w:rPr>
          <w:rFonts w:ascii="Times New Roman" w:hAnsi="Times New Roman" w:cs="Times New Roman"/>
          <w:i/>
          <w:sz w:val="24"/>
        </w:rPr>
        <w:t>b</w:t>
      </w:r>
      <w:r>
        <w:rPr>
          <w:rFonts w:ascii="Times New Roman" w:hAnsi="Times New Roman" w:cs="Times New Roman"/>
          <w:sz w:val="24"/>
          <w:vertAlign w:val="subscript"/>
        </w:rPr>
        <w:t>6</w:t>
      </w:r>
      <w:r w:rsidRPr="001977D8">
        <w:rPr>
          <w:rFonts w:ascii="Times New Roman" w:hAnsi="Times New Roman" w:cs="Times New Roman"/>
          <w:sz w:val="24"/>
        </w:rPr>
        <w:t>committee_post</w:t>
      </w:r>
      <w:r w:rsidRPr="001977D8">
        <w:rPr>
          <w:rFonts w:ascii="Times New Roman" w:hAnsi="Times New Roman" w:cs="Times New Roman"/>
          <w:sz w:val="24"/>
          <w:vertAlign w:val="subscript"/>
        </w:rPr>
        <w:t>it</w:t>
      </w:r>
      <w:r w:rsidRPr="001977D8">
        <w:rPr>
          <w:rFonts w:ascii="Times New Roman" w:hAnsi="Times New Roman" w:cs="Times New Roman"/>
          <w:sz w:val="24"/>
        </w:rPr>
        <w:t xml:space="preserve"> + </w:t>
      </w:r>
      <w:r w:rsidRPr="001977D8">
        <w:rPr>
          <w:rFonts w:ascii="Times New Roman" w:hAnsi="Times New Roman" w:cs="Times New Roman"/>
          <w:i/>
          <w:sz w:val="24"/>
        </w:rPr>
        <w:t>b</w:t>
      </w:r>
      <w:r>
        <w:rPr>
          <w:rFonts w:ascii="Times New Roman" w:hAnsi="Times New Roman" w:cs="Times New Roman"/>
          <w:sz w:val="24"/>
          <w:vertAlign w:val="subscript"/>
        </w:rPr>
        <w:t>7</w:t>
      </w:r>
      <w:r w:rsidRPr="001977D8">
        <w:rPr>
          <w:rFonts w:ascii="Times New Roman" w:hAnsi="Times New Roman" w:cs="Times New Roman"/>
          <w:sz w:val="24"/>
        </w:rPr>
        <w:t>reporting_post</w:t>
      </w:r>
      <w:r w:rsidRPr="001977D8">
        <w:rPr>
          <w:rFonts w:ascii="Times New Roman" w:hAnsi="Times New Roman" w:cs="Times New Roman"/>
          <w:sz w:val="24"/>
          <w:vertAlign w:val="subscript"/>
        </w:rPr>
        <w:t>it</w:t>
      </w:r>
      <w:r w:rsidRPr="001977D8">
        <w:rPr>
          <w:rFonts w:ascii="Times New Roman" w:hAnsi="Times New Roman" w:cs="Times New Roman"/>
          <w:sz w:val="24"/>
        </w:rPr>
        <w:t xml:space="preserve"> + </w:t>
      </w:r>
      <w:r w:rsidRPr="00C26F68">
        <w:rPr>
          <w:rFonts w:ascii="Times New Roman" w:hAnsi="Times New Roman" w:cs="Times New Roman"/>
          <w:b/>
          <w:bCs/>
          <w:i/>
          <w:sz w:val="24"/>
        </w:rPr>
        <w:t>b</w:t>
      </w:r>
      <w:r w:rsidRPr="00C26F68">
        <w:rPr>
          <w:rFonts w:ascii="Times New Roman" w:hAnsi="Times New Roman" w:cs="Times New Roman"/>
          <w:b/>
          <w:bCs/>
          <w:sz w:val="24"/>
          <w:vertAlign w:val="subscript"/>
        </w:rPr>
        <w:t>8</w:t>
      </w:r>
      <w:r w:rsidRPr="00C26F68">
        <w:rPr>
          <w:rFonts w:ascii="Times New Roman" w:hAnsi="Times New Roman" w:cs="Times New Roman"/>
          <w:b/>
          <w:bCs/>
          <w:sz w:val="24"/>
        </w:rPr>
        <w:t>oregon_post</w:t>
      </w:r>
      <w:r w:rsidRPr="00C26F68">
        <w:rPr>
          <w:rFonts w:ascii="Times New Roman" w:hAnsi="Times New Roman" w:cs="Times New Roman"/>
          <w:b/>
          <w:bCs/>
          <w:sz w:val="24"/>
          <w:vertAlign w:val="subscript"/>
        </w:rPr>
        <w:t>it</w:t>
      </w:r>
      <w:r w:rsidRPr="001977D8">
        <w:rPr>
          <w:rFonts w:ascii="Times New Roman" w:hAnsi="Times New Roman" w:cs="Times New Roman"/>
          <w:sz w:val="24"/>
        </w:rPr>
        <w:t xml:space="preserve"> + </w:t>
      </w:r>
      <w:r w:rsidRPr="001977D8">
        <w:rPr>
          <w:rFonts w:ascii="Times New Roman" w:hAnsi="Times New Roman" w:cs="Times New Roman"/>
          <w:i/>
          <w:sz w:val="24"/>
        </w:rPr>
        <w:t>b</w:t>
      </w:r>
      <w:r>
        <w:rPr>
          <w:rFonts w:ascii="Times New Roman" w:hAnsi="Times New Roman" w:cs="Times New Roman"/>
          <w:sz w:val="24"/>
          <w:vertAlign w:val="subscript"/>
        </w:rPr>
        <w:t>9</w:t>
      </w:r>
      <w:r w:rsidRPr="001977D8">
        <w:rPr>
          <w:rFonts w:ascii="Times New Roman" w:hAnsi="Times New Roman" w:cs="Times New Roman"/>
          <w:i/>
          <w:sz w:val="24"/>
        </w:rPr>
        <w:t>X</w:t>
      </w:r>
      <w:r w:rsidRPr="001977D8">
        <w:rPr>
          <w:rFonts w:ascii="Times New Roman" w:hAnsi="Times New Roman" w:cs="Times New Roman"/>
          <w:sz w:val="24"/>
          <w:vertAlign w:val="subscript"/>
        </w:rPr>
        <w:t>ist</w:t>
      </w:r>
      <w:r w:rsidRPr="001977D8">
        <w:rPr>
          <w:rFonts w:ascii="Times New Roman" w:hAnsi="Times New Roman" w:cs="Times New Roman"/>
          <w:sz w:val="24"/>
        </w:rPr>
        <w:t xml:space="preserve"> + </w:t>
      </w:r>
      <w:r w:rsidRPr="001977D8">
        <w:rPr>
          <w:rFonts w:ascii="Times New Roman" w:hAnsi="Times New Roman" w:cs="Times New Roman"/>
          <w:i/>
          <w:noProof/>
          <w:sz w:val="24"/>
        </w:rPr>
        <w:t>u</w:t>
      </w:r>
      <w:r w:rsidRPr="001977D8">
        <w:rPr>
          <w:rFonts w:ascii="Times New Roman" w:hAnsi="Times New Roman" w:cs="Times New Roman"/>
          <w:noProof/>
          <w:sz w:val="24"/>
          <w:vertAlign w:val="subscript"/>
        </w:rPr>
        <w:t>i</w:t>
      </w:r>
      <w:r w:rsidRPr="001977D8">
        <w:rPr>
          <w:rFonts w:ascii="Times New Roman" w:hAnsi="Times New Roman" w:cs="Times New Roman"/>
          <w:sz w:val="24"/>
        </w:rPr>
        <w:t xml:space="preserve"> + </w:t>
      </w:r>
      <w:proofErr w:type="spellStart"/>
      <w:r w:rsidRPr="001977D8">
        <w:rPr>
          <w:rFonts w:ascii="Times New Roman" w:hAnsi="Times New Roman" w:cs="Times New Roman"/>
          <w:i/>
          <w:sz w:val="24"/>
        </w:rPr>
        <w:t>v</w:t>
      </w:r>
      <w:r w:rsidRPr="001977D8">
        <w:rPr>
          <w:rFonts w:ascii="Times New Roman" w:hAnsi="Times New Roman" w:cs="Times New Roman"/>
          <w:sz w:val="24"/>
          <w:vertAlign w:val="subscript"/>
        </w:rPr>
        <w:t>t</w:t>
      </w:r>
      <w:proofErr w:type="spellEnd"/>
      <w:r w:rsidRPr="001977D8">
        <w:rPr>
          <w:rFonts w:ascii="Times New Roman" w:hAnsi="Times New Roman" w:cs="Times New Roman"/>
          <w:i/>
          <w:sz w:val="24"/>
          <w:vertAlign w:val="subscript"/>
        </w:rPr>
        <w:t xml:space="preserve"> </w:t>
      </w:r>
      <w:r w:rsidRPr="001977D8">
        <w:rPr>
          <w:rFonts w:ascii="Times New Roman" w:hAnsi="Times New Roman" w:cs="Times New Roman"/>
          <w:sz w:val="24"/>
        </w:rPr>
        <w:t xml:space="preserve">+ </w:t>
      </w:r>
      <w:r w:rsidRPr="001977D8">
        <w:rPr>
          <w:rFonts w:ascii="Times New Roman" w:hAnsi="Times New Roman" w:cs="Times New Roman"/>
          <w:i/>
          <w:noProof/>
          <w:sz w:val="24"/>
        </w:rPr>
        <w:t>e</w:t>
      </w:r>
      <w:r w:rsidRPr="001977D8">
        <w:rPr>
          <w:rFonts w:ascii="Times New Roman" w:hAnsi="Times New Roman" w:cs="Times New Roman"/>
          <w:noProof/>
          <w:sz w:val="24"/>
          <w:vertAlign w:val="subscript"/>
        </w:rPr>
        <w:t>ist</w:t>
      </w:r>
      <w:r>
        <w:rPr>
          <w:rFonts w:ascii="Times New Roman" w:hAnsi="Times New Roman" w:cs="Times New Roman"/>
          <w:sz w:val="24"/>
          <w:vertAlign w:val="subscript"/>
        </w:rPr>
        <w:tab/>
      </w:r>
      <w:r w:rsidRPr="001977D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3)</w:t>
      </w:r>
    </w:p>
    <w:p w14:paraId="07FFE928" w14:textId="671087C5" w:rsidR="003B4F5C" w:rsidRDefault="003B4F5C" w:rsidP="003B4F5C">
      <w:pPr>
        <w:spacing w:before="120" w:line="480" w:lineRule="auto"/>
        <w:ind w:firstLine="720"/>
        <w:rPr>
          <w:rFonts w:ascii="Times New Roman" w:hAnsi="Times New Roman" w:cs="Times New Roman"/>
          <w:noProof/>
          <w:sz w:val="24"/>
        </w:rPr>
      </w:pPr>
      <w:r w:rsidRPr="00F2695E">
        <w:rPr>
          <w:rFonts w:ascii="Times New Roman" w:hAnsi="Times New Roman" w:cs="Times New Roman"/>
          <w:sz w:val="24"/>
        </w:rPr>
        <w:t xml:space="preserve">Where </w:t>
      </w:r>
      <w:proofErr w:type="spellStart"/>
      <w:r w:rsidRPr="005F2EFE">
        <w:rPr>
          <w:rFonts w:ascii="Times New Roman" w:hAnsi="Times New Roman" w:cs="Times New Roman"/>
          <w:iCs/>
          <w:sz w:val="24"/>
        </w:rPr>
        <w:t>oregon</w:t>
      </w:r>
      <w:r w:rsidRPr="005F2EFE">
        <w:rPr>
          <w:rFonts w:ascii="Times New Roman" w:hAnsi="Times New Roman" w:cs="Times New Roman"/>
          <w:iCs/>
          <w:noProof/>
          <w:sz w:val="24"/>
          <w:vertAlign w:val="subscript"/>
        </w:rPr>
        <w:t>i</w:t>
      </w:r>
      <w:proofErr w:type="spellEnd"/>
      <w:r w:rsidRPr="00F2695E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F2695E">
        <w:rPr>
          <w:rFonts w:ascii="Times New Roman" w:hAnsi="Times New Roman" w:cs="Times New Roman"/>
          <w:sz w:val="24"/>
        </w:rPr>
        <w:t xml:space="preserve">is a dummy variable indicating hospital </w:t>
      </w:r>
      <w:r w:rsidRPr="00F2695E">
        <w:rPr>
          <w:rFonts w:ascii="Times New Roman" w:hAnsi="Times New Roman" w:cs="Times New Roman"/>
          <w:i/>
          <w:noProof/>
          <w:sz w:val="24"/>
        </w:rPr>
        <w:t>i</w:t>
      </w:r>
      <w:r w:rsidRPr="00F2695E">
        <w:rPr>
          <w:rFonts w:ascii="Times New Roman" w:hAnsi="Times New Roman" w:cs="Times New Roman"/>
          <w:sz w:val="24"/>
        </w:rPr>
        <w:t xml:space="preserve"> = 1 </w:t>
      </w:r>
      <w:r>
        <w:rPr>
          <w:rFonts w:ascii="Times New Roman" w:hAnsi="Times New Roman" w:cs="Times New Roman"/>
          <w:sz w:val="24"/>
        </w:rPr>
        <w:t>in the state of Oregon,</w:t>
      </w:r>
      <w:r w:rsidRPr="00F2695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oregon</w:t>
      </w:r>
      <w:r>
        <w:rPr>
          <w:rFonts w:ascii="Times New Roman" w:hAnsi="Times New Roman" w:cs="Times New Roman"/>
          <w:noProof/>
          <w:sz w:val="24"/>
        </w:rPr>
        <w:t>_post</w:t>
      </w:r>
      <w:r w:rsidRPr="00F33E90">
        <w:rPr>
          <w:rFonts w:ascii="Times New Roman" w:hAnsi="Times New Roman" w:cs="Times New Roman"/>
          <w:noProof/>
          <w:sz w:val="24"/>
          <w:vertAlign w:val="subscript"/>
        </w:rPr>
        <w:t>it</w:t>
      </w:r>
      <w:proofErr w:type="spellEnd"/>
      <w:r w:rsidRPr="00F2695E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F2695E">
        <w:rPr>
          <w:rFonts w:ascii="Times New Roman" w:hAnsi="Times New Roman" w:cs="Times New Roman"/>
          <w:sz w:val="24"/>
        </w:rPr>
        <w:t xml:space="preserve">is a dummy variable indicating hospital </w:t>
      </w:r>
      <w:r w:rsidRPr="00F2695E">
        <w:rPr>
          <w:rFonts w:ascii="Times New Roman" w:hAnsi="Times New Roman" w:cs="Times New Roman"/>
          <w:i/>
          <w:noProof/>
          <w:sz w:val="24"/>
        </w:rPr>
        <w:t>i</w:t>
      </w:r>
      <w:r w:rsidRPr="00F2695E">
        <w:rPr>
          <w:rFonts w:ascii="Times New Roman" w:hAnsi="Times New Roman" w:cs="Times New Roman"/>
          <w:sz w:val="24"/>
        </w:rPr>
        <w:t xml:space="preserve"> = 1 </w:t>
      </w:r>
      <w:r>
        <w:rPr>
          <w:rFonts w:ascii="Times New Roman" w:hAnsi="Times New Roman" w:cs="Times New Roman"/>
          <w:sz w:val="24"/>
        </w:rPr>
        <w:t xml:space="preserve">in the state of Oregon and at year </w:t>
      </w:r>
      <w:r w:rsidRPr="00DA6B4B">
        <w:rPr>
          <w:rFonts w:ascii="Times New Roman" w:hAnsi="Times New Roman" w:cs="Times New Roman"/>
          <w:i/>
          <w:sz w:val="24"/>
        </w:rPr>
        <w:t>t</w:t>
      </w:r>
      <w:r w:rsidRPr="00F269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when the law was in effect (year&gt;=2015)</w:t>
      </w:r>
      <w:r w:rsidRPr="00F2695E">
        <w:rPr>
          <w:rFonts w:ascii="Times New Roman" w:hAnsi="Times New Roman" w:cs="Times New Roman"/>
          <w:noProof/>
          <w:sz w:val="24"/>
        </w:rPr>
        <w:t xml:space="preserve">. The coefficient </w:t>
      </w:r>
      <w:r w:rsidRPr="00F2695E">
        <w:rPr>
          <w:rFonts w:ascii="Times New Roman" w:hAnsi="Times New Roman" w:cs="Times New Roman"/>
          <w:i/>
          <w:sz w:val="24"/>
        </w:rPr>
        <w:t>b</w:t>
      </w:r>
      <w:r>
        <w:rPr>
          <w:rFonts w:ascii="Times New Roman" w:hAnsi="Times New Roman" w:cs="Times New Roman"/>
          <w:sz w:val="24"/>
          <w:vertAlign w:val="subscript"/>
        </w:rPr>
        <w:t>8</w:t>
      </w:r>
      <w:r w:rsidRPr="00F2695E">
        <w:rPr>
          <w:rFonts w:ascii="Times New Roman" w:hAnsi="Times New Roman" w:cs="Times New Roman"/>
          <w:noProof/>
          <w:sz w:val="24"/>
        </w:rPr>
        <w:t xml:space="preserve"> represent</w:t>
      </w:r>
      <w:r>
        <w:rPr>
          <w:rFonts w:ascii="Times New Roman" w:hAnsi="Times New Roman" w:cs="Times New Roman"/>
          <w:noProof/>
          <w:sz w:val="24"/>
        </w:rPr>
        <w:t>s the difference-in-difference</w:t>
      </w:r>
      <w:r w:rsidRPr="0078756D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 xml:space="preserve">estimate in the state of Oregon </w:t>
      </w:r>
      <w:r w:rsidRPr="00F2695E">
        <w:rPr>
          <w:rFonts w:ascii="Times New Roman" w:hAnsi="Times New Roman" w:cs="Times New Roman"/>
          <w:noProof/>
          <w:sz w:val="24"/>
        </w:rPr>
        <w:t>compared</w:t>
      </w:r>
      <w:r>
        <w:rPr>
          <w:rFonts w:ascii="Times New Roman" w:hAnsi="Times New Roman" w:cs="Times New Roman"/>
          <w:noProof/>
          <w:sz w:val="24"/>
        </w:rPr>
        <w:t xml:space="preserve"> to</w:t>
      </w:r>
      <w:r w:rsidRPr="00F2695E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 xml:space="preserve">states </w:t>
      </w:r>
      <w:r w:rsidRPr="00F2695E">
        <w:rPr>
          <w:rFonts w:ascii="Times New Roman" w:hAnsi="Times New Roman" w:cs="Times New Roman"/>
          <w:noProof/>
          <w:sz w:val="24"/>
        </w:rPr>
        <w:t>with no laws</w:t>
      </w:r>
      <w:r>
        <w:rPr>
          <w:rFonts w:ascii="Times New Roman" w:hAnsi="Times New Roman" w:cs="Times New Roman"/>
          <w:noProof/>
          <w:sz w:val="24"/>
        </w:rPr>
        <w:t xml:space="preserve"> before and after the law was implemented. Others are exaplained the same as in model (1), as described above. </w:t>
      </w:r>
    </w:p>
    <w:p w14:paraId="6D75E46B" w14:textId="77777777" w:rsidR="003B4F5C" w:rsidRPr="003B4F5C" w:rsidRDefault="003B4F5C" w:rsidP="003B4F5C">
      <w:pPr>
        <w:spacing w:before="120" w:line="480" w:lineRule="auto"/>
        <w:ind w:firstLine="720"/>
        <w:rPr>
          <w:rFonts w:ascii="Times New Roman" w:hAnsi="Times New Roman" w:cs="Times New Roman"/>
          <w:b/>
          <w:bCs/>
          <w:noProof/>
          <w:sz w:val="24"/>
        </w:rPr>
      </w:pPr>
    </w:p>
    <w:p w14:paraId="1B416283" w14:textId="42859CED" w:rsidR="003B4F5C" w:rsidRPr="003B4F5C" w:rsidRDefault="003B4F5C" w:rsidP="003B4F5C">
      <w:pPr>
        <w:spacing w:before="120" w:line="480" w:lineRule="auto"/>
        <w:rPr>
          <w:rFonts w:ascii="Times New Roman" w:hAnsi="Times New Roman" w:cs="Times New Roman"/>
          <w:b/>
          <w:bCs/>
          <w:noProof/>
          <w:sz w:val="24"/>
        </w:rPr>
      </w:pPr>
      <w:r w:rsidRPr="003B4F5C">
        <w:rPr>
          <w:rFonts w:ascii="Times New Roman" w:hAnsi="Times New Roman" w:cs="Times New Roman"/>
          <w:b/>
          <w:bCs/>
          <w:noProof/>
          <w:sz w:val="24"/>
        </w:rPr>
        <w:t>C</w:t>
      </w:r>
      <w:r w:rsidRPr="003B4F5C">
        <w:rPr>
          <w:rFonts w:ascii="Times New Roman" w:hAnsi="Times New Roman" w:cs="Times New Roman" w:hint="eastAsia"/>
          <w:b/>
          <w:bCs/>
          <w:noProof/>
          <w:sz w:val="24"/>
        </w:rPr>
        <w:t>ontro</w:t>
      </w:r>
      <w:r w:rsidRPr="003B4F5C">
        <w:rPr>
          <w:rFonts w:ascii="Times New Roman" w:hAnsi="Times New Roman" w:cs="Times New Roman"/>
          <w:b/>
          <w:bCs/>
          <w:noProof/>
          <w:sz w:val="24"/>
        </w:rPr>
        <w:t>l Variables</w:t>
      </w:r>
    </w:p>
    <w:p w14:paraId="7D0599AA" w14:textId="476DB972" w:rsidR="00401C1A" w:rsidRDefault="00476149" w:rsidP="00401C1A">
      <w:pPr>
        <w:spacing w:before="12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The control variables </w:t>
      </w:r>
      <w:r w:rsidR="009A58DD">
        <w:rPr>
          <w:rFonts w:ascii="Times New Roman" w:hAnsi="Times New Roman" w:cs="Times New Roman"/>
          <w:sz w:val="24"/>
        </w:rPr>
        <w:t>include</w:t>
      </w:r>
      <w:r>
        <w:rPr>
          <w:rFonts w:ascii="Times New Roman" w:hAnsi="Times New Roman" w:cs="Times New Roman"/>
          <w:sz w:val="24"/>
        </w:rPr>
        <w:t>d</w:t>
      </w:r>
      <w:r w:rsidR="008773FF">
        <w:rPr>
          <w:rFonts w:ascii="Times New Roman" w:hAnsi="Times New Roman" w:cs="Times New Roman"/>
          <w:sz w:val="24"/>
        </w:rPr>
        <w:t xml:space="preserve"> hospital characteristics, </w:t>
      </w:r>
      <w:proofErr w:type="spellStart"/>
      <w:r w:rsidR="00842EBC">
        <w:rPr>
          <w:rFonts w:ascii="Times New Roman" w:hAnsi="Times New Roman" w:cs="Times New Roman"/>
          <w:sz w:val="24"/>
        </w:rPr>
        <w:t>S</w:t>
      </w:r>
      <w:r w:rsidR="00842EBC">
        <w:rPr>
          <w:rFonts w:ascii="Times New Roman" w:hAnsi="Times New Roman" w:cs="Times New Roman" w:hint="eastAsia"/>
          <w:sz w:val="24"/>
        </w:rPr>
        <w:t>a</w:t>
      </w:r>
      <w:r w:rsidR="00842EBC">
        <w:rPr>
          <w:rFonts w:ascii="Times New Roman" w:hAnsi="Times New Roman" w:cs="Times New Roman"/>
          <w:sz w:val="24"/>
        </w:rPr>
        <w:t>idin</w:t>
      </w:r>
      <w:proofErr w:type="spellEnd"/>
      <w:r w:rsidR="00842EBC">
        <w:rPr>
          <w:rFonts w:ascii="Times New Roman" w:hAnsi="Times New Roman" w:cs="Times New Roman"/>
          <w:sz w:val="24"/>
        </w:rPr>
        <w:t xml:space="preserve"> Index, </w:t>
      </w:r>
      <w:r w:rsidR="00842EBC" w:rsidRPr="007D3B42">
        <w:rPr>
          <w:rFonts w:ascii="Times New Roman" w:eastAsia="Times New Roman" w:hAnsi="Times New Roman" w:cs="Times New Roman"/>
          <w:color w:val="000000"/>
          <w:sz w:val="24"/>
          <w:szCs w:val="24"/>
        </w:rPr>
        <w:t>Herfindahl-Hirschman Index</w:t>
      </w:r>
      <w:r w:rsidR="00842EB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42EBC">
        <w:rPr>
          <w:rFonts w:ascii="Times New Roman" w:hAnsi="Times New Roman" w:cs="Times New Roman"/>
          <w:sz w:val="24"/>
        </w:rPr>
        <w:t xml:space="preserve"> </w:t>
      </w:r>
      <w:r w:rsidR="008773FF">
        <w:rPr>
          <w:rFonts w:ascii="Times New Roman" w:hAnsi="Times New Roman" w:cs="Times New Roman"/>
          <w:sz w:val="24"/>
        </w:rPr>
        <w:t>state-level supply</w:t>
      </w:r>
      <w:r w:rsidR="00F04E6D">
        <w:rPr>
          <w:rFonts w:ascii="Times New Roman" w:hAnsi="Times New Roman" w:cs="Times New Roman"/>
          <w:sz w:val="24"/>
        </w:rPr>
        <w:t>,</w:t>
      </w:r>
      <w:r w:rsidR="008773FF">
        <w:rPr>
          <w:rFonts w:ascii="Times New Roman" w:hAnsi="Times New Roman" w:cs="Times New Roman"/>
          <w:sz w:val="24"/>
        </w:rPr>
        <w:t xml:space="preserve"> and state right-to-work status</w:t>
      </w:r>
      <w:r w:rsidR="00877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These covariates </w:t>
      </w:r>
      <w:r w:rsidR="00E76BBF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877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chosen or created based on prior studies of California’s staffing mandate</w:t>
      </w:r>
      <w:r w:rsidR="0003613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1-5</w:t>
      </w:r>
      <w:r w:rsidR="00877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potential correlation with staffing levels. </w:t>
      </w:r>
      <w:r w:rsidR="00E76BBF">
        <w:rPr>
          <w:rFonts w:ascii="Times New Roman" w:hAnsi="Times New Roman" w:cs="Times New Roman"/>
          <w:sz w:val="24"/>
          <w:szCs w:val="24"/>
        </w:rPr>
        <w:t xml:space="preserve">Hospital size was measured by the number of licensed beds. </w:t>
      </w:r>
      <w:r w:rsidR="00E76BBF" w:rsidRPr="00F71110">
        <w:rPr>
          <w:rFonts w:ascii="Times New Roman" w:hAnsi="Times New Roman" w:cs="Times New Roman"/>
          <w:sz w:val="24"/>
          <w:szCs w:val="24"/>
        </w:rPr>
        <w:t xml:space="preserve">Ownership status was measured using dummy variables </w:t>
      </w:r>
      <w:r w:rsidR="001723AD" w:rsidRPr="00F71110">
        <w:rPr>
          <w:rFonts w:ascii="Times New Roman" w:hAnsi="Times New Roman" w:cs="Times New Roman"/>
          <w:sz w:val="24"/>
          <w:szCs w:val="24"/>
        </w:rPr>
        <w:t>for</w:t>
      </w:r>
      <w:r w:rsidR="00E76BBF" w:rsidRPr="00F71110">
        <w:rPr>
          <w:rFonts w:ascii="Times New Roman" w:hAnsi="Times New Roman" w:cs="Times New Roman"/>
          <w:sz w:val="24"/>
          <w:szCs w:val="24"/>
        </w:rPr>
        <w:t xml:space="preserve"> government-owned and for-profit hospitals</w:t>
      </w:r>
      <w:r w:rsidR="00F71110" w:rsidRPr="00F71110">
        <w:rPr>
          <w:rFonts w:ascii="Times New Roman" w:hAnsi="Times New Roman" w:cs="Times New Roman"/>
          <w:sz w:val="24"/>
          <w:szCs w:val="24"/>
        </w:rPr>
        <w:t xml:space="preserve">; </w:t>
      </w:r>
      <w:r w:rsidR="00E76BBF" w:rsidRPr="00F71110">
        <w:rPr>
          <w:rFonts w:ascii="Times New Roman" w:hAnsi="Times New Roman" w:cs="Times New Roman"/>
          <w:sz w:val="24"/>
          <w:szCs w:val="24"/>
        </w:rPr>
        <w:t xml:space="preserve">nonprofit </w:t>
      </w:r>
      <w:r w:rsidR="009905D3" w:rsidRPr="00F71110">
        <w:rPr>
          <w:rFonts w:ascii="Times New Roman" w:hAnsi="Times New Roman" w:cs="Times New Roman"/>
          <w:sz w:val="24"/>
          <w:szCs w:val="24"/>
        </w:rPr>
        <w:t>was the r</w:t>
      </w:r>
      <w:r w:rsidR="00E76BBF" w:rsidRPr="00F71110">
        <w:rPr>
          <w:rFonts w:ascii="Times New Roman" w:hAnsi="Times New Roman" w:cs="Times New Roman"/>
          <w:sz w:val="24"/>
          <w:szCs w:val="24"/>
        </w:rPr>
        <w:t>eference</w:t>
      </w:r>
      <w:r w:rsidR="0065767F" w:rsidRPr="00F71110">
        <w:rPr>
          <w:rFonts w:ascii="Times New Roman" w:hAnsi="Times New Roman" w:cs="Times New Roman"/>
          <w:sz w:val="24"/>
          <w:szCs w:val="24"/>
        </w:rPr>
        <w:t xml:space="preserve"> group</w:t>
      </w:r>
      <w:r w:rsidR="00E76BBF" w:rsidRPr="00F71110">
        <w:rPr>
          <w:rFonts w:ascii="Times New Roman" w:hAnsi="Times New Roman" w:cs="Times New Roman"/>
          <w:sz w:val="24"/>
          <w:szCs w:val="24"/>
        </w:rPr>
        <w:t xml:space="preserve">. Teaching status was measured using </w:t>
      </w:r>
      <w:r w:rsidR="001723AD" w:rsidRPr="00F71110">
        <w:rPr>
          <w:rFonts w:ascii="Times New Roman" w:hAnsi="Times New Roman" w:cs="Times New Roman"/>
          <w:sz w:val="24"/>
          <w:szCs w:val="24"/>
        </w:rPr>
        <w:t xml:space="preserve">the ratio of </w:t>
      </w:r>
      <w:r w:rsidR="001723AD" w:rsidRPr="00F71110">
        <w:rPr>
          <w:rFonts w:ascii="Times New Roman" w:hAnsi="Times New Roman" w:cs="Times New Roman"/>
          <w:noProof/>
          <w:sz w:val="24"/>
          <w:szCs w:val="24"/>
        </w:rPr>
        <w:t>resident</w:t>
      </w:r>
      <w:r w:rsidR="001723AD" w:rsidRPr="00F71110">
        <w:rPr>
          <w:rFonts w:ascii="Times New Roman" w:hAnsi="Times New Roman" w:cs="Times New Roman"/>
          <w:sz w:val="24"/>
          <w:szCs w:val="24"/>
        </w:rPr>
        <w:t xml:space="preserve"> and trainee full-time equivalents to licensed beds, where hospitals had a ratio between 0 and 0.25</w:t>
      </w:r>
      <w:r w:rsidR="00D721FE">
        <w:rPr>
          <w:rFonts w:ascii="Times New Roman" w:hAnsi="Times New Roman" w:cs="Times New Roman"/>
          <w:sz w:val="24"/>
          <w:szCs w:val="24"/>
        </w:rPr>
        <w:t xml:space="preserve"> were flagged as </w:t>
      </w:r>
      <w:r w:rsidR="00D721FE" w:rsidRPr="00F71110">
        <w:rPr>
          <w:rFonts w:ascii="Times New Roman" w:hAnsi="Times New Roman" w:cs="Times New Roman"/>
          <w:sz w:val="24"/>
          <w:szCs w:val="24"/>
        </w:rPr>
        <w:t>minor teaching hospitals</w:t>
      </w:r>
      <w:r w:rsidR="00E76BBF" w:rsidRPr="00F71110">
        <w:rPr>
          <w:rFonts w:ascii="Times New Roman" w:hAnsi="Times New Roman" w:cs="Times New Roman"/>
          <w:sz w:val="24"/>
          <w:szCs w:val="24"/>
        </w:rPr>
        <w:t xml:space="preserve"> and </w:t>
      </w:r>
      <w:r w:rsidR="001723AD" w:rsidRPr="00F71110">
        <w:rPr>
          <w:rFonts w:ascii="Times New Roman" w:hAnsi="Times New Roman" w:cs="Times New Roman"/>
          <w:sz w:val="24"/>
          <w:szCs w:val="24"/>
        </w:rPr>
        <w:t xml:space="preserve">hospitals had a </w:t>
      </w:r>
      <w:r w:rsidR="00E76BBF" w:rsidRPr="00F71110">
        <w:rPr>
          <w:rFonts w:ascii="Times New Roman" w:hAnsi="Times New Roman" w:cs="Times New Roman"/>
          <w:sz w:val="24"/>
          <w:szCs w:val="24"/>
        </w:rPr>
        <w:t>ratio</w:t>
      </w:r>
      <w:r w:rsidR="001723AD" w:rsidRPr="00F71110">
        <w:rPr>
          <w:rFonts w:ascii="Times New Roman" w:hAnsi="Times New Roman" w:cs="Times New Roman"/>
          <w:sz w:val="24"/>
          <w:szCs w:val="24"/>
        </w:rPr>
        <w:t xml:space="preserve"> of 0.25 or greater</w:t>
      </w:r>
      <w:r w:rsidR="00D721FE">
        <w:rPr>
          <w:rFonts w:ascii="Times New Roman" w:hAnsi="Times New Roman" w:cs="Times New Roman"/>
          <w:sz w:val="24"/>
          <w:szCs w:val="24"/>
        </w:rPr>
        <w:t xml:space="preserve"> were flagged as </w:t>
      </w:r>
      <w:r w:rsidR="00D721FE" w:rsidRPr="00F71110">
        <w:rPr>
          <w:rFonts w:ascii="Times New Roman" w:hAnsi="Times New Roman" w:cs="Times New Roman"/>
          <w:sz w:val="24"/>
          <w:szCs w:val="24"/>
        </w:rPr>
        <w:t>major teaching hospital</w:t>
      </w:r>
      <w:r w:rsidR="00D721FE">
        <w:rPr>
          <w:rFonts w:ascii="Times New Roman" w:hAnsi="Times New Roman" w:cs="Times New Roman"/>
          <w:sz w:val="24"/>
          <w:szCs w:val="24"/>
        </w:rPr>
        <w:t>s</w:t>
      </w:r>
      <w:r w:rsidR="0065767F" w:rsidRPr="00F71110">
        <w:rPr>
          <w:rFonts w:ascii="Times New Roman" w:hAnsi="Times New Roman" w:cs="Times New Roman"/>
          <w:sz w:val="24"/>
          <w:szCs w:val="24"/>
        </w:rPr>
        <w:t>; hospitals with no residents and trainees was the reference group</w:t>
      </w:r>
      <w:r w:rsidR="00E76BBF" w:rsidRPr="00F71110">
        <w:rPr>
          <w:rFonts w:ascii="Times New Roman" w:hAnsi="Times New Roman" w:cs="Times New Roman"/>
          <w:sz w:val="24"/>
          <w:szCs w:val="24"/>
        </w:rPr>
        <w:t xml:space="preserve">. Location in metropolitan areas was measured </w:t>
      </w:r>
      <w:r w:rsidR="00F71110" w:rsidRPr="00F71110">
        <w:rPr>
          <w:rFonts w:ascii="Times New Roman" w:hAnsi="Times New Roman" w:cs="Times New Roman"/>
          <w:sz w:val="24"/>
          <w:szCs w:val="24"/>
        </w:rPr>
        <w:t>using</w:t>
      </w:r>
      <w:r w:rsidR="00E76BBF" w:rsidRPr="00F71110">
        <w:rPr>
          <w:rFonts w:ascii="Times New Roman" w:hAnsi="Times New Roman" w:cs="Times New Roman"/>
          <w:sz w:val="24"/>
          <w:szCs w:val="24"/>
        </w:rPr>
        <w:t xml:space="preserve"> a dummy variable equal to one if a hospital reported it was located within a metropolitan area during the study period. Percent Medicare days</w:t>
      </w:r>
      <w:r w:rsidR="00AF1830" w:rsidRPr="00F71110">
        <w:rPr>
          <w:rFonts w:ascii="Times New Roman" w:hAnsi="Times New Roman" w:cs="Times New Roman"/>
          <w:sz w:val="24"/>
          <w:szCs w:val="24"/>
        </w:rPr>
        <w:t xml:space="preserve"> was measured using the number of </w:t>
      </w:r>
      <w:r w:rsidR="001168E0" w:rsidRPr="00F71110">
        <w:rPr>
          <w:rFonts w:ascii="Times New Roman" w:hAnsi="Times New Roman" w:cs="Times New Roman"/>
          <w:sz w:val="24"/>
          <w:szCs w:val="24"/>
        </w:rPr>
        <w:t xml:space="preserve">inpatient days covered by Medicare patients and </w:t>
      </w:r>
      <w:r w:rsidR="00E76BBF" w:rsidRPr="00F71110">
        <w:rPr>
          <w:rFonts w:ascii="Times New Roman" w:hAnsi="Times New Roman" w:cs="Times New Roman"/>
          <w:noProof/>
          <w:sz w:val="24"/>
          <w:szCs w:val="24"/>
        </w:rPr>
        <w:t>percent</w:t>
      </w:r>
      <w:r w:rsidR="00E76BBF" w:rsidRPr="00F71110">
        <w:rPr>
          <w:rFonts w:ascii="Times New Roman" w:hAnsi="Times New Roman" w:cs="Times New Roman"/>
          <w:sz w:val="24"/>
          <w:szCs w:val="24"/>
        </w:rPr>
        <w:t xml:space="preserve"> Medicaid days </w:t>
      </w:r>
      <w:r w:rsidR="001168E0" w:rsidRPr="00F71110">
        <w:rPr>
          <w:rFonts w:ascii="Times New Roman" w:hAnsi="Times New Roman" w:cs="Times New Roman"/>
          <w:sz w:val="24"/>
          <w:szCs w:val="24"/>
        </w:rPr>
        <w:t xml:space="preserve">was measured using the number of </w:t>
      </w:r>
      <w:r w:rsidR="001723AD" w:rsidRPr="00F71110">
        <w:rPr>
          <w:rFonts w:ascii="Times New Roman" w:hAnsi="Times New Roman" w:cs="Times New Roman"/>
          <w:sz w:val="24"/>
          <w:szCs w:val="24"/>
        </w:rPr>
        <w:t>im</w:t>
      </w:r>
      <w:r w:rsidR="001168E0" w:rsidRPr="00F71110">
        <w:rPr>
          <w:rFonts w:ascii="Times New Roman" w:hAnsi="Times New Roman" w:cs="Times New Roman"/>
          <w:sz w:val="24"/>
          <w:szCs w:val="24"/>
        </w:rPr>
        <w:t xml:space="preserve">patient days </w:t>
      </w:r>
      <w:r w:rsidR="00E76BBF" w:rsidRPr="00F71110">
        <w:rPr>
          <w:rFonts w:ascii="Times New Roman" w:hAnsi="Times New Roman" w:cs="Times New Roman"/>
          <w:sz w:val="24"/>
          <w:szCs w:val="24"/>
        </w:rPr>
        <w:t>Medicaid</w:t>
      </w:r>
      <w:r w:rsidR="001723AD" w:rsidRPr="00F71110">
        <w:rPr>
          <w:rFonts w:ascii="Times New Roman" w:hAnsi="Times New Roman" w:cs="Times New Roman"/>
          <w:sz w:val="24"/>
          <w:szCs w:val="24"/>
        </w:rPr>
        <w:t xml:space="preserve"> </w:t>
      </w:r>
      <w:r w:rsidR="001723AD" w:rsidRPr="00F71110">
        <w:rPr>
          <w:rFonts w:ascii="Times New Roman" w:hAnsi="Times New Roman" w:cs="Times New Roman"/>
          <w:sz w:val="24"/>
          <w:szCs w:val="24"/>
        </w:rPr>
        <w:lastRenderedPageBreak/>
        <w:t>patients</w:t>
      </w:r>
      <w:r w:rsidR="00E76BBF" w:rsidRPr="00F71110">
        <w:rPr>
          <w:rFonts w:ascii="Times New Roman" w:hAnsi="Times New Roman" w:cs="Times New Roman"/>
          <w:sz w:val="24"/>
          <w:szCs w:val="24"/>
        </w:rPr>
        <w:t>.</w:t>
      </w:r>
      <w:r w:rsidR="008773FF" w:rsidRPr="00B75BC4">
        <w:rPr>
          <w:rFonts w:ascii="Times New Roman" w:hAnsi="Times New Roman" w:cs="Times New Roman"/>
          <w:sz w:val="24"/>
          <w:szCs w:val="24"/>
        </w:rPr>
        <w:t xml:space="preserve"> </w:t>
      </w:r>
      <w:r w:rsidR="008773FF" w:rsidRPr="00B75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Herfindahl-Hirschman Index was computed using the number of licensed beds per year by hospital referral region, </w:t>
      </w:r>
      <w:r w:rsidR="00F04E6D" w:rsidRPr="00B75BC4">
        <w:rPr>
          <w:rFonts w:ascii="Times New Roman" w:eastAsia="Times New Roman" w:hAnsi="Times New Roman" w:cs="Times New Roman"/>
          <w:color w:val="000000"/>
          <w:sz w:val="24"/>
          <w:szCs w:val="24"/>
        </w:rPr>
        <w:t>using</w:t>
      </w:r>
      <w:r w:rsidR="008773FF" w:rsidRPr="00B75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Stata software with the </w:t>
      </w:r>
      <w:proofErr w:type="spellStart"/>
      <w:r w:rsidR="008773FF" w:rsidRPr="00B75B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hhi</w:t>
      </w:r>
      <w:proofErr w:type="spellEnd"/>
      <w:r w:rsidR="008773FF" w:rsidRPr="00B75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command. </w:t>
      </w:r>
      <w:r w:rsidR="00285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Past research indicates that using </w:t>
      </w:r>
      <w:r w:rsidR="008773FF" w:rsidRPr="00B75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licensed beds </w:t>
      </w:r>
      <w:r w:rsidR="0028551F">
        <w:rPr>
          <w:rFonts w:ascii="Times New Roman" w:eastAsia="Times New Roman" w:hAnsi="Times New Roman" w:cs="Times New Roman"/>
          <w:color w:val="000000"/>
          <w:sz w:val="24"/>
          <w:szCs w:val="24"/>
        </w:rPr>
        <w:t>to calculate HHI can capture</w:t>
      </w:r>
      <w:r w:rsidR="008773FF" w:rsidRPr="00B75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degree of potential competition for those hospitals producing below their capacity.</w:t>
      </w:r>
      <w:r w:rsidR="00D721F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6</w:t>
      </w:r>
      <w:r w:rsidR="00842EB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proofErr w:type="spellStart"/>
      <w:r w:rsidR="00842EBC">
        <w:rPr>
          <w:rFonts w:ascii="Times New Roman" w:hAnsi="Times New Roman" w:cs="Times New Roman"/>
          <w:sz w:val="24"/>
          <w:szCs w:val="24"/>
        </w:rPr>
        <w:t>Saidin</w:t>
      </w:r>
      <w:proofErr w:type="spellEnd"/>
      <w:r w:rsidR="00842EBC">
        <w:rPr>
          <w:rFonts w:ascii="Times New Roman" w:hAnsi="Times New Roman" w:cs="Times New Roman"/>
          <w:sz w:val="24"/>
          <w:szCs w:val="24"/>
        </w:rPr>
        <w:t xml:space="preserve"> index is a measure of hospital technological sophistication</w:t>
      </w:r>
      <w:r w:rsidR="00403508">
        <w:rPr>
          <w:rFonts w:ascii="Times New Roman" w:hAnsi="Times New Roman" w:cs="Times New Roman"/>
          <w:sz w:val="24"/>
          <w:szCs w:val="24"/>
        </w:rPr>
        <w:t xml:space="preserve"> that was derived from the AHA data</w:t>
      </w:r>
      <w:r w:rsidR="005757F1">
        <w:rPr>
          <w:rFonts w:ascii="Times New Roman" w:hAnsi="Times New Roman" w:cs="Times New Roman"/>
          <w:sz w:val="24"/>
          <w:szCs w:val="24"/>
        </w:rPr>
        <w:t>, calculated based on a list of services available each year</w:t>
      </w:r>
      <w:r w:rsidR="00403508">
        <w:rPr>
          <w:rFonts w:ascii="Times New Roman" w:hAnsi="Times New Roman" w:cs="Times New Roman"/>
          <w:sz w:val="24"/>
          <w:szCs w:val="24"/>
        </w:rPr>
        <w:t>.</w:t>
      </w:r>
      <w:r w:rsidR="0062471C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842EBC" w:rsidRPr="00842EBC">
        <w:rPr>
          <w:rFonts w:ascii="Times New Roman" w:hAnsi="Times New Roman" w:cs="Times New Roman"/>
          <w:sz w:val="24"/>
          <w:szCs w:val="24"/>
        </w:rPr>
        <w:t xml:space="preserve"> </w:t>
      </w:r>
      <w:r w:rsidR="00842EBC" w:rsidRPr="00B75BC4">
        <w:rPr>
          <w:rFonts w:ascii="Times New Roman" w:hAnsi="Times New Roman" w:cs="Times New Roman"/>
          <w:sz w:val="24"/>
          <w:szCs w:val="24"/>
        </w:rPr>
        <w:t>State right-to-work status was a dummy variable for h</w:t>
      </w:r>
      <w:r w:rsidR="00842EBC" w:rsidRPr="00B75BC4">
        <w:rPr>
          <w:rFonts w:ascii="Times New Roman" w:hAnsi="Times New Roman" w:cs="Times New Roman" w:hint="eastAsia"/>
          <w:sz w:val="24"/>
          <w:szCs w:val="24"/>
        </w:rPr>
        <w:t>osp</w:t>
      </w:r>
      <w:r w:rsidR="00842EBC" w:rsidRPr="00B75BC4">
        <w:rPr>
          <w:rFonts w:ascii="Times New Roman" w:hAnsi="Times New Roman" w:cs="Times New Roman"/>
          <w:sz w:val="24"/>
          <w:szCs w:val="24"/>
        </w:rPr>
        <w:t>itals in states that currently have</w:t>
      </w:r>
      <w:r w:rsidR="00842EBC">
        <w:rPr>
          <w:rFonts w:ascii="Times New Roman" w:hAnsi="Times New Roman" w:cs="Times New Roman"/>
          <w:sz w:val="24"/>
          <w:szCs w:val="24"/>
        </w:rPr>
        <w:t xml:space="preserve"> a</w:t>
      </w:r>
      <w:r w:rsidR="00842EBC" w:rsidRPr="00B75BC4">
        <w:rPr>
          <w:rFonts w:ascii="Times New Roman" w:hAnsi="Times New Roman" w:cs="Times New Roman"/>
          <w:sz w:val="24"/>
          <w:szCs w:val="24"/>
        </w:rPr>
        <w:t xml:space="preserve"> right-to-work legislation.</w:t>
      </w:r>
      <w:r w:rsidR="00E119E2" w:rsidRPr="00E119E2">
        <w:t xml:space="preserve"> </w:t>
      </w:r>
      <w:r w:rsidR="00E119E2">
        <w:rPr>
          <w:rFonts w:ascii="Times New Roman" w:hAnsi="Times New Roman" w:cs="Times New Roman"/>
          <w:sz w:val="24"/>
          <w:szCs w:val="24"/>
        </w:rPr>
        <w:t>S</w:t>
      </w:r>
      <w:r w:rsidR="00E119E2" w:rsidRPr="00E119E2">
        <w:rPr>
          <w:rFonts w:ascii="Times New Roman" w:hAnsi="Times New Roman" w:cs="Times New Roman"/>
          <w:sz w:val="24"/>
          <w:szCs w:val="24"/>
        </w:rPr>
        <w:t xml:space="preserve">tate-level </w:t>
      </w:r>
      <w:r w:rsidR="00E119E2">
        <w:rPr>
          <w:rFonts w:ascii="Times New Roman" w:hAnsi="Times New Roman" w:cs="Times New Roman"/>
          <w:sz w:val="24"/>
          <w:szCs w:val="24"/>
        </w:rPr>
        <w:t xml:space="preserve">supply was measured using the </w:t>
      </w:r>
      <w:r w:rsidR="00E119E2" w:rsidRPr="00E119E2">
        <w:rPr>
          <w:rFonts w:ascii="Times New Roman" w:hAnsi="Times New Roman" w:cs="Times New Roman"/>
          <w:sz w:val="24"/>
          <w:szCs w:val="24"/>
        </w:rPr>
        <w:t>number of employed nurse</w:t>
      </w:r>
      <w:r w:rsidR="00E119E2">
        <w:rPr>
          <w:rFonts w:ascii="Times New Roman" w:hAnsi="Times New Roman" w:cs="Times New Roman"/>
          <w:sz w:val="24"/>
          <w:szCs w:val="24"/>
        </w:rPr>
        <w:t>s</w:t>
      </w:r>
      <w:r w:rsidR="00E119E2" w:rsidRPr="00E119E2">
        <w:rPr>
          <w:rFonts w:ascii="Times New Roman" w:hAnsi="Times New Roman" w:cs="Times New Roman"/>
          <w:sz w:val="24"/>
          <w:szCs w:val="24"/>
        </w:rPr>
        <w:t xml:space="preserve"> and nursing assistant</w:t>
      </w:r>
      <w:r w:rsidR="00E119E2">
        <w:rPr>
          <w:rFonts w:ascii="Times New Roman" w:hAnsi="Times New Roman" w:cs="Times New Roman"/>
          <w:sz w:val="24"/>
          <w:szCs w:val="24"/>
        </w:rPr>
        <w:t>s</w:t>
      </w:r>
      <w:r w:rsidR="00E119E2" w:rsidRPr="00E119E2">
        <w:rPr>
          <w:rFonts w:ascii="Times New Roman" w:hAnsi="Times New Roman" w:cs="Times New Roman"/>
          <w:sz w:val="24"/>
          <w:szCs w:val="24"/>
        </w:rPr>
        <w:t xml:space="preserve"> to population ratios</w:t>
      </w:r>
      <w:r w:rsidR="00E119E2">
        <w:rPr>
          <w:rFonts w:ascii="Times New Roman" w:hAnsi="Times New Roman" w:cs="Times New Roman"/>
          <w:sz w:val="24"/>
          <w:szCs w:val="24"/>
        </w:rPr>
        <w:t xml:space="preserve"> each year for each state and was </w:t>
      </w:r>
      <w:r w:rsidR="00E119E2" w:rsidRPr="00E119E2">
        <w:rPr>
          <w:rFonts w:ascii="Times New Roman" w:hAnsi="Times New Roman" w:cs="Times New Roman"/>
          <w:sz w:val="24"/>
          <w:szCs w:val="24"/>
        </w:rPr>
        <w:t>lagged one year to account for endogeneity</w:t>
      </w:r>
      <w:r w:rsidR="00E119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5F8927" w14:textId="561E5831" w:rsidR="006B3FFB" w:rsidRDefault="006B3FFB" w:rsidP="006B3FFB">
      <w:pPr>
        <w:spacing w:before="12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A118C9A" w14:textId="77777777" w:rsidR="007A4CD1" w:rsidRDefault="007A4CD1" w:rsidP="008D624D">
      <w:pPr>
        <w:rPr>
          <w:rFonts w:ascii="Times New Roman" w:hAnsi="Times New Roman" w:cs="Times New Roman"/>
          <w:b/>
          <w:noProof/>
          <w:sz w:val="24"/>
        </w:rPr>
      </w:pPr>
    </w:p>
    <w:p w14:paraId="5F6DCAF3" w14:textId="1C323678" w:rsidR="008773FF" w:rsidRDefault="008773FF" w:rsidP="008D624D">
      <w:pPr>
        <w:rPr>
          <w:rFonts w:ascii="Times New Roman" w:hAnsi="Times New Roman" w:cs="Times New Roman"/>
          <w:b/>
          <w:noProof/>
          <w:sz w:val="24"/>
        </w:rPr>
      </w:pPr>
      <w:r w:rsidRPr="0079218D">
        <w:rPr>
          <w:rFonts w:ascii="Times New Roman" w:hAnsi="Times New Roman" w:cs="Times New Roman"/>
          <w:b/>
          <w:noProof/>
          <w:sz w:val="24"/>
        </w:rPr>
        <w:t>References</w:t>
      </w:r>
    </w:p>
    <w:p w14:paraId="7F67276B" w14:textId="77777777" w:rsidR="008773FF" w:rsidRDefault="008773FF" w:rsidP="008773FF">
      <w:pPr>
        <w:pStyle w:val="CommentTex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031DB">
        <w:rPr>
          <w:rFonts w:ascii="Times New Roman" w:hAnsi="Times New Roman" w:cs="Times New Roman"/>
          <w:sz w:val="24"/>
          <w:szCs w:val="24"/>
        </w:rPr>
        <w:t xml:space="preserve">McHugh MD, Kelly LA, Sloane DM, Aiken LH. Contradicting fears, California’s nurse-to-patient mandate did not reduce the skill level of the nursing workforce in </w:t>
      </w:r>
      <w:r>
        <w:rPr>
          <w:rFonts w:ascii="Times New Roman" w:hAnsi="Times New Roman" w:cs="Times New Roman"/>
          <w:sz w:val="24"/>
          <w:szCs w:val="24"/>
        </w:rPr>
        <w:t>hospitals. Health Affairs. 2011</w:t>
      </w:r>
      <w:r w:rsidRPr="005031DB">
        <w:rPr>
          <w:rFonts w:ascii="Times New Roman" w:hAnsi="Times New Roman" w:cs="Times New Roman"/>
          <w:sz w:val="24"/>
          <w:szCs w:val="24"/>
        </w:rPr>
        <w:t xml:space="preserve">;30(7):1299-306. </w:t>
      </w:r>
    </w:p>
    <w:p w14:paraId="33602ADC" w14:textId="77777777" w:rsidR="008773FF" w:rsidRPr="00D20E47" w:rsidRDefault="008773FF" w:rsidP="008773FF">
      <w:pPr>
        <w:pStyle w:val="CommentTex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B1119">
        <w:rPr>
          <w:rFonts w:ascii="Times New Roman" w:hAnsi="Times New Roman" w:cs="Times New Roman"/>
          <w:sz w:val="24"/>
          <w:szCs w:val="24"/>
        </w:rPr>
        <w:t>Reiter KL, Harless DW, Pink GH, Mark BA. Minimum nurse staffing legislation and the financial performance of California hospitals. Health services research. 2012;47(3pt1):1030-50.</w:t>
      </w:r>
    </w:p>
    <w:p w14:paraId="7027963D" w14:textId="77777777" w:rsidR="008773FF" w:rsidRPr="00F423CF" w:rsidRDefault="008773FF" w:rsidP="008773FF">
      <w:pPr>
        <w:pStyle w:val="CommentTex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0E47">
        <w:rPr>
          <w:rFonts w:ascii="Times New Roman" w:hAnsi="Times New Roman" w:cs="Times New Roman"/>
          <w:sz w:val="24"/>
          <w:szCs w:val="24"/>
        </w:rPr>
        <w:t xml:space="preserve">Reiter KL, Harless DW, Pink GH, </w:t>
      </w:r>
      <w:proofErr w:type="spellStart"/>
      <w:r w:rsidRPr="00D20E47">
        <w:rPr>
          <w:rFonts w:ascii="Times New Roman" w:hAnsi="Times New Roman" w:cs="Times New Roman"/>
          <w:sz w:val="24"/>
          <w:szCs w:val="24"/>
        </w:rPr>
        <w:t>Spetz</w:t>
      </w:r>
      <w:proofErr w:type="spellEnd"/>
      <w:r w:rsidRPr="00D20E47">
        <w:rPr>
          <w:rFonts w:ascii="Times New Roman" w:hAnsi="Times New Roman" w:cs="Times New Roman"/>
          <w:sz w:val="24"/>
          <w:szCs w:val="24"/>
        </w:rPr>
        <w:t xml:space="preserve"> J, Mark B. The effect of minimum nurse staffing legislation on uncompensated care provided by California hospitals. Medical Care Research and Review. 2011;68(3):332-51.</w:t>
      </w:r>
    </w:p>
    <w:p w14:paraId="39BB8F08" w14:textId="77777777" w:rsidR="008773FF" w:rsidRDefault="008773FF" w:rsidP="008773FF">
      <w:pPr>
        <w:pStyle w:val="CommentTex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05EDF">
        <w:rPr>
          <w:rFonts w:ascii="Times New Roman" w:hAnsi="Times New Roman" w:cs="Times New Roman"/>
          <w:sz w:val="24"/>
          <w:szCs w:val="24"/>
        </w:rPr>
        <w:lastRenderedPageBreak/>
        <w:t>Spetz</w:t>
      </w:r>
      <w:proofErr w:type="spellEnd"/>
      <w:r w:rsidRPr="00205EDF">
        <w:rPr>
          <w:rFonts w:ascii="Times New Roman" w:hAnsi="Times New Roman" w:cs="Times New Roman"/>
          <w:sz w:val="24"/>
          <w:szCs w:val="24"/>
        </w:rPr>
        <w:t xml:space="preserve"> J, Harless DW, Herrera CN, Mark BA. Using minimum nurse staffing regulations to measure the relationship between nursing and hospital quality of care. Medical Care Research and Review. 2013;70(4):380-99. </w:t>
      </w:r>
    </w:p>
    <w:p w14:paraId="5DD0571C" w14:textId="1D6D58D5" w:rsidR="0003613C" w:rsidRPr="0003613C" w:rsidRDefault="008773FF" w:rsidP="000C1A50">
      <w:pPr>
        <w:pStyle w:val="CommentTex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613C">
        <w:rPr>
          <w:rFonts w:ascii="Times New Roman" w:hAnsi="Times New Roman" w:cs="Times New Roman"/>
          <w:sz w:val="24"/>
          <w:szCs w:val="24"/>
        </w:rPr>
        <w:t xml:space="preserve">Mark BA, Harless DW, </w:t>
      </w:r>
      <w:proofErr w:type="spellStart"/>
      <w:r w:rsidRPr="0003613C">
        <w:rPr>
          <w:rFonts w:ascii="Times New Roman" w:hAnsi="Times New Roman" w:cs="Times New Roman"/>
          <w:sz w:val="24"/>
          <w:szCs w:val="24"/>
        </w:rPr>
        <w:t>Spetz</w:t>
      </w:r>
      <w:proofErr w:type="spellEnd"/>
      <w:r w:rsidRPr="0003613C">
        <w:rPr>
          <w:rFonts w:ascii="Times New Roman" w:hAnsi="Times New Roman" w:cs="Times New Roman"/>
          <w:sz w:val="24"/>
          <w:szCs w:val="24"/>
        </w:rPr>
        <w:t xml:space="preserve"> J, Reiter KL, Pink GH. California's minimum nurse staffing legislation: results from a natural experiment. Health services research. 2013;48(2pt1):435-54.</w:t>
      </w:r>
      <w:r w:rsidR="0003613C" w:rsidRPr="000361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7E80F" w14:textId="77777777" w:rsidR="007518EE" w:rsidRDefault="0003613C" w:rsidP="00E56AA7">
      <w:pPr>
        <w:pStyle w:val="CommentTex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1119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Pr="00EB1119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EB1119">
        <w:rPr>
          <w:rFonts w:ascii="Times New Roman" w:hAnsi="Times New Roman" w:cs="Times New Roman"/>
          <w:sz w:val="24"/>
          <w:szCs w:val="24"/>
        </w:rPr>
        <w:t>Spetz</w:t>
      </w:r>
      <w:proofErr w:type="spellEnd"/>
      <w:r w:rsidRPr="00EB1119">
        <w:rPr>
          <w:rFonts w:ascii="Times New Roman" w:hAnsi="Times New Roman" w:cs="Times New Roman"/>
          <w:sz w:val="24"/>
          <w:szCs w:val="24"/>
        </w:rPr>
        <w:t xml:space="preserve"> J. Demand for temporary agency nurses and nursing shortages. INQUIRY: The Journal of Health Care Organization, Provision, and Financing. 2013 Aug;50(3):216-28.</w:t>
      </w:r>
    </w:p>
    <w:p w14:paraId="0274D8FA" w14:textId="4B79F370" w:rsidR="00881434" w:rsidRPr="009D1E45" w:rsidRDefault="007518EE" w:rsidP="00E56AA7">
      <w:pPr>
        <w:pStyle w:val="CommentTex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18EE">
        <w:rPr>
          <w:rFonts w:ascii="Times New Roman" w:hAnsi="Times New Roman" w:cs="Times New Roman"/>
          <w:sz w:val="24"/>
          <w:szCs w:val="24"/>
        </w:rPr>
        <w:t>Spetz</w:t>
      </w:r>
      <w:proofErr w:type="spellEnd"/>
      <w:r w:rsidRPr="007518EE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7518EE">
        <w:rPr>
          <w:rFonts w:ascii="Times New Roman" w:hAnsi="Times New Roman" w:cs="Times New Roman"/>
          <w:sz w:val="24"/>
          <w:szCs w:val="24"/>
        </w:rPr>
        <w:t>Maiuro</w:t>
      </w:r>
      <w:proofErr w:type="spellEnd"/>
      <w:r w:rsidRPr="007518EE">
        <w:rPr>
          <w:rFonts w:ascii="Times New Roman" w:hAnsi="Times New Roman" w:cs="Times New Roman"/>
          <w:sz w:val="24"/>
          <w:szCs w:val="24"/>
        </w:rPr>
        <w:t xml:space="preserve"> LS. Measuring levels of technology in hospitals. The quarterly review of economics and finance. 2004 Jul 1;44(3):430-47.</w:t>
      </w:r>
      <w:r w:rsidRPr="009D1E45">
        <w:rPr>
          <w:rFonts w:ascii="Times New Roman" w:hAnsi="Times New Roman" w:cs="Times New Roman"/>
          <w:sz w:val="24"/>
          <w:szCs w:val="24"/>
        </w:rPr>
        <w:t xml:space="preserve"> </w:t>
      </w:r>
      <w:r w:rsidR="00881434" w:rsidRPr="009D1E45">
        <w:rPr>
          <w:rFonts w:ascii="Times New Roman" w:hAnsi="Times New Roman" w:cs="Times New Roman"/>
          <w:sz w:val="24"/>
          <w:szCs w:val="24"/>
        </w:rPr>
        <w:br w:type="page"/>
      </w:r>
    </w:p>
    <w:p w14:paraId="57B4A4FE" w14:textId="77777777" w:rsidR="008F2DEF" w:rsidRDefault="008F2DEF">
      <w:pPr>
        <w:rPr>
          <w:rFonts w:ascii="Times New Roman" w:hAnsi="Times New Roman" w:cs="Times New Roman"/>
          <w:b/>
          <w:sz w:val="24"/>
          <w:szCs w:val="24"/>
        </w:rPr>
        <w:sectPr w:rsidR="008F2DE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A48DCE" w14:textId="24C1F4A2" w:rsidR="00572B54" w:rsidRPr="008F2DEF" w:rsidRDefault="00572B54" w:rsidP="00572B54">
      <w:pPr>
        <w:rPr>
          <w:rFonts w:ascii="Times New Roman" w:hAnsi="Times New Roman" w:cs="Times New Roman"/>
          <w:b/>
          <w:sz w:val="24"/>
          <w:szCs w:val="24"/>
        </w:rPr>
      </w:pPr>
      <w:r w:rsidRPr="008F2D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Table </w:t>
      </w:r>
      <w:r w:rsidR="00B47355">
        <w:rPr>
          <w:rFonts w:ascii="Times New Roman" w:hAnsi="Times New Roman" w:cs="Times New Roman"/>
          <w:b/>
          <w:sz w:val="24"/>
          <w:szCs w:val="24"/>
        </w:rPr>
        <w:t>1</w:t>
      </w:r>
      <w:r w:rsidRPr="008F2DEF">
        <w:rPr>
          <w:rFonts w:ascii="Times New Roman" w:hAnsi="Times New Roman" w:cs="Times New Roman"/>
          <w:b/>
          <w:sz w:val="24"/>
          <w:szCs w:val="24"/>
        </w:rPr>
        <w:t xml:space="preserve">. Hospital Characteristics </w:t>
      </w:r>
      <w:r w:rsidR="002E1C3E">
        <w:rPr>
          <w:rFonts w:ascii="Times New Roman" w:hAnsi="Times New Roman" w:cs="Times New Roman"/>
          <w:b/>
          <w:sz w:val="24"/>
          <w:szCs w:val="24"/>
        </w:rPr>
        <w:t>in</w:t>
      </w:r>
      <w:r w:rsidRPr="008F2D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Treatment and Comparison </w:t>
      </w:r>
      <w:r w:rsidR="002E1C3E">
        <w:rPr>
          <w:rFonts w:ascii="Times New Roman" w:hAnsi="Times New Roman" w:cs="Times New Roman"/>
          <w:b/>
          <w:sz w:val="24"/>
          <w:szCs w:val="24"/>
        </w:rPr>
        <w:t>Groups</w:t>
      </w:r>
      <w:r>
        <w:rPr>
          <w:rFonts w:ascii="Times New Roman" w:hAnsi="Times New Roman" w:cs="Times New Roman"/>
          <w:b/>
          <w:sz w:val="24"/>
          <w:szCs w:val="24"/>
        </w:rPr>
        <w:t>, 2003-2017</w:t>
      </w:r>
    </w:p>
    <w:tbl>
      <w:tblPr>
        <w:tblW w:w="10763" w:type="dxa"/>
        <w:jc w:val="center"/>
        <w:tblLook w:val="04A0" w:firstRow="1" w:lastRow="0" w:firstColumn="1" w:lastColumn="0" w:noHBand="0" w:noVBand="1"/>
      </w:tblPr>
      <w:tblGrid>
        <w:gridCol w:w="3586"/>
        <w:gridCol w:w="885"/>
        <w:gridCol w:w="916"/>
        <w:gridCol w:w="876"/>
        <w:gridCol w:w="916"/>
        <w:gridCol w:w="876"/>
        <w:gridCol w:w="916"/>
        <w:gridCol w:w="876"/>
        <w:gridCol w:w="916"/>
      </w:tblGrid>
      <w:tr w:rsidR="00572B54" w:rsidRPr="00C9628F" w14:paraId="63407C93" w14:textId="77777777" w:rsidTr="00CF7790">
        <w:trPr>
          <w:trHeight w:val="583"/>
          <w:jc w:val="center"/>
        </w:trPr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0D894" w14:textId="2A8A9BF6" w:rsidR="00572B54" w:rsidRPr="00C9628F" w:rsidRDefault="00572B54" w:rsidP="002E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3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Hospital characteristics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156D8" w14:textId="335B0603" w:rsidR="00572B54" w:rsidRPr="00C9628F" w:rsidRDefault="00572B54" w:rsidP="000C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Law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D80D6" w14:textId="77777777" w:rsidR="00572B54" w:rsidRPr="00C9628F" w:rsidRDefault="00572B54" w:rsidP="000C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Staffing Mandate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4643D" w14:textId="77777777" w:rsidR="00572B54" w:rsidRPr="00C9628F" w:rsidRDefault="00572B54" w:rsidP="000C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Staffing Committee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6517A" w14:textId="77777777" w:rsidR="00572B54" w:rsidRPr="00C9628F" w:rsidRDefault="00572B54" w:rsidP="000C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Public Reporting </w:t>
            </w:r>
          </w:p>
        </w:tc>
      </w:tr>
      <w:tr w:rsidR="00640424" w:rsidRPr="00C9628F" w14:paraId="7801F71C" w14:textId="77777777" w:rsidTr="00CF7790">
        <w:trPr>
          <w:trHeight w:val="583"/>
          <w:jc w:val="center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09A4" w14:textId="3138D837" w:rsidR="00640424" w:rsidRPr="00C9628F" w:rsidRDefault="00824272" w:rsidP="00CF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r w:rsidR="00640424" w:rsidRPr="00CA5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ospitals</w:t>
            </w:r>
            <w:r w:rsidRPr="00CA5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No.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A42F" w14:textId="0136C50B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5D1D" w14:textId="77777777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0AAA" w14:textId="6C92F16F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C93D" w14:textId="77777777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0CD1" w14:textId="61B2388E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077BB" w14:textId="77777777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178C" w14:textId="1783FE36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5529" w14:textId="77777777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424" w:rsidRPr="00C9628F" w14:paraId="55DA35AF" w14:textId="77777777" w:rsidTr="00CF7790">
        <w:trPr>
          <w:trHeight w:val="583"/>
          <w:jc w:val="center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D89E" w14:textId="4A4E59DA" w:rsidR="00640424" w:rsidRPr="00C9628F" w:rsidRDefault="00824272" w:rsidP="00CF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5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="00640424" w:rsidRPr="00CA5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bservations</w:t>
            </w:r>
            <w:r w:rsidRPr="00CA5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No.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1184" w14:textId="765B0FAF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32,370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F95A" w14:textId="77777777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CA09" w14:textId="23807F52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9B07" w14:textId="77777777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3AA0" w14:textId="29F7A481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F938" w14:textId="77777777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C529" w14:textId="5B705BC4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3,045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C4B5" w14:textId="77777777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272" w:rsidRPr="00C9628F" w14:paraId="68E14A25" w14:textId="77777777" w:rsidTr="00CF7790">
        <w:trPr>
          <w:trHeight w:val="583"/>
          <w:jc w:val="center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95959" w14:textId="57227C06" w:rsidR="00824272" w:rsidRPr="00CA5686" w:rsidDel="00824272" w:rsidRDefault="00824272" w:rsidP="00CF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5A671" w14:textId="77777777" w:rsidR="00824272" w:rsidRPr="00640424" w:rsidRDefault="00824272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F014F" w14:textId="77777777" w:rsidR="00824272" w:rsidRPr="00C9628F" w:rsidRDefault="00824272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21FBF" w14:textId="77777777" w:rsidR="00824272" w:rsidRPr="00640424" w:rsidRDefault="00824272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8B961" w14:textId="77777777" w:rsidR="00824272" w:rsidRPr="00C9628F" w:rsidRDefault="00824272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C93A7" w14:textId="77777777" w:rsidR="00824272" w:rsidRPr="00640424" w:rsidRDefault="00824272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97092" w14:textId="77777777" w:rsidR="00824272" w:rsidRPr="00C9628F" w:rsidRDefault="00824272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0511A" w14:textId="77777777" w:rsidR="00824272" w:rsidRPr="00640424" w:rsidRDefault="00824272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437E7" w14:textId="77777777" w:rsidR="00824272" w:rsidRPr="00C9628F" w:rsidRDefault="00824272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424" w:rsidRPr="00C9628F" w14:paraId="7050D2D7" w14:textId="77777777" w:rsidTr="00CF7790">
        <w:trPr>
          <w:trHeight w:val="583"/>
          <w:jc w:val="center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63ED" w14:textId="77777777" w:rsidR="00640424" w:rsidRPr="00C9628F" w:rsidRDefault="00640424" w:rsidP="00CF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Metro, No.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3D69" w14:textId="63B72358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20,379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B579" w14:textId="7041E3AF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(63)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8BA6" w14:textId="6C4A410B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049F" w14:textId="70C28AF6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(94)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0CC6" w14:textId="016958E5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7,724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C693" w14:textId="7E110E58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(76)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2A330" w14:textId="5BA77559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2,674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1B3D" w14:textId="3B5EA1F7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(88)</w:t>
            </w:r>
          </w:p>
        </w:tc>
      </w:tr>
      <w:tr w:rsidR="00640424" w:rsidRPr="00C9628F" w14:paraId="4A037E51" w14:textId="77777777" w:rsidTr="00CF7790">
        <w:trPr>
          <w:trHeight w:val="583"/>
          <w:jc w:val="center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8095" w14:textId="77777777" w:rsidR="00640424" w:rsidRPr="00C9628F" w:rsidRDefault="00640424" w:rsidP="00CF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Non-metro, No.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C559" w14:textId="7B1231E6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11,991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AC6B" w14:textId="25371BD9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(37)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4A7A" w14:textId="3E0EC79A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20B6" w14:textId="69249A98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994B" w14:textId="3BF085A1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AE68" w14:textId="4F889FE3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(24)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B5A7" w14:textId="63A37D83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BAC1" w14:textId="7AC676A3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(12)</w:t>
            </w:r>
          </w:p>
        </w:tc>
      </w:tr>
      <w:tr w:rsidR="00824272" w:rsidRPr="00C9628F" w14:paraId="49F95B47" w14:textId="77777777" w:rsidTr="00CF7790">
        <w:trPr>
          <w:trHeight w:val="583"/>
          <w:jc w:val="center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81FDB" w14:textId="17E7B4A9" w:rsidR="00824272" w:rsidRPr="00CA5686" w:rsidRDefault="00824272" w:rsidP="00CF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Teaching Status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B02DB" w14:textId="77777777" w:rsidR="00824272" w:rsidRPr="00640424" w:rsidRDefault="00824272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94D6D" w14:textId="77777777" w:rsidR="00824272" w:rsidRPr="00640424" w:rsidRDefault="00824272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BF51D" w14:textId="77777777" w:rsidR="00824272" w:rsidRPr="00640424" w:rsidRDefault="00824272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72673" w14:textId="77777777" w:rsidR="00824272" w:rsidRPr="00640424" w:rsidRDefault="00824272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AE1E5" w14:textId="77777777" w:rsidR="00824272" w:rsidRPr="00640424" w:rsidRDefault="00824272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8D90B" w14:textId="77777777" w:rsidR="00824272" w:rsidRPr="00640424" w:rsidRDefault="00824272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B6671" w14:textId="77777777" w:rsidR="00824272" w:rsidRPr="00640424" w:rsidRDefault="00824272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5E905" w14:textId="77777777" w:rsidR="00824272" w:rsidRPr="00640424" w:rsidRDefault="00824272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424" w:rsidRPr="00C9628F" w14:paraId="1099D119" w14:textId="77777777" w:rsidTr="00CF7790">
        <w:trPr>
          <w:trHeight w:val="583"/>
          <w:jc w:val="center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BB2D" w14:textId="77777777" w:rsidR="00640424" w:rsidRPr="00C9628F" w:rsidRDefault="00640424" w:rsidP="00CF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Non-teaching, No.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6757" w14:textId="7A024321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24,470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6513" w14:textId="0FDF41D3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(76)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6D09" w14:textId="54FDC969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2,064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B1A8" w14:textId="459958D9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(54)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86D7F" w14:textId="3844A98E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D8E76" w14:textId="7DAC4E8B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(79)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F8F1" w14:textId="0C594E5A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1,360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1189B" w14:textId="29A774F1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(45)</w:t>
            </w:r>
          </w:p>
        </w:tc>
      </w:tr>
      <w:tr w:rsidR="00640424" w:rsidRPr="00C9628F" w14:paraId="75FD8F1E" w14:textId="77777777" w:rsidTr="00CF7790">
        <w:trPr>
          <w:trHeight w:val="583"/>
          <w:jc w:val="center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56F0" w14:textId="77777777" w:rsidR="00640424" w:rsidRPr="00C9628F" w:rsidRDefault="00640424" w:rsidP="00CF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Minor teaching, No.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317E" w14:textId="2023CEB8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1,584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95CD" w14:textId="545EF8C6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A9F1" w14:textId="2E36F267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85E7" w14:textId="0C18BE26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B26D" w14:textId="3060A760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F2B0" w14:textId="6BBC3056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23C7" w14:textId="1EBFCCE3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B5AF7" w14:textId="612F808D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(26)</w:t>
            </w:r>
          </w:p>
        </w:tc>
      </w:tr>
      <w:tr w:rsidR="00640424" w:rsidRPr="00C9628F" w14:paraId="2266ADAF" w14:textId="77777777" w:rsidTr="00CF7790">
        <w:trPr>
          <w:trHeight w:val="583"/>
          <w:jc w:val="center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667D" w14:textId="77777777" w:rsidR="00640424" w:rsidRPr="00C9628F" w:rsidRDefault="00640424" w:rsidP="00CF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Major teaching, No.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952A" w14:textId="63CDAB74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6,316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383C" w14:textId="3DC37D29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36AE" w14:textId="597D9277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1,445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85BB" w14:textId="6B45A58D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(38)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2C94" w14:textId="44F487D9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1,552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F4D8" w14:textId="1A72A657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9DC76" w14:textId="0B964D70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541C" w14:textId="584BDB15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(30)</w:t>
            </w:r>
          </w:p>
        </w:tc>
      </w:tr>
      <w:tr w:rsidR="00824272" w:rsidRPr="00C9628F" w14:paraId="0ABA8F6E" w14:textId="77777777" w:rsidTr="00CF7790">
        <w:trPr>
          <w:trHeight w:val="583"/>
          <w:jc w:val="center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FF66F" w14:textId="35A19C87" w:rsidR="00824272" w:rsidRPr="00CA5686" w:rsidRDefault="00824272" w:rsidP="00CF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Ownership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DD751" w14:textId="77777777" w:rsidR="00824272" w:rsidRPr="00640424" w:rsidRDefault="00824272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A13D7" w14:textId="77777777" w:rsidR="00824272" w:rsidRPr="00640424" w:rsidRDefault="00824272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82202" w14:textId="77777777" w:rsidR="00824272" w:rsidRPr="00640424" w:rsidRDefault="00824272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D66CA" w14:textId="77777777" w:rsidR="00824272" w:rsidRPr="00640424" w:rsidRDefault="00824272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D38D7" w14:textId="77777777" w:rsidR="00824272" w:rsidRPr="00640424" w:rsidRDefault="00824272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A4155" w14:textId="77777777" w:rsidR="00824272" w:rsidRPr="00640424" w:rsidRDefault="00824272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940AF" w14:textId="77777777" w:rsidR="00824272" w:rsidRPr="00640424" w:rsidRDefault="00824272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33525" w14:textId="77777777" w:rsidR="00824272" w:rsidRPr="00640424" w:rsidRDefault="00824272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424" w:rsidRPr="00C9628F" w14:paraId="1D9FC35F" w14:textId="77777777" w:rsidTr="00CF7790">
        <w:trPr>
          <w:trHeight w:val="583"/>
          <w:jc w:val="center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E18C" w14:textId="77777777" w:rsidR="00640424" w:rsidRPr="00C9628F" w:rsidRDefault="00640424" w:rsidP="00CF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For-profit, No.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A2EF" w14:textId="0C9E39E3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573F5" w14:textId="276FC493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(23)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3C46" w14:textId="551C3C90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FABC" w14:textId="05F79276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(24)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C5B3" w14:textId="59A2173F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3,483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6833" w14:textId="76F8112B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(34)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5641" w14:textId="0F3B2314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BA7B" w14:textId="7DD0E3BD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(5)</w:t>
            </w:r>
          </w:p>
        </w:tc>
      </w:tr>
      <w:tr w:rsidR="00640424" w:rsidRPr="00C9628F" w14:paraId="7836AEE6" w14:textId="77777777" w:rsidTr="00CF7790">
        <w:trPr>
          <w:trHeight w:val="583"/>
          <w:jc w:val="center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E051" w14:textId="77777777" w:rsidR="00640424" w:rsidRPr="00C9628F" w:rsidRDefault="00640424" w:rsidP="00CF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Government-owned, No.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83DDF" w14:textId="76E22D07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6,988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6190" w14:textId="6C24B355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(22)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AB14" w14:textId="536C4B94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E8F8" w14:textId="14F0FB98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(16)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4F9B" w14:textId="59353426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1,935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BB29" w14:textId="4F68E1B7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E32B" w14:textId="1CD5CCF5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C934" w14:textId="06163702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(14)</w:t>
            </w:r>
          </w:p>
        </w:tc>
      </w:tr>
      <w:tr w:rsidR="00640424" w:rsidRPr="00C9628F" w14:paraId="73CD8FA9" w14:textId="77777777" w:rsidTr="00CF7790">
        <w:trPr>
          <w:trHeight w:val="583"/>
          <w:jc w:val="center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93AE" w14:textId="77777777" w:rsidR="00640424" w:rsidRPr="00C9628F" w:rsidRDefault="00640424" w:rsidP="00CF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Nonprofit, No.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6A3B" w14:textId="13EB0ACA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17,982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221D" w14:textId="7C80A4D4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(56)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F93B8" w14:textId="362445A9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2,285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C3F3" w14:textId="65192BF8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(60)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0D68" w14:textId="7737CF7D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173C" w14:textId="68CD28E7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(47)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4B70" w14:textId="23ADAD9A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2,460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DE15" w14:textId="16CD34A0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(81)</w:t>
            </w:r>
          </w:p>
        </w:tc>
      </w:tr>
      <w:tr w:rsidR="00FF5518" w:rsidRPr="00C9628F" w14:paraId="056F05B5" w14:textId="77777777" w:rsidTr="00CF7790">
        <w:trPr>
          <w:trHeight w:val="583"/>
          <w:jc w:val="center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5F1A4E" w14:textId="3BA1D6D8" w:rsidR="00FF5518" w:rsidRPr="00CA5686" w:rsidRDefault="00FF5518" w:rsidP="00CF7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Other </w:t>
            </w:r>
            <w:r w:rsidR="00CA56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Hospital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Characteristics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0C985" w14:textId="77777777" w:rsidR="00FF5518" w:rsidRPr="00640424" w:rsidRDefault="00FF5518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FF371" w14:textId="77777777" w:rsidR="00FF5518" w:rsidRPr="00640424" w:rsidRDefault="00FF5518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B2744" w14:textId="77777777" w:rsidR="00FF5518" w:rsidRPr="00640424" w:rsidRDefault="00FF5518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E4727" w14:textId="77777777" w:rsidR="00FF5518" w:rsidRPr="00640424" w:rsidRDefault="00FF5518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C68C7" w14:textId="77777777" w:rsidR="00FF5518" w:rsidRPr="00640424" w:rsidRDefault="00FF5518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C6A51" w14:textId="77777777" w:rsidR="00FF5518" w:rsidRPr="00640424" w:rsidRDefault="00FF5518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77EF8" w14:textId="77777777" w:rsidR="00FF5518" w:rsidRPr="00640424" w:rsidRDefault="00FF5518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EA5E5" w14:textId="77777777" w:rsidR="00FF5518" w:rsidRPr="00640424" w:rsidRDefault="00FF5518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0424" w:rsidRPr="00C9628F" w14:paraId="204BCA11" w14:textId="77777777" w:rsidTr="00CF7790">
        <w:trPr>
          <w:trHeight w:val="583"/>
          <w:jc w:val="center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43E7" w14:textId="174042B9" w:rsidR="00640424" w:rsidRPr="00C9628F" w:rsidRDefault="00640424" w:rsidP="00CF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</w:t>
            </w:r>
            <w:r w:rsidR="00FF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</w:t>
            </w: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licensed beds, mean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(SD)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B1FD" w14:textId="1A6780FA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155.1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2EBD0" w14:textId="12CF9D1B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(179.5)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472D" w14:textId="1A6CD5F6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221.86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8787" w14:textId="5FA6AA93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(201.3)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1B63" w14:textId="1F71341A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155.14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7A89" w14:textId="7A4EAA63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(182.6)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9DE2" w14:textId="08CEC910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287.07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59ED9" w14:textId="3821F908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(260.4)</w:t>
            </w:r>
          </w:p>
        </w:tc>
      </w:tr>
      <w:tr w:rsidR="00640424" w:rsidRPr="00C9628F" w14:paraId="47F741D3" w14:textId="77777777" w:rsidTr="00CF7790">
        <w:trPr>
          <w:trHeight w:val="583"/>
          <w:jc w:val="center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C2D9" w14:textId="5EF02160" w:rsidR="00640424" w:rsidRPr="00C9628F" w:rsidRDefault="00640424" w:rsidP="00CF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Occupancy rate, mean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(SD)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BC0D" w14:textId="71C4507B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018F" w14:textId="103DB1F1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(0.84)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A5B0" w14:textId="172BD5DD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2981" w14:textId="40DF103F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(0.63)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082A" w14:textId="4BFDE81A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05FA" w14:textId="20E2C772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(0.75)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360A" w14:textId="1D3BCEDE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FEE4" w14:textId="1C294195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(0.7)</w:t>
            </w:r>
          </w:p>
        </w:tc>
      </w:tr>
      <w:tr w:rsidR="00640424" w:rsidRPr="00C9628F" w14:paraId="67F0D1E0" w14:textId="77777777" w:rsidTr="00CF7790">
        <w:trPr>
          <w:trHeight w:val="583"/>
          <w:jc w:val="center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230D" w14:textId="25B8BD84" w:rsidR="00640424" w:rsidRPr="00C9628F" w:rsidRDefault="00640424" w:rsidP="00CF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</w:t>
            </w:r>
            <w:r w:rsidR="00FF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</w:t>
            </w: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Medicare days, mean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(SD)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E9D0A" w14:textId="3BD82E01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5116" w14:textId="45D5F6AF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(0.22)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ABA3" w14:textId="1963D0B4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3C65" w14:textId="2B5BAA57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(0.18)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C0A9" w14:textId="56AC6F5D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08A9" w14:textId="1BEEE213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(0.22)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F937" w14:textId="279C6CCB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60D6" w14:textId="0B1CDD6A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(0.19)</w:t>
            </w:r>
          </w:p>
        </w:tc>
      </w:tr>
      <w:tr w:rsidR="00640424" w:rsidRPr="00C9628F" w14:paraId="73D23AF0" w14:textId="77777777" w:rsidTr="00CF7790">
        <w:trPr>
          <w:trHeight w:val="583"/>
          <w:jc w:val="center"/>
        </w:trPr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05A04" w14:textId="58CE175F" w:rsidR="00640424" w:rsidRPr="00C9628F" w:rsidRDefault="00640424" w:rsidP="00CF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</w:t>
            </w:r>
            <w:r w:rsidR="00FF5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</w:t>
            </w: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Medicaid days, mean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(SD)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A048D" w14:textId="20BE619D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D586F" w14:textId="7E1E7EAB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(0.14)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6718A" w14:textId="3BB933DA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EA574" w14:textId="6899449D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(0.17)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E49AE" w14:textId="6180236D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D5952" w14:textId="0E0769A8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(0.14)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89913" w14:textId="2A608717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53229" w14:textId="114BEDB5" w:rsidR="00640424" w:rsidRPr="00C9628F" w:rsidRDefault="00640424" w:rsidP="00CF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(0.17)</w:t>
            </w:r>
          </w:p>
        </w:tc>
      </w:tr>
    </w:tbl>
    <w:p w14:paraId="2B03D7FE" w14:textId="2B0304D7" w:rsidR="00572B54" w:rsidRDefault="00572B54" w:rsidP="00572B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Estimates represent 15-year averages across hospitals by law type. The mean/percentage difference in hospital characteristics between treatment and comparison groups are all statistically significant at 0.01 level. 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D81E86A" w14:textId="77777777" w:rsidR="00572B54" w:rsidRDefault="00572B54" w:rsidP="00572B54">
      <w:pPr>
        <w:rPr>
          <w:rFonts w:ascii="Times New Roman" w:hAnsi="Times New Roman" w:cs="Times New Roman"/>
          <w:b/>
          <w:sz w:val="24"/>
          <w:szCs w:val="24"/>
        </w:rPr>
        <w:sectPr w:rsidR="00572B54" w:rsidSect="00CF7790">
          <w:footnotePr>
            <w:numFmt w:val="chicago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FA9371" w14:textId="666DF3B2" w:rsidR="00B47355" w:rsidRPr="00316F38" w:rsidRDefault="00E476BB" w:rsidP="00B47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46316501"/>
      <w:r>
        <w:rPr>
          <w:noProof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25B9304C" wp14:editId="7831A074">
            <wp:simplePos x="0" y="0"/>
            <wp:positionH relativeFrom="column">
              <wp:posOffset>-20320</wp:posOffset>
            </wp:positionH>
            <wp:positionV relativeFrom="paragraph">
              <wp:posOffset>433705</wp:posOffset>
            </wp:positionV>
            <wp:extent cx="5853430" cy="4097655"/>
            <wp:effectExtent l="0" t="0" r="13970" b="17145"/>
            <wp:wrapTopAndBottom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BD071D5-3212-439F-A779-CC5530C152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355">
        <w:rPr>
          <w:rFonts w:ascii="Times New Roman" w:hAnsi="Times New Roman" w:cs="Times New Roman"/>
          <w:b/>
          <w:sz w:val="24"/>
          <w:szCs w:val="24"/>
        </w:rPr>
        <w:t>Appendix Figure</w:t>
      </w:r>
      <w:r w:rsidR="00B47355" w:rsidRPr="00316F38">
        <w:rPr>
          <w:rFonts w:ascii="Times New Roman" w:hAnsi="Times New Roman" w:cs="Times New Roman"/>
          <w:b/>
          <w:sz w:val="24"/>
          <w:szCs w:val="24"/>
        </w:rPr>
        <w:t xml:space="preserve"> 1. Trends in Unadjusted Mean Registered Nurse Hours Per Patient Day in States that Implemented and Did Not Implement</w:t>
      </w:r>
      <w:r w:rsidR="00B47355" w:rsidRPr="00316F38" w:rsidDel="009A4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355" w:rsidRPr="00316F38">
        <w:rPr>
          <w:rFonts w:ascii="Times New Roman" w:hAnsi="Times New Roman" w:cs="Times New Roman"/>
          <w:b/>
          <w:sz w:val="24"/>
          <w:szCs w:val="24"/>
        </w:rPr>
        <w:t>Nurse Staffing Legislation, 2003-</w:t>
      </w:r>
      <w:r w:rsidR="00B47355">
        <w:rPr>
          <w:rFonts w:ascii="Times New Roman" w:hAnsi="Times New Roman" w:cs="Times New Roman" w:hint="eastAsia"/>
          <w:b/>
          <w:sz w:val="24"/>
          <w:szCs w:val="24"/>
        </w:rPr>
        <w:t>2018</w:t>
      </w:r>
      <w:bookmarkEnd w:id="0"/>
      <w:r w:rsidR="00B47355" w:rsidRPr="00316F38">
        <w:rPr>
          <w:rFonts w:ascii="Times New Roman" w:hAnsi="Times New Roman" w:cs="Times New Roman"/>
          <w:sz w:val="24"/>
          <w:szCs w:val="24"/>
        </w:rPr>
        <w:tab/>
      </w:r>
    </w:p>
    <w:p w14:paraId="2EF71571" w14:textId="35247A13" w:rsidR="00B47355" w:rsidRPr="00316F38" w:rsidRDefault="00B47355" w:rsidP="00B47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F38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7FE5D27" w14:textId="0CCEBD62" w:rsidR="00B47355" w:rsidRPr="00535063" w:rsidRDefault="00B47355" w:rsidP="00B47355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35063">
        <w:rPr>
          <w:rFonts w:ascii="Times New Roman" w:hAnsi="Times New Roman" w:cs="Times New Roman"/>
          <w:bCs/>
          <w:sz w:val="24"/>
          <w:szCs w:val="24"/>
        </w:rPr>
        <w:t xml:space="preserve">Note: The figure represents the raw trend in each group. The number of states in each group is </w:t>
      </w:r>
      <w:r w:rsidR="000873A7">
        <w:rPr>
          <w:rFonts w:ascii="Times New Roman" w:hAnsi="Times New Roman" w:cs="Times New Roman"/>
          <w:bCs/>
          <w:sz w:val="24"/>
          <w:szCs w:val="24"/>
        </w:rPr>
        <w:t>constant</w:t>
      </w:r>
      <w:r w:rsidR="000873A7" w:rsidRPr="005350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5063">
        <w:rPr>
          <w:rFonts w:ascii="Times New Roman" w:hAnsi="Times New Roman" w:cs="Times New Roman"/>
          <w:bCs/>
          <w:sz w:val="24"/>
          <w:szCs w:val="24"/>
        </w:rPr>
        <w:t xml:space="preserve">over time, despite </w:t>
      </w:r>
      <w:r>
        <w:rPr>
          <w:rFonts w:ascii="Times New Roman" w:hAnsi="Times New Roman" w:cs="Times New Roman"/>
          <w:bCs/>
          <w:sz w:val="24"/>
          <w:szCs w:val="24"/>
        </w:rPr>
        <w:t>that states with legislation implemented the law in different year.</w:t>
      </w:r>
      <w:r w:rsidRPr="00535063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5448777C" w14:textId="2F986048" w:rsidR="00B47355" w:rsidRDefault="00B47355" w:rsidP="00B473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46316540"/>
      <w:r>
        <w:rPr>
          <w:rFonts w:ascii="Times New Roman" w:hAnsi="Times New Roman" w:cs="Times New Roman"/>
          <w:b/>
          <w:sz w:val="24"/>
          <w:szCs w:val="24"/>
        </w:rPr>
        <w:lastRenderedPageBreak/>
        <w:t>Appendix Figure</w:t>
      </w:r>
      <w:r w:rsidRPr="00316F38">
        <w:rPr>
          <w:rFonts w:ascii="Times New Roman" w:hAnsi="Times New Roman" w:cs="Times New Roman"/>
          <w:b/>
          <w:sz w:val="24"/>
          <w:szCs w:val="24"/>
        </w:rPr>
        <w:t xml:space="preserve"> 2. Trends in Unadjusted Mean</w:t>
      </w:r>
      <w:r w:rsidRPr="00316F38">
        <w:rPr>
          <w:rFonts w:ascii="Times New Roman" w:hAnsi="Times New Roman" w:cs="Times New Roman"/>
          <w:sz w:val="24"/>
          <w:szCs w:val="24"/>
        </w:rPr>
        <w:t xml:space="preserve"> </w:t>
      </w:r>
      <w:r w:rsidRPr="00316F38">
        <w:rPr>
          <w:rFonts w:ascii="Times New Roman" w:hAnsi="Times New Roman" w:cs="Times New Roman"/>
          <w:b/>
          <w:sz w:val="24"/>
          <w:szCs w:val="24"/>
        </w:rPr>
        <w:t>Licensed Practical/Vocational Nurse Hours Per Patient Day in States that Implemented and Did Not Implement</w:t>
      </w:r>
      <w:r w:rsidRPr="00316F38" w:rsidDel="009A4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F38">
        <w:rPr>
          <w:rFonts w:ascii="Times New Roman" w:hAnsi="Times New Roman" w:cs="Times New Roman"/>
          <w:b/>
          <w:sz w:val="24"/>
          <w:szCs w:val="24"/>
        </w:rPr>
        <w:t>Nurse Staffing Legislation, 2003-</w:t>
      </w:r>
      <w:r>
        <w:rPr>
          <w:rFonts w:ascii="Times New Roman" w:hAnsi="Times New Roman" w:cs="Times New Roman" w:hint="eastAsia"/>
          <w:b/>
          <w:sz w:val="24"/>
          <w:szCs w:val="24"/>
        </w:rPr>
        <w:t>2018</w:t>
      </w:r>
    </w:p>
    <w:p w14:paraId="7B1CB379" w14:textId="77777777" w:rsidR="00B47355" w:rsidRDefault="00B47355" w:rsidP="00B473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2D700466" wp14:editId="5A2DB70F">
            <wp:extent cx="5769661" cy="4078090"/>
            <wp:effectExtent l="0" t="0" r="2540" b="1778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3F52EC0-F46F-41EA-AB62-D36667B3E3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71E2A96" w14:textId="724415AA" w:rsidR="00B47355" w:rsidRDefault="00B47355" w:rsidP="00B473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063">
        <w:rPr>
          <w:rFonts w:ascii="Times New Roman" w:hAnsi="Times New Roman" w:cs="Times New Roman"/>
          <w:bCs/>
          <w:sz w:val="24"/>
          <w:szCs w:val="24"/>
        </w:rPr>
        <w:t xml:space="preserve">Note: The figure represents the raw trend in each group. The number of states in each group is </w:t>
      </w:r>
      <w:r w:rsidR="005B296D">
        <w:rPr>
          <w:rFonts w:ascii="Times New Roman" w:hAnsi="Times New Roman" w:cs="Times New Roman"/>
          <w:bCs/>
          <w:sz w:val="24"/>
          <w:szCs w:val="24"/>
        </w:rPr>
        <w:t>constant</w:t>
      </w:r>
      <w:r w:rsidR="007B60E9" w:rsidRPr="005350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5063">
        <w:rPr>
          <w:rFonts w:ascii="Times New Roman" w:hAnsi="Times New Roman" w:cs="Times New Roman"/>
          <w:bCs/>
          <w:sz w:val="24"/>
          <w:szCs w:val="24"/>
        </w:rPr>
        <w:t xml:space="preserve">over time, despite </w:t>
      </w:r>
      <w:r>
        <w:rPr>
          <w:rFonts w:ascii="Times New Roman" w:hAnsi="Times New Roman" w:cs="Times New Roman"/>
          <w:bCs/>
          <w:sz w:val="24"/>
          <w:szCs w:val="24"/>
        </w:rPr>
        <w:t>that states with legislation implemented the law in different year.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B547941" w14:textId="2FA1D103" w:rsidR="00B47355" w:rsidRDefault="00B47355" w:rsidP="00B473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 Figure</w:t>
      </w:r>
      <w:r w:rsidRPr="00316F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316F38">
        <w:rPr>
          <w:rFonts w:ascii="Times New Roman" w:hAnsi="Times New Roman" w:cs="Times New Roman"/>
          <w:b/>
          <w:sz w:val="24"/>
          <w:szCs w:val="24"/>
        </w:rPr>
        <w:t>. Trends in Unadjusted Me</w:t>
      </w:r>
      <w:r w:rsidR="00634729">
        <w:rPr>
          <w:rFonts w:ascii="Times New Roman" w:hAnsi="Times New Roman" w:cs="Times New Roman"/>
          <w:b/>
          <w:sz w:val="24"/>
          <w:szCs w:val="24"/>
        </w:rPr>
        <w:t>an Nurse Assistive Personnel</w:t>
      </w:r>
      <w:r w:rsidRPr="00316F38">
        <w:rPr>
          <w:rFonts w:ascii="Times New Roman" w:hAnsi="Times New Roman" w:cs="Times New Roman"/>
          <w:b/>
          <w:sz w:val="24"/>
          <w:szCs w:val="24"/>
        </w:rPr>
        <w:t xml:space="preserve"> Hours Per Patient Day in States that Implemented and Did Not Implement</w:t>
      </w:r>
      <w:r w:rsidRPr="00316F38" w:rsidDel="009A4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F38">
        <w:rPr>
          <w:rFonts w:ascii="Times New Roman" w:hAnsi="Times New Roman" w:cs="Times New Roman"/>
          <w:b/>
          <w:sz w:val="24"/>
          <w:szCs w:val="24"/>
        </w:rPr>
        <w:t>Nurse Staffing Legislation, 2003-</w:t>
      </w:r>
      <w:r>
        <w:rPr>
          <w:rFonts w:ascii="Times New Roman" w:hAnsi="Times New Roman" w:cs="Times New Roman" w:hint="eastAsia"/>
          <w:b/>
          <w:sz w:val="24"/>
          <w:szCs w:val="24"/>
        </w:rPr>
        <w:t>2018</w:t>
      </w:r>
    </w:p>
    <w:p w14:paraId="72BCBEBA" w14:textId="77777777" w:rsidR="00B47355" w:rsidRDefault="00B47355" w:rsidP="00B47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7A2765B8" wp14:editId="5C838B19">
            <wp:extent cx="5784294" cy="4138160"/>
            <wp:effectExtent l="0" t="0" r="6985" b="1524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2D6D40DE-2B7A-47FE-94C0-8940D8D2AE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DEDD92F" w14:textId="39001C62" w:rsidR="00B47355" w:rsidRPr="00316F38" w:rsidRDefault="00B47355" w:rsidP="00B47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063">
        <w:rPr>
          <w:rFonts w:ascii="Times New Roman" w:hAnsi="Times New Roman" w:cs="Times New Roman"/>
          <w:bCs/>
          <w:sz w:val="24"/>
          <w:szCs w:val="24"/>
        </w:rPr>
        <w:t xml:space="preserve">Note: The figure represents the raw trend in each group. The number of states in each group is </w:t>
      </w:r>
      <w:r w:rsidR="007B60E9">
        <w:rPr>
          <w:rFonts w:ascii="Times New Roman" w:hAnsi="Times New Roman" w:cs="Times New Roman"/>
          <w:bCs/>
          <w:sz w:val="24"/>
          <w:szCs w:val="24"/>
        </w:rPr>
        <w:t>constant</w:t>
      </w:r>
      <w:r w:rsidR="007B60E9" w:rsidRPr="005350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5063">
        <w:rPr>
          <w:rFonts w:ascii="Times New Roman" w:hAnsi="Times New Roman" w:cs="Times New Roman"/>
          <w:bCs/>
          <w:sz w:val="24"/>
          <w:szCs w:val="24"/>
        </w:rPr>
        <w:t xml:space="preserve">over time, despite </w:t>
      </w:r>
      <w:r>
        <w:rPr>
          <w:rFonts w:ascii="Times New Roman" w:hAnsi="Times New Roman" w:cs="Times New Roman"/>
          <w:bCs/>
          <w:sz w:val="24"/>
          <w:szCs w:val="24"/>
        </w:rPr>
        <w:t>that states with legislation implemented the law in different year.</w:t>
      </w:r>
      <w:r w:rsidRPr="00316F38">
        <w:rPr>
          <w:rFonts w:ascii="Times New Roman" w:hAnsi="Times New Roman" w:cs="Times New Roman"/>
          <w:sz w:val="24"/>
          <w:szCs w:val="24"/>
        </w:rPr>
        <w:tab/>
      </w:r>
      <w:bookmarkEnd w:id="1"/>
    </w:p>
    <w:p w14:paraId="38B1C467" w14:textId="77777777" w:rsidR="00B47355" w:rsidRPr="00316F38" w:rsidRDefault="00B47355" w:rsidP="00B47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F38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6C88594" w14:textId="77777777" w:rsidR="00B47355" w:rsidRPr="00316F38" w:rsidRDefault="00B47355" w:rsidP="00B47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6F3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BA5C13" w14:textId="77777777" w:rsidR="0063080C" w:rsidRDefault="0063080C">
      <w:pPr>
        <w:rPr>
          <w:rFonts w:ascii="Times New Roman" w:hAnsi="Times New Roman" w:cs="Times New Roman"/>
          <w:b/>
          <w:sz w:val="24"/>
          <w:szCs w:val="24"/>
        </w:rPr>
        <w:sectPr w:rsidR="0063080C" w:rsidSect="006308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B720C5" w14:textId="0FE25305" w:rsidR="006F611B" w:rsidRDefault="003D38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Table </w:t>
      </w:r>
      <w:r w:rsidR="00A12C6E">
        <w:rPr>
          <w:rFonts w:ascii="Times New Roman" w:hAnsi="Times New Roman" w:cs="Times New Roman"/>
          <w:b/>
          <w:sz w:val="24"/>
          <w:szCs w:val="24"/>
        </w:rPr>
        <w:t>2</w:t>
      </w:r>
      <w:r w:rsidR="00757B0C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6F611B" w:rsidRPr="008F2DEF">
        <w:rPr>
          <w:rFonts w:ascii="Times New Roman" w:hAnsi="Times New Roman" w:cs="Times New Roman"/>
          <w:b/>
          <w:sz w:val="24"/>
          <w:szCs w:val="24"/>
        </w:rPr>
        <w:t xml:space="preserve"> Full Regression Results </w:t>
      </w:r>
      <w:r w:rsidR="00881434" w:rsidRPr="008F2DEF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2D4802" w:rsidRPr="005457C9">
        <w:rPr>
          <w:rFonts w:ascii="Times New Roman" w:hAnsi="Times New Roman" w:cs="Times New Roman"/>
          <w:b/>
          <w:sz w:val="24"/>
          <w:szCs w:val="24"/>
        </w:rPr>
        <w:t xml:space="preserve">Difference-in-Differences Estimates </w:t>
      </w:r>
      <w:r w:rsidR="00686FA5" w:rsidRPr="00686FA5">
        <w:rPr>
          <w:rFonts w:ascii="Times New Roman" w:hAnsi="Times New Roman" w:cs="Times New Roman"/>
          <w:b/>
          <w:sz w:val="24"/>
          <w:szCs w:val="24"/>
        </w:rPr>
        <w:t xml:space="preserve">of the Effect of Nurse Staffing Legislation on Hospital Staffing  </w:t>
      </w:r>
    </w:p>
    <w:tbl>
      <w:tblPr>
        <w:tblW w:w="14310" w:type="dxa"/>
        <w:jc w:val="center"/>
        <w:tblLayout w:type="fixed"/>
        <w:tblLook w:val="04A0" w:firstRow="1" w:lastRow="0" w:firstColumn="1" w:lastColumn="0" w:noHBand="0" w:noVBand="1"/>
      </w:tblPr>
      <w:tblGrid>
        <w:gridCol w:w="5000"/>
        <w:gridCol w:w="1119"/>
        <w:gridCol w:w="1244"/>
        <w:gridCol w:w="1186"/>
        <w:gridCol w:w="1133"/>
        <w:gridCol w:w="1118"/>
        <w:gridCol w:w="1187"/>
        <w:gridCol w:w="1153"/>
        <w:gridCol w:w="1170"/>
      </w:tblGrid>
      <w:tr w:rsidR="00C01E38" w:rsidRPr="003D44FE" w14:paraId="46EA52F7" w14:textId="2B2BE07B" w:rsidTr="00DA1260">
        <w:trPr>
          <w:trHeight w:val="266"/>
          <w:jc w:val="center"/>
        </w:trPr>
        <w:tc>
          <w:tcPr>
            <w:tcW w:w="50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3D22F2" w14:textId="77777777" w:rsidR="00C01E38" w:rsidRPr="003D44FE" w:rsidRDefault="00C01E38" w:rsidP="003D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2" w:name="_Hlk64371499"/>
            <w:r w:rsidRPr="003D44F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3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FA108" w14:textId="60761310" w:rsidR="00C01E38" w:rsidRPr="003D44FE" w:rsidRDefault="00C01E38" w:rsidP="003D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44FE">
              <w:rPr>
                <w:rFonts w:ascii="Times New Roman" w:eastAsia="Times New Roman" w:hAnsi="Times New Roman" w:cs="Times New Roman"/>
                <w:b/>
                <w:bCs/>
              </w:rPr>
              <w:t>Hours per patient day</w:t>
            </w:r>
          </w:p>
        </w:tc>
      </w:tr>
      <w:tr w:rsidR="00DA1260" w:rsidRPr="003D44FE" w14:paraId="1139ED57" w14:textId="77777777" w:rsidTr="00DA1260">
        <w:trPr>
          <w:trHeight w:val="341"/>
          <w:jc w:val="center"/>
        </w:trPr>
        <w:tc>
          <w:tcPr>
            <w:tcW w:w="50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DBE62A1" w14:textId="77777777" w:rsidR="00C01E38" w:rsidRPr="003D44FE" w:rsidRDefault="00C01E38" w:rsidP="00C0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D7418" w14:textId="7C416745" w:rsidR="00C01E38" w:rsidRPr="003D44FE" w:rsidRDefault="00BD442E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Model (1) </w:t>
            </w:r>
            <w:r w:rsidR="00C01E38">
              <w:rPr>
                <w:rFonts w:ascii="Times New Roman" w:eastAsia="Times New Roman" w:hAnsi="Times New Roman" w:cs="Times New Roman"/>
                <w:b/>
                <w:bCs/>
              </w:rPr>
              <w:t>Including California</w:t>
            </w:r>
          </w:p>
        </w:tc>
        <w:tc>
          <w:tcPr>
            <w:tcW w:w="4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776EC" w14:textId="746D31E0" w:rsidR="00C01E38" w:rsidRPr="00DF2B46" w:rsidRDefault="00BD442E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Model (2) </w:t>
            </w:r>
            <w:r w:rsidR="00C01E38">
              <w:rPr>
                <w:rFonts w:ascii="Times New Roman" w:eastAsia="Times New Roman" w:hAnsi="Times New Roman" w:cs="Times New Roman"/>
                <w:b/>
                <w:bCs/>
              </w:rPr>
              <w:t>Excluding California</w:t>
            </w:r>
          </w:p>
        </w:tc>
      </w:tr>
      <w:tr w:rsidR="00190F3B" w:rsidRPr="003D44FE" w14:paraId="1589F4C8" w14:textId="02E17B4A" w:rsidTr="009D5C45">
        <w:trPr>
          <w:trHeight w:val="781"/>
          <w:jc w:val="center"/>
        </w:trPr>
        <w:tc>
          <w:tcPr>
            <w:tcW w:w="50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7DAD7E" w14:textId="77777777" w:rsidR="00C01E38" w:rsidRPr="003D44FE" w:rsidRDefault="00C01E38" w:rsidP="00C0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75737F" w14:textId="77777777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44FE">
              <w:rPr>
                <w:rFonts w:ascii="Times New Roman" w:eastAsia="Times New Roman" w:hAnsi="Times New Roman" w:cs="Times New Roman"/>
                <w:b/>
                <w:bCs/>
              </w:rPr>
              <w:t>Total licensed nurse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DC95DF" w14:textId="77777777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44FE">
              <w:rPr>
                <w:rFonts w:ascii="Times New Roman" w:eastAsia="Times New Roman" w:hAnsi="Times New Roman" w:cs="Times New Roman"/>
                <w:b/>
                <w:bCs/>
              </w:rPr>
              <w:t>Registered nurse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6E5179" w14:textId="77777777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44FE">
              <w:rPr>
                <w:rFonts w:ascii="Times New Roman" w:eastAsia="Times New Roman" w:hAnsi="Times New Roman" w:cs="Times New Roman"/>
                <w:b/>
                <w:bCs/>
              </w:rPr>
              <w:t>Licensed practical nurse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38510C" w14:textId="77777777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44FE">
              <w:rPr>
                <w:rFonts w:ascii="Times New Roman" w:eastAsia="Times New Roman" w:hAnsi="Times New Roman" w:cs="Times New Roman"/>
                <w:b/>
                <w:bCs/>
              </w:rPr>
              <w:t>Nurse assistive personnel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30C389" w14:textId="615AEFAF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B46">
              <w:rPr>
                <w:rFonts w:ascii="Times New Roman" w:eastAsia="Times New Roman" w:hAnsi="Times New Roman" w:cs="Times New Roman"/>
                <w:b/>
                <w:bCs/>
              </w:rPr>
              <w:t>Total licensed nurses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BA741" w14:textId="78A9FE9D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B46">
              <w:rPr>
                <w:rFonts w:ascii="Times New Roman" w:eastAsia="Times New Roman" w:hAnsi="Times New Roman" w:cs="Times New Roman"/>
                <w:b/>
                <w:bCs/>
              </w:rPr>
              <w:t>Registered nurse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66A97" w14:textId="2C99B869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B46">
              <w:rPr>
                <w:rFonts w:ascii="Times New Roman" w:eastAsia="Times New Roman" w:hAnsi="Times New Roman" w:cs="Times New Roman"/>
                <w:b/>
                <w:bCs/>
              </w:rPr>
              <w:t xml:space="preserve">Licensed practical nurse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436F05" w14:textId="204452DD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B46">
              <w:rPr>
                <w:rFonts w:ascii="Times New Roman" w:eastAsia="Times New Roman" w:hAnsi="Times New Roman" w:cs="Times New Roman"/>
                <w:b/>
                <w:bCs/>
              </w:rPr>
              <w:t>Nurse assistive personnel</w:t>
            </w:r>
          </w:p>
        </w:tc>
      </w:tr>
      <w:tr w:rsidR="00190F3B" w:rsidRPr="003D44FE" w14:paraId="607E9984" w14:textId="7906E1F1" w:rsidTr="009D5C45">
        <w:trPr>
          <w:trHeight w:val="266"/>
          <w:jc w:val="center"/>
        </w:trPr>
        <w:tc>
          <w:tcPr>
            <w:tcW w:w="50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8051B4" w14:textId="77777777" w:rsidR="00C01E38" w:rsidRPr="003D44FE" w:rsidRDefault="00C01E38" w:rsidP="00C0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574F" w14:textId="77777777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44FE">
              <w:rPr>
                <w:rFonts w:ascii="Times New Roman" w:eastAsia="Times New Roman" w:hAnsi="Times New Roman" w:cs="Times New Roman"/>
                <w:b/>
                <w:bCs/>
              </w:rPr>
              <w:t>b(se)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4147" w14:textId="77777777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44FE">
              <w:rPr>
                <w:rFonts w:ascii="Times New Roman" w:eastAsia="Times New Roman" w:hAnsi="Times New Roman" w:cs="Times New Roman"/>
                <w:b/>
                <w:bCs/>
              </w:rPr>
              <w:t>b(se)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F087" w14:textId="77777777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44FE">
              <w:rPr>
                <w:rFonts w:ascii="Times New Roman" w:eastAsia="Times New Roman" w:hAnsi="Times New Roman" w:cs="Times New Roman"/>
                <w:b/>
                <w:bCs/>
              </w:rPr>
              <w:t>b(se)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1334" w14:textId="77777777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44FE">
              <w:rPr>
                <w:rFonts w:ascii="Times New Roman" w:eastAsia="Times New Roman" w:hAnsi="Times New Roman" w:cs="Times New Roman"/>
                <w:b/>
                <w:bCs/>
              </w:rPr>
              <w:t>b(se)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99E274" w14:textId="782B9D08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B46">
              <w:rPr>
                <w:rFonts w:ascii="Times New Roman" w:eastAsia="Times New Roman" w:hAnsi="Times New Roman" w:cs="Times New Roman"/>
                <w:b/>
                <w:bCs/>
              </w:rPr>
              <w:t>b(se)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A4F0B7" w14:textId="3C343750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B46">
              <w:rPr>
                <w:rFonts w:ascii="Times New Roman" w:eastAsia="Times New Roman" w:hAnsi="Times New Roman" w:cs="Times New Roman"/>
                <w:b/>
                <w:bCs/>
              </w:rPr>
              <w:t>b(se)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113B43" w14:textId="3A3AD832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B46">
              <w:rPr>
                <w:rFonts w:ascii="Times New Roman" w:eastAsia="Times New Roman" w:hAnsi="Times New Roman" w:cs="Times New Roman"/>
                <w:b/>
                <w:bCs/>
              </w:rPr>
              <w:t>b(se)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16C434" w14:textId="7E84D1B9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2B46">
              <w:rPr>
                <w:rFonts w:ascii="Times New Roman" w:eastAsia="Times New Roman" w:hAnsi="Times New Roman" w:cs="Times New Roman"/>
                <w:b/>
                <w:bCs/>
              </w:rPr>
              <w:t>b(se)</w:t>
            </w:r>
          </w:p>
        </w:tc>
      </w:tr>
      <w:tr w:rsidR="00190F3B" w:rsidRPr="003D44FE" w14:paraId="00140A36" w14:textId="3C71B6DD" w:rsidTr="009D5C45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3ECE" w14:textId="77777777" w:rsidR="00C01E38" w:rsidRPr="003D44FE" w:rsidRDefault="00C01E38" w:rsidP="00C01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D95" w14:textId="77777777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B3A2" w14:textId="77777777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4B21" w14:textId="77777777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25CE" w14:textId="77777777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291D532B" w14:textId="1E41C6BD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BC3A57E" w14:textId="5C71F4E2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CC86110" w14:textId="1ACC7319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1810A0F" w14:textId="30683643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40CC" w:rsidRPr="003D44FE" w14:paraId="6E4E2ACA" w14:textId="77777777" w:rsidTr="00DA1260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6832B" w14:textId="60DC8DB9" w:rsidR="004640CC" w:rsidRPr="004640CC" w:rsidRDefault="004640CC" w:rsidP="00C01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0CC">
              <w:rPr>
                <w:rFonts w:ascii="Times New Roman" w:eastAsia="Times New Roman" w:hAnsi="Times New Roman" w:cs="Times New Roman"/>
                <w:b/>
                <w:bCs/>
              </w:rPr>
              <w:t>Difference-in-</w:t>
            </w:r>
            <w:r w:rsidR="00E17B14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4640CC">
              <w:rPr>
                <w:rFonts w:ascii="Times New Roman" w:eastAsia="Times New Roman" w:hAnsi="Times New Roman" w:cs="Times New Roman"/>
                <w:b/>
                <w:bCs/>
              </w:rPr>
              <w:t>ifference Estimates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2D8DF" w14:textId="77777777" w:rsidR="004640CC" w:rsidRPr="003D44FE" w:rsidRDefault="004640CC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6AB18" w14:textId="77777777" w:rsidR="004640CC" w:rsidRPr="003D44FE" w:rsidRDefault="004640CC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E8785" w14:textId="77777777" w:rsidR="004640CC" w:rsidRPr="003D44FE" w:rsidRDefault="004640CC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1BDF3" w14:textId="77777777" w:rsidR="004640CC" w:rsidRPr="003D44FE" w:rsidRDefault="004640CC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0FBCD" w14:textId="77777777" w:rsidR="004640CC" w:rsidRPr="003D44FE" w:rsidRDefault="004640CC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8D04D" w14:textId="77777777" w:rsidR="004640CC" w:rsidRPr="003D44FE" w:rsidRDefault="004640CC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BD1DE" w14:textId="77777777" w:rsidR="004640CC" w:rsidRPr="003D44FE" w:rsidRDefault="004640CC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F1ED1" w14:textId="77777777" w:rsidR="004640CC" w:rsidRPr="003D44FE" w:rsidRDefault="004640CC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0F3B" w:rsidRPr="003D44FE" w14:paraId="7CBE6E2B" w14:textId="7E6BD01D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59D7" w14:textId="03979D3C" w:rsidR="00C01E38" w:rsidRPr="003D44FE" w:rsidRDefault="00C01E38" w:rsidP="00C01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Staffing mandate (CA)</w:t>
            </w:r>
            <w:r>
              <w:rPr>
                <w:rFonts w:ascii="Times New Roman" w:eastAsia="Times New Roman" w:hAnsi="Times New Roman" w:cs="Times New Roman"/>
              </w:rPr>
              <w:t xml:space="preserve"> * post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44A1" w14:textId="77777777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1.022***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AC75" w14:textId="77777777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0.996***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C16C" w14:textId="77777777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1990" w14:textId="77777777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0.224**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7B281" w14:textId="0E6632C8" w:rsidR="00C01E38" w:rsidRPr="003D44FE" w:rsidRDefault="00AA1536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E5836" w14:textId="01B6E3A0" w:rsidR="00C01E38" w:rsidRPr="003D44FE" w:rsidRDefault="00AA1536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467E8" w14:textId="604710BE" w:rsidR="00C01E38" w:rsidRPr="003D44FE" w:rsidRDefault="00AA1536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BF3AE" w14:textId="215A3BE5" w:rsidR="00C01E38" w:rsidRPr="003D44FE" w:rsidRDefault="00AA1536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0F3B" w:rsidRPr="003D44FE" w14:paraId="275FBE33" w14:textId="10601987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650D" w14:textId="77777777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8042" w14:textId="77777777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(0.123)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4A53" w14:textId="77777777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(0.114)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5726" w14:textId="77777777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(0.030)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3688" w14:textId="77777777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(0.070)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CD93F" w14:textId="0EEC6740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6B8E5" w14:textId="6C4A6777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FDAF8" w14:textId="5911418B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0162D" w14:textId="326A66FB" w:rsidR="00C01E38" w:rsidRPr="003D44FE" w:rsidRDefault="00C01E38" w:rsidP="00C0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90F3B" w:rsidRPr="003D44FE" w14:paraId="662A77A3" w14:textId="511F96C9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663F" w14:textId="4B96C493" w:rsidR="00E74FAC" w:rsidRPr="003D44FE" w:rsidRDefault="00E74FAC" w:rsidP="00E74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Staffing committee (CT, NV, OH, TX, WA)</w:t>
            </w:r>
            <w:r>
              <w:rPr>
                <w:rFonts w:ascii="Times New Roman" w:eastAsia="Times New Roman" w:hAnsi="Times New Roman" w:cs="Times New Roman"/>
              </w:rPr>
              <w:t xml:space="preserve"> * post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4FCF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-0.060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98A1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0.003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4FED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-0.076***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FF1B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-0.070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8B21A" w14:textId="427AEBCE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0.027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70B15" w14:textId="3D96A250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0.086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E708B" w14:textId="138797A8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-0.073***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88013" w14:textId="33E76FCD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-0.037</w:t>
            </w:r>
          </w:p>
        </w:tc>
      </w:tr>
      <w:tr w:rsidR="00190F3B" w:rsidRPr="003D44FE" w14:paraId="57D8DD65" w14:textId="498637B0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9756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8007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(0.065)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78D1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(0.059)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AF76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(0.022)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0AED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(0.037)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EFC16" w14:textId="5C904A48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(0.065)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D06CC" w14:textId="60CD2373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(0.059)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17129" w14:textId="01E303DA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(0.022)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32C29" w14:textId="08B97146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(0.038)</w:t>
            </w:r>
          </w:p>
        </w:tc>
      </w:tr>
      <w:tr w:rsidR="00190F3B" w:rsidRPr="003D44FE" w14:paraId="162B45C3" w14:textId="2391F6D7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477B" w14:textId="69981B15" w:rsidR="00E74FAC" w:rsidRPr="003D44FE" w:rsidRDefault="00E74FAC" w:rsidP="00E74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Public reporting (NJ, NY, RI, VT)</w:t>
            </w:r>
            <w:r>
              <w:rPr>
                <w:rFonts w:ascii="Times New Roman" w:eastAsia="Times New Roman" w:hAnsi="Times New Roman" w:cs="Times New Roman"/>
              </w:rPr>
              <w:t xml:space="preserve"> * post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17B9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0.277**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C61C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0.150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F8F6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0.115***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D893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0.095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06799" w14:textId="74F67C9F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0.366***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4A553" w14:textId="424854DB" w:rsidR="00E74FAC" w:rsidRPr="00AA1536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1536">
              <w:rPr>
                <w:rFonts w:ascii="Times New Roman" w:hAnsi="Times New Roman" w:cs="Times New Roman"/>
              </w:rPr>
              <w:t>0.260**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42026" w14:textId="5FD1C2FE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0.117***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756B2" w14:textId="61A4B94A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0.119</w:t>
            </w:r>
          </w:p>
        </w:tc>
      </w:tr>
      <w:tr w:rsidR="00190F3B" w:rsidRPr="003D44FE" w14:paraId="52B3F724" w14:textId="6185B42B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12D3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D8FC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(0.102)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F518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(0.094)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6061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(0.025)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27BB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(0.061)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D48F7" w14:textId="539ABFDF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(0.103)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63339" w14:textId="3E6BDE4C" w:rsidR="00E74FAC" w:rsidRPr="00AA1536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1536">
              <w:rPr>
                <w:rFonts w:ascii="Times New Roman" w:hAnsi="Times New Roman" w:cs="Times New Roman"/>
              </w:rPr>
              <w:t>(0.094)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21F1E" w14:textId="53CB01DD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(0.025)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DB6BA" w14:textId="35C9C8E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(0.061)</w:t>
            </w:r>
          </w:p>
        </w:tc>
      </w:tr>
      <w:bookmarkEnd w:id="2"/>
      <w:tr w:rsidR="004640CC" w:rsidRPr="003D44FE" w14:paraId="726864D9" w14:textId="77777777" w:rsidTr="00DA1260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937E5" w14:textId="00D5707E" w:rsidR="004640CC" w:rsidRPr="004640CC" w:rsidRDefault="004640CC" w:rsidP="00464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40CC">
              <w:rPr>
                <w:rFonts w:ascii="Times New Roman" w:eastAsia="Times New Roman" w:hAnsi="Times New Roman" w:cs="Times New Roman"/>
                <w:b/>
                <w:bCs/>
              </w:rPr>
              <w:t>Control Variables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236F8" w14:textId="77777777" w:rsidR="004640CC" w:rsidRPr="003D44FE" w:rsidRDefault="004640C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3755A" w14:textId="77777777" w:rsidR="004640CC" w:rsidRPr="003D44FE" w:rsidRDefault="004640C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9CC73" w14:textId="77777777" w:rsidR="004640CC" w:rsidRPr="003D44FE" w:rsidRDefault="004640C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50795" w14:textId="77777777" w:rsidR="004640CC" w:rsidRPr="003D44FE" w:rsidRDefault="004640C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0B4A0" w14:textId="77777777" w:rsidR="004640CC" w:rsidRPr="00011D66" w:rsidRDefault="004640CC" w:rsidP="00E74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E26C5" w14:textId="77777777" w:rsidR="004640CC" w:rsidRPr="000876AD" w:rsidRDefault="004640CC" w:rsidP="00E74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21E15" w14:textId="77777777" w:rsidR="004640CC" w:rsidRPr="00011D66" w:rsidRDefault="004640CC" w:rsidP="00E74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8EAE6" w14:textId="77777777" w:rsidR="004640CC" w:rsidRPr="00011D66" w:rsidRDefault="004640CC" w:rsidP="00E74F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F3B" w:rsidRPr="003D44FE" w14:paraId="71CA4D1C" w14:textId="6337E6FE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017C" w14:textId="77777777" w:rsidR="00E74FAC" w:rsidRPr="003D44FE" w:rsidRDefault="00E74FAC" w:rsidP="00E74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Located in non-metropolitan areas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D0FB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0.126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0C57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0.172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59AC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-0.026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DCD3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0.007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E4AC1" w14:textId="71FD3498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0.086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D1602" w14:textId="02C3D561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0.133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8CB80" w14:textId="2C0C0F3B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-0.028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58DEA" w14:textId="5625B5FB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-0.003</w:t>
            </w:r>
          </w:p>
        </w:tc>
      </w:tr>
      <w:tr w:rsidR="00190F3B" w:rsidRPr="003D44FE" w14:paraId="66F7074C" w14:textId="54423C92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2FCB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6C12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(0.129)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A29D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(0.120)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4417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(0.036)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0523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(0.071)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EDE96" w14:textId="0325E35E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(0.129)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10D44" w14:textId="3C45893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(0.120)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92C7D" w14:textId="6FC43B13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(0.036)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AA2E8" w14:textId="6E9EB1A8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(0.071)</w:t>
            </w:r>
          </w:p>
        </w:tc>
      </w:tr>
      <w:tr w:rsidR="00190F3B" w:rsidRPr="003D44FE" w14:paraId="391950C1" w14:textId="74E8470A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EAEB" w14:textId="77777777" w:rsidR="00E74FAC" w:rsidRPr="003D44FE" w:rsidRDefault="00E74FAC" w:rsidP="00E74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Government owned hospitals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F9F7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-0.335*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1BE0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-0.407**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1B20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0.072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4E52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0.142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DC61D" w14:textId="311F6D34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-0.289*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C1188" w14:textId="1793BE39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-0.360**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20E92" w14:textId="74A6C9D1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0.072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A43A5" w14:textId="3CB395B4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0.098</w:t>
            </w:r>
          </w:p>
        </w:tc>
      </w:tr>
      <w:tr w:rsidR="00190F3B" w:rsidRPr="003D44FE" w14:paraId="2D60B066" w14:textId="5501D1E7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DDB6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45F7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(0.146)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ED12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(0.132)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AB4C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(0.041)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61B1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(0.080)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5EE69" w14:textId="473A1723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(0.147)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A83B8" w14:textId="184946DB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(0.132)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4D90B" w14:textId="233A7309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(0.043)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E7744" w14:textId="23A5E33D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(0.080)</w:t>
            </w:r>
          </w:p>
        </w:tc>
      </w:tr>
      <w:tr w:rsidR="00190F3B" w:rsidRPr="003D44FE" w14:paraId="725792C0" w14:textId="0E923835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FE83" w14:textId="12B39E4F" w:rsidR="00E74FAC" w:rsidRPr="003D44FE" w:rsidRDefault="00E74FAC" w:rsidP="00E74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Nonprofit hospitals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D00A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-0.471***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F191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-0.389***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0ABD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-0.077**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BDF0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-0.042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DF4A9" w14:textId="06D106FB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-0.464***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80335" w14:textId="190154C5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-0.387***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2F43D" w14:textId="072C3DB2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-0.071*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30E31" w14:textId="215EB97B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-0.038</w:t>
            </w:r>
          </w:p>
        </w:tc>
      </w:tr>
      <w:tr w:rsidR="00190F3B" w:rsidRPr="003D44FE" w14:paraId="0BE655E7" w14:textId="30C42579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C58A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074B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(0.116)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78A7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(0.106)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5F2F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(0.029)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509D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(0.052)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2C900" w14:textId="0CE7B1E0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(0.115)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236AF" w14:textId="196B95B2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(0.105)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8FB57" w14:textId="5F6C447D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(0.030)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E6B38" w14:textId="3DAED93B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(0.054)</w:t>
            </w:r>
          </w:p>
        </w:tc>
      </w:tr>
      <w:tr w:rsidR="00190F3B" w:rsidRPr="003D44FE" w14:paraId="6289D02C" w14:textId="42C4427F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419C" w14:textId="77777777" w:rsidR="00E74FAC" w:rsidRPr="003D44FE" w:rsidRDefault="00E74FAC" w:rsidP="00E74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Minor teaching hospitals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AF9C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0.384**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E322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0.255*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36E9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0.092*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8541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0.140*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BE27A" w14:textId="1496CA4C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0.388**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09B90" w14:textId="39709649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0.242*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52870" w14:textId="1CDEC319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0.112**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7E56A" w14:textId="7ED48565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0.149*</w:t>
            </w:r>
          </w:p>
        </w:tc>
      </w:tr>
      <w:tr w:rsidR="00190F3B" w:rsidRPr="003D44FE" w14:paraId="4629C988" w14:textId="41690733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25B6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AF61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(0.137)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E42B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(0.117)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2DD8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(0.039)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AAB6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(0.061)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CBE51" w14:textId="55648240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(0.142)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1994E" w14:textId="06FAEAD9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(0.118)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95D42" w14:textId="000720F9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(0.042)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5F462" w14:textId="0DF51CCF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(0.067)</w:t>
            </w:r>
          </w:p>
        </w:tc>
      </w:tr>
      <w:tr w:rsidR="00190F3B" w:rsidRPr="003D44FE" w14:paraId="716056B0" w14:textId="17BD5109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2FD6" w14:textId="77777777" w:rsidR="00E74FAC" w:rsidRPr="003D44FE" w:rsidRDefault="00E74FAC" w:rsidP="00E74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Major teaching hospitals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FEE1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-0.005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EB48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-0.029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186E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0.027*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DD66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0.003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CB2B9" w14:textId="4491C860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0.111**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0BB3A" w14:textId="2EE4E8B6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0.084*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BD39C" w14:textId="573889FA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0.029*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A7C71" w14:textId="63712A9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0.002</w:t>
            </w:r>
          </w:p>
        </w:tc>
      </w:tr>
      <w:tr w:rsidR="00190F3B" w:rsidRPr="003D44FE" w14:paraId="6FD420E9" w14:textId="5CE4E167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9D78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BE11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(0.042)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51DE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(0.040)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7442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(0.011)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F42D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(0.023)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F042F" w14:textId="354FB8CE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(0.043)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E6488" w14:textId="74E4F8BC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(0.040)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6C05A" w14:textId="6D76771C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(0.012)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80AE7" w14:textId="2A521F7D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(0.025)</w:t>
            </w:r>
          </w:p>
        </w:tc>
      </w:tr>
      <w:tr w:rsidR="00190F3B" w:rsidRPr="003D44FE" w14:paraId="19273F52" w14:textId="70B71BA1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7E2F" w14:textId="77777777" w:rsidR="00E74FAC" w:rsidRPr="003D44FE" w:rsidRDefault="00E74FAC" w:rsidP="00E74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Number of hospital unit set up and staffed beds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AE82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-0.002***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9E78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-0.002***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5B5A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-0.000*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6BFA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-0.000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7B14B" w14:textId="20617410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-0.002***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394DB" w14:textId="1D8B16D8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-0.002***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8841A" w14:textId="77CA7A19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-0.000*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BD5EA" w14:textId="7C5971D9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-0.000</w:t>
            </w:r>
          </w:p>
        </w:tc>
      </w:tr>
      <w:tr w:rsidR="00190F3B" w:rsidRPr="003D44FE" w14:paraId="621DE01B" w14:textId="4A3A5789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FD0A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30B6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(0.000)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AC47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(0.000)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0ACA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(0.000)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CFE8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(0.000)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DC8CC" w14:textId="37D0C003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(0.000)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16EC3" w14:textId="180B029C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(0.000)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4F4A6" w14:textId="553B0BD3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(0.000)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D0154" w14:textId="4BF969CA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(0.000)</w:t>
            </w:r>
          </w:p>
        </w:tc>
      </w:tr>
      <w:tr w:rsidR="00190F3B" w:rsidRPr="003D44FE" w14:paraId="7BF9A309" w14:textId="2E68D633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4A12" w14:textId="77777777" w:rsidR="00E74FAC" w:rsidRPr="003D44FE" w:rsidRDefault="00E74FAC" w:rsidP="00E74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Occupancy rates - ratio of daily census to staffed beds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5B59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-0.778***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31C2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-0.686***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C3CF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-0.086***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9812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-0.210***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2601B" w14:textId="0164485D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-0.754***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656B6" w14:textId="42BD8549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-0.661***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37FE6" w14:textId="091DDA10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-0.087***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E1E79" w14:textId="03C93D49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-0.213***</w:t>
            </w:r>
          </w:p>
        </w:tc>
      </w:tr>
      <w:tr w:rsidR="00190F3B" w:rsidRPr="003D44FE" w14:paraId="68BB3D43" w14:textId="7813C76B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7F77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C0FC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(0.099)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6BB2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(0.088)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77F0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(0.013)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F7B9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(0.029)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C5BCE" w14:textId="0338E1FC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(0.100)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68796" w14:textId="5F23183B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(0.089)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1BB05" w14:textId="30DA2DB1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(0.013)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64E4E" w14:textId="52A20630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(0.031)</w:t>
            </w:r>
          </w:p>
        </w:tc>
      </w:tr>
      <w:tr w:rsidR="00190F3B" w:rsidRPr="003D44FE" w14:paraId="02E79507" w14:textId="1D86D8AF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10FF" w14:textId="77777777" w:rsidR="00E74FAC" w:rsidRPr="003D44FE" w:rsidRDefault="00E74FAC" w:rsidP="00E74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Percent inpatient days covered by Medicare patients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08C9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0.501***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F47E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0.237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47B7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0.207***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E4F7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0.487***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760BB" w14:textId="66C57205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0.396**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2E946" w14:textId="7BEE084E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0.111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F734F" w14:textId="20A6850E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0.228***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37CF3" w14:textId="721B5391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0.472***</w:t>
            </w:r>
          </w:p>
        </w:tc>
      </w:tr>
      <w:tr w:rsidR="00190F3B" w:rsidRPr="003D44FE" w14:paraId="1A72412C" w14:textId="274D6C24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D0FD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2A2A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(0.141)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7D31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(0.127)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9998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(0.038)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190F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(0.069)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2B3F2" w14:textId="4A9FBA79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(0.138)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CB734" w14:textId="5A71E55F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(0.122)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6417A" w14:textId="70D7F52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(0.040)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A7033" w14:textId="10EFA936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(0.071)</w:t>
            </w:r>
          </w:p>
        </w:tc>
      </w:tr>
      <w:tr w:rsidR="00190F3B" w:rsidRPr="003D44FE" w14:paraId="3377B444" w14:textId="3CEF4D89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FDF7" w14:textId="77777777" w:rsidR="00E74FAC" w:rsidRPr="003D44FE" w:rsidRDefault="00E74FAC" w:rsidP="00E74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lastRenderedPageBreak/>
              <w:t>Percent inpatient days covered by Medicaid patients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C36C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0.570***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E624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0.435**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E01A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0.089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0403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0.152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B49F9" w14:textId="5B54B305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0.468**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720C2" w14:textId="3DADC7A1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0.332*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2B4AB" w14:textId="238E00E4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0.091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E6805" w14:textId="362007FE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0.075</w:t>
            </w:r>
          </w:p>
        </w:tc>
      </w:tr>
      <w:tr w:rsidR="00190F3B" w:rsidRPr="003D44FE" w14:paraId="107FCF47" w14:textId="63696D31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71FE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D637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(0.172)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FDFB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(0.155)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65B7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(0.046)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0E06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(0.110)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20553" w14:textId="678B977E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(0.175)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BFEBC" w14:textId="309E69E8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(0.155)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DB29C" w14:textId="0002B89E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(0.048)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EE7C9" w14:textId="2663E04C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(0.120)</w:t>
            </w:r>
          </w:p>
        </w:tc>
      </w:tr>
      <w:tr w:rsidR="00190F3B" w:rsidRPr="003D44FE" w14:paraId="0D807C60" w14:textId="2B5EF4F2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F9B21" w14:textId="77777777" w:rsidR="00E74FAC" w:rsidRPr="003D44FE" w:rsidRDefault="00E74FAC" w:rsidP="00E74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State employment to population ratio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0DA4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0.036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1F74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-0.000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5491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0.044*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3E0E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0.056***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92861" w14:textId="08AAD1B2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0.028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6BDFA" w14:textId="2B47618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0.041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DE9ED" w14:textId="6710539B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0.038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7A31B" w14:textId="3B574EC9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0.062***</w:t>
            </w:r>
          </w:p>
        </w:tc>
      </w:tr>
      <w:tr w:rsidR="00190F3B" w:rsidRPr="003D44FE" w14:paraId="0907C248" w14:textId="75692FAD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27D3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7EEC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(0.030)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298E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(0.032)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164F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(0.023)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B9DB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(0.016)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3B287" w14:textId="14F64B0D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(0.031)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074B4" w14:textId="5C4361C4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(0.032)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A13D1" w14:textId="1B8347D6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(0.023)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6FD33" w14:textId="1E8A60B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(0.016)</w:t>
            </w:r>
          </w:p>
        </w:tc>
      </w:tr>
      <w:tr w:rsidR="00190F3B" w:rsidRPr="003D44FE" w14:paraId="66DFE7E5" w14:textId="273C8963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EEB8" w14:textId="77777777" w:rsidR="00E74FAC" w:rsidRPr="003D44FE" w:rsidRDefault="00E74FAC" w:rsidP="00E74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Right-to-work laws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C2E9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-0.115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5C15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-0.119*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59CA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0.004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4AC9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0.043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545EF" w14:textId="343FA502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-0.036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A9A35" w14:textId="7F965002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-0.059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0AB5C" w14:textId="3F72FBFF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F581B" w14:textId="0B79934C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0.061</w:t>
            </w:r>
          </w:p>
        </w:tc>
      </w:tr>
      <w:tr w:rsidR="00190F3B" w:rsidRPr="003D44FE" w14:paraId="45E8C29B" w14:textId="4293E60A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2518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C895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(0.065)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E52E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(0.060)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E284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(0.020)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9C65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(0.036)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A08FA" w14:textId="76D14830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(0.065)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FC5A0" w14:textId="73C7EB14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(0.060)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B51C2" w14:textId="26728594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(0.020)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CEC7E" w14:textId="20312D6C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(0.036)</w:t>
            </w:r>
          </w:p>
        </w:tc>
      </w:tr>
      <w:tr w:rsidR="00190F3B" w:rsidRPr="003D44FE" w14:paraId="47573347" w14:textId="223975F7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8E13" w14:textId="77777777" w:rsidR="00E74FAC" w:rsidRPr="003D44FE" w:rsidRDefault="00E74FAC" w:rsidP="00E74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Herfindahl-Hirschman Index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399B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0.254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CCD2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0.376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6223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-0.112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CE59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-0.042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A39A6" w14:textId="6ACD2FD3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0.187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D807A" w14:textId="7DCFBC7A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0.316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7A13A" w14:textId="03FACBAB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-0.124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F568E" w14:textId="66FED42C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-0.045</w:t>
            </w:r>
          </w:p>
        </w:tc>
      </w:tr>
      <w:tr w:rsidR="00190F3B" w:rsidRPr="003D44FE" w14:paraId="54648282" w14:textId="7758468C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09E0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C378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(0.240)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BE6B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(0.218)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D0F4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(0.062)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28C8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(0.110)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F2217" w14:textId="035B31A5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(0.249)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7CA90" w14:textId="08C4226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(0.225)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84DDE" w14:textId="2F5E056C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(0.067)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75535" w14:textId="1A4C72E1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(0.114)</w:t>
            </w:r>
          </w:p>
        </w:tc>
      </w:tr>
      <w:tr w:rsidR="00190F3B" w:rsidRPr="003D44FE" w14:paraId="30D12409" w14:textId="18AC9EE9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86D3" w14:textId="77777777" w:rsidR="00E74FAC" w:rsidRPr="003D44FE" w:rsidRDefault="00E74FAC" w:rsidP="00E74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D44FE">
              <w:rPr>
                <w:rFonts w:ascii="Times New Roman" w:eastAsia="Times New Roman" w:hAnsi="Times New Roman" w:cs="Times New Roman"/>
              </w:rPr>
              <w:t>Saidin</w:t>
            </w:r>
            <w:proofErr w:type="spellEnd"/>
            <w:r w:rsidRPr="003D44FE">
              <w:rPr>
                <w:rFonts w:ascii="Times New Roman" w:eastAsia="Times New Roman" w:hAnsi="Times New Roman" w:cs="Times New Roman"/>
              </w:rPr>
              <w:t xml:space="preserve"> index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1F13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0.063***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EE40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0.060***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D8A1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-0.000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67FC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0.002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DC323" w14:textId="01DFD298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0.040***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6AE00" w14:textId="029ED52F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0.039***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CD4A3" w14:textId="226515E4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8FD27" w14:textId="1B057D94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0.004</w:t>
            </w:r>
          </w:p>
        </w:tc>
      </w:tr>
      <w:tr w:rsidR="00190F3B" w:rsidRPr="003D44FE" w14:paraId="6F6542E8" w14:textId="3DF496F6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3FEA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DB43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(0.010)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585A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(0.009)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6BAF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(0.002)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DD22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(0.006)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BB244" w14:textId="2E1BA30A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(0.010)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CF919" w14:textId="454DE964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(0.009)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C2DBA" w14:textId="5E35DA7F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(0.003)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03461" w14:textId="12AEE0C1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(0.006)</w:t>
            </w:r>
          </w:p>
        </w:tc>
      </w:tr>
      <w:tr w:rsidR="00190F3B" w:rsidRPr="003D44FE" w14:paraId="253CDE63" w14:textId="7EF66558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AB28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CE2A" w14:textId="77777777" w:rsidR="00E74FAC" w:rsidRPr="003D44FE" w:rsidRDefault="00E74FAC" w:rsidP="00E7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D051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6998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F8F0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CD222" w14:textId="59F0F5B2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FE68B" w14:textId="0C0EA69A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4B252" w14:textId="291A1BDE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AE7C4" w14:textId="005BAD46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840" w:rsidRPr="003D44FE" w14:paraId="2B3BE3FF" w14:textId="4ABA1B5A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5595" w14:textId="77777777" w:rsidR="00E74FAC" w:rsidRPr="003D44FE" w:rsidRDefault="00E74FAC" w:rsidP="00E74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Observations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F1E5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48,980</w:t>
            </w:r>
          </w:p>
        </w:tc>
        <w:tc>
          <w:tcPr>
            <w:tcW w:w="1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C3F2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48,980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E804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48,980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B7C6" w14:textId="77777777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48,980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vAlign w:val="bottom"/>
          </w:tcPr>
          <w:p w14:paraId="293B8BA9" w14:textId="5812F825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45,208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vAlign w:val="bottom"/>
          </w:tcPr>
          <w:p w14:paraId="05261A53" w14:textId="6AC6999A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45,208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vAlign w:val="bottom"/>
          </w:tcPr>
          <w:p w14:paraId="429EFE5B" w14:textId="5FFFA254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45,208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bottom"/>
          </w:tcPr>
          <w:p w14:paraId="60B81AAB" w14:textId="6D03543E" w:rsidR="00E74FAC" w:rsidRPr="003D44FE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45,208</w:t>
            </w:r>
          </w:p>
        </w:tc>
      </w:tr>
      <w:tr w:rsidR="00927840" w:rsidRPr="00E478B6" w14:paraId="13EB4922" w14:textId="11E3FD32" w:rsidTr="004640CC">
        <w:trPr>
          <w:trHeight w:val="266"/>
          <w:jc w:val="center"/>
        </w:trPr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7B713" w14:textId="77777777" w:rsidR="00E74FAC" w:rsidRPr="00E478B6" w:rsidRDefault="00E74FAC" w:rsidP="00E74F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78B6">
              <w:rPr>
                <w:rFonts w:ascii="Times New Roman" w:eastAsia="Times New Roman" w:hAnsi="Times New Roman" w:cs="Times New Roman"/>
              </w:rPr>
              <w:t>R-squared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720A0" w14:textId="77777777" w:rsidR="00E74FAC" w:rsidRPr="00E478B6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8B6">
              <w:rPr>
                <w:rFonts w:ascii="Times New Roman" w:eastAsia="Times New Roman" w:hAnsi="Times New Roman" w:cs="Times New Roman"/>
              </w:rPr>
              <w:t>0.107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B9A54" w14:textId="77777777" w:rsidR="00E74FAC" w:rsidRPr="00E478B6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8B6">
              <w:rPr>
                <w:rFonts w:ascii="Times New Roman" w:eastAsia="Times New Roman" w:hAnsi="Times New Roman" w:cs="Times New Roman"/>
              </w:rPr>
              <w:t>0.145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C5A44" w14:textId="77777777" w:rsidR="00E74FAC" w:rsidRPr="00E478B6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8B6">
              <w:rPr>
                <w:rFonts w:ascii="Times New Roman" w:eastAsia="Times New Roman" w:hAnsi="Times New Roman" w:cs="Times New Roman"/>
              </w:rPr>
              <w:t>0.140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F9CB3" w14:textId="77777777" w:rsidR="00E74FAC" w:rsidRPr="00E478B6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78B6">
              <w:rPr>
                <w:rFonts w:ascii="Times New Roman" w:eastAsia="Times New Roman" w:hAnsi="Times New Roman" w:cs="Times New Roman"/>
              </w:rPr>
              <w:t>0.053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FE6B99" w14:textId="33C3C5A9" w:rsidR="00E74FAC" w:rsidRPr="00E478B6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0.096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C3939F" w14:textId="7882B70A" w:rsidR="00E74FAC" w:rsidRPr="00E478B6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0.131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A0BD2" w14:textId="49B4E1E2" w:rsidR="00E74FAC" w:rsidRPr="00E478B6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0.143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5304B" w14:textId="3B4A80A1" w:rsidR="00E74FAC" w:rsidRPr="00E478B6" w:rsidRDefault="00E74FAC" w:rsidP="00E74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D66">
              <w:rPr>
                <w:rFonts w:ascii="Times New Roman" w:hAnsi="Times New Roman" w:cs="Times New Roman"/>
              </w:rPr>
              <w:t>0.046</w:t>
            </w:r>
          </w:p>
        </w:tc>
      </w:tr>
      <w:tr w:rsidR="00DA1260" w:rsidRPr="003D44FE" w14:paraId="56DE1628" w14:textId="14CA91E1" w:rsidTr="009D5C45">
        <w:trPr>
          <w:trHeight w:val="266"/>
          <w:jc w:val="center"/>
        </w:trPr>
        <w:tc>
          <w:tcPr>
            <w:tcW w:w="143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4EA9" w14:textId="77777777" w:rsidR="00DA1260" w:rsidRDefault="00DA1260" w:rsidP="00C01E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D44FE">
              <w:rPr>
                <w:rFonts w:ascii="Times New Roman" w:eastAsia="Times New Roman" w:hAnsi="Times New Roman" w:cs="Times New Roman"/>
              </w:rPr>
              <w:t>Note:</w:t>
            </w:r>
            <w:r>
              <w:rPr>
                <w:rFonts w:ascii="Times New Roman" w:eastAsia="Times New Roman" w:hAnsi="Times New Roman" w:cs="Times New Roman"/>
              </w:rPr>
              <w:t xml:space="preserve"> Coefficients for dummies indicating treatment groups are omitted due to collinearity. The difference-in-difference estimates, that is, treatment group * post, are presented.</w:t>
            </w:r>
            <w:r w:rsidRPr="003D44F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Total licensed nurse is the sum of registered nurse and licensed practical/vocational nurse, excluding nurse assistive personnel. </w:t>
            </w:r>
            <w:r w:rsidRPr="003D44FE">
              <w:rPr>
                <w:rFonts w:ascii="Times New Roman" w:eastAsia="Times New Roman" w:hAnsi="Times New Roman" w:cs="Times New Roman"/>
              </w:rPr>
              <w:t>All models included hospital and year fixed effects</w:t>
            </w:r>
            <w:r>
              <w:rPr>
                <w:rFonts w:ascii="Times New Roman" w:eastAsia="Times New Roman" w:hAnsi="Times New Roman" w:cs="Times New Roman"/>
              </w:rPr>
              <w:t>, and constants</w:t>
            </w:r>
            <w:r w:rsidRPr="003D44FE">
              <w:rPr>
                <w:rFonts w:ascii="Times New Roman" w:eastAsia="Times New Roman" w:hAnsi="Times New Roman" w:cs="Times New Roman"/>
              </w:rPr>
              <w:t xml:space="preserve">. Standard errors were clustered by hospital. </w:t>
            </w:r>
            <w:r w:rsidRPr="003D44FE">
              <w:rPr>
                <w:rFonts w:ascii="Times New Roman" w:eastAsia="Times New Roman" w:hAnsi="Times New Roman" w:cs="Times New Roman"/>
                <w:i/>
                <w:iCs/>
              </w:rPr>
              <w:t>*** p&lt;0.001, ** p&lt;0.01, * p&lt;0.05</w:t>
            </w:r>
          </w:p>
          <w:p w14:paraId="3A4B161E" w14:textId="77777777" w:rsidR="00DA1260" w:rsidRPr="003D44FE" w:rsidRDefault="00DA1260" w:rsidP="00C01E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FC64163" w14:textId="77777777" w:rsidR="0063080C" w:rsidRDefault="0063080C">
      <w:pPr>
        <w:rPr>
          <w:rFonts w:ascii="Times New Roman" w:hAnsi="Times New Roman" w:cs="Times New Roman"/>
          <w:b/>
          <w:sz w:val="24"/>
          <w:szCs w:val="24"/>
        </w:rPr>
      </w:pPr>
    </w:p>
    <w:p w14:paraId="6E284009" w14:textId="77777777" w:rsidR="0063080C" w:rsidRDefault="006308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457CA0B" w14:textId="77777777" w:rsidR="0063080C" w:rsidRDefault="0063080C">
      <w:pPr>
        <w:rPr>
          <w:rFonts w:ascii="Times New Roman" w:hAnsi="Times New Roman" w:cs="Times New Roman"/>
          <w:b/>
          <w:sz w:val="24"/>
          <w:szCs w:val="24"/>
        </w:rPr>
        <w:sectPr w:rsidR="0063080C" w:rsidSect="0063080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762433E" w14:textId="1C85786A" w:rsidR="00122468" w:rsidRDefault="000C6E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Appendix Table </w:t>
      </w:r>
      <w:r w:rsidR="00A12C6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8F2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41D">
        <w:rPr>
          <w:rFonts w:ascii="Times New Roman" w:hAnsi="Times New Roman" w:cs="Times New Roman"/>
          <w:b/>
          <w:sz w:val="24"/>
          <w:szCs w:val="24"/>
        </w:rPr>
        <w:t xml:space="preserve">Full </w:t>
      </w:r>
      <w:r w:rsidR="00BD6FDD" w:rsidRPr="008F2DEF">
        <w:rPr>
          <w:rFonts w:ascii="Times New Roman" w:hAnsi="Times New Roman" w:cs="Times New Roman"/>
          <w:b/>
          <w:sz w:val="24"/>
          <w:szCs w:val="24"/>
        </w:rPr>
        <w:t xml:space="preserve">Regression Results </w:t>
      </w:r>
      <w:r w:rsidR="00BD6FDD">
        <w:rPr>
          <w:rFonts w:ascii="Times New Roman" w:hAnsi="Times New Roman" w:cs="Times New Roman"/>
          <w:b/>
          <w:sz w:val="24"/>
          <w:szCs w:val="24"/>
        </w:rPr>
        <w:t xml:space="preserve">from the Sensitivity Analysis </w:t>
      </w:r>
      <w:r w:rsidR="00DE5089">
        <w:rPr>
          <w:rFonts w:ascii="Times New Roman" w:hAnsi="Times New Roman" w:cs="Times New Roman"/>
          <w:b/>
          <w:sz w:val="24"/>
          <w:szCs w:val="24"/>
        </w:rPr>
        <w:t>for</w:t>
      </w:r>
      <w:r w:rsidR="00E47A85">
        <w:rPr>
          <w:rFonts w:ascii="Times New Roman" w:hAnsi="Times New Roman" w:cs="Times New Roman"/>
          <w:b/>
          <w:sz w:val="24"/>
          <w:szCs w:val="24"/>
        </w:rPr>
        <w:t xml:space="preserve"> Oregon</w:t>
      </w:r>
      <w:r w:rsidR="00DE5089">
        <w:rPr>
          <w:rFonts w:ascii="Times New Roman" w:hAnsi="Times New Roman" w:cs="Times New Roman"/>
          <w:b/>
          <w:sz w:val="24"/>
          <w:szCs w:val="24"/>
        </w:rPr>
        <w:t xml:space="preserve">’s </w:t>
      </w:r>
      <w:r w:rsidR="00386C95">
        <w:rPr>
          <w:rFonts w:ascii="Times New Roman" w:hAnsi="Times New Roman" w:cs="Times New Roman"/>
          <w:b/>
          <w:sz w:val="24"/>
          <w:szCs w:val="24"/>
        </w:rPr>
        <w:t xml:space="preserve">Enhancement </w:t>
      </w:r>
      <w:r w:rsidR="00DE5089">
        <w:rPr>
          <w:rFonts w:ascii="Times New Roman" w:hAnsi="Times New Roman" w:cs="Times New Roman"/>
          <w:b/>
          <w:sz w:val="24"/>
          <w:szCs w:val="24"/>
        </w:rPr>
        <w:t>Law</w:t>
      </w:r>
    </w:p>
    <w:tbl>
      <w:tblPr>
        <w:tblW w:w="9886" w:type="dxa"/>
        <w:jc w:val="center"/>
        <w:tblLook w:val="04A0" w:firstRow="1" w:lastRow="0" w:firstColumn="1" w:lastColumn="0" w:noHBand="0" w:noVBand="1"/>
      </w:tblPr>
      <w:tblGrid>
        <w:gridCol w:w="4981"/>
        <w:gridCol w:w="1210"/>
        <w:gridCol w:w="1270"/>
        <w:gridCol w:w="1210"/>
        <w:gridCol w:w="1215"/>
      </w:tblGrid>
      <w:tr w:rsidR="00122468" w:rsidRPr="00122468" w14:paraId="5F3876C9" w14:textId="77777777" w:rsidTr="00F653D7">
        <w:trPr>
          <w:trHeight w:val="241"/>
          <w:jc w:val="center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173F" w14:textId="77777777" w:rsidR="00122468" w:rsidRPr="00122468" w:rsidRDefault="00122468" w:rsidP="0012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246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0BEE7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Hours Per Patient Day</w:t>
            </w:r>
          </w:p>
        </w:tc>
      </w:tr>
      <w:tr w:rsidR="00122468" w:rsidRPr="00122468" w14:paraId="15C521E7" w14:textId="77777777" w:rsidTr="00F653D7">
        <w:trPr>
          <w:trHeight w:val="678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F92E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310C5C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2468">
              <w:rPr>
                <w:rFonts w:ascii="Times New Roman" w:eastAsia="Times New Roman" w:hAnsi="Times New Roman" w:cs="Times New Roman"/>
                <w:b/>
                <w:bCs/>
              </w:rPr>
              <w:t>Total licensed nurses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B41D88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2468">
              <w:rPr>
                <w:rFonts w:ascii="Times New Roman" w:eastAsia="Times New Roman" w:hAnsi="Times New Roman" w:cs="Times New Roman"/>
                <w:b/>
                <w:bCs/>
              </w:rPr>
              <w:t>Registered nurse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DDCAC3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2468">
              <w:rPr>
                <w:rFonts w:ascii="Times New Roman" w:eastAsia="Times New Roman" w:hAnsi="Times New Roman" w:cs="Times New Roman"/>
                <w:b/>
                <w:bCs/>
              </w:rPr>
              <w:t xml:space="preserve">Licensed practical nurse 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B88B4E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2468">
              <w:rPr>
                <w:rFonts w:ascii="Times New Roman" w:eastAsia="Times New Roman" w:hAnsi="Times New Roman" w:cs="Times New Roman"/>
                <w:b/>
                <w:bCs/>
              </w:rPr>
              <w:t>Nurse assistive personnel</w:t>
            </w:r>
          </w:p>
        </w:tc>
      </w:tr>
      <w:tr w:rsidR="00122468" w:rsidRPr="00122468" w14:paraId="750C7384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6A6B" w14:textId="77777777" w:rsidR="00122468" w:rsidRPr="00122468" w:rsidRDefault="00122468" w:rsidP="00122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468">
              <w:rPr>
                <w:rFonts w:ascii="Times New Roman" w:eastAsia="Times New Roman" w:hAnsi="Times New Roman" w:cs="Times New Roman"/>
              </w:rPr>
              <w:t>VARIABLES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59FF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2468">
              <w:rPr>
                <w:rFonts w:ascii="Times New Roman" w:eastAsia="Times New Roman" w:hAnsi="Times New Roman" w:cs="Times New Roman"/>
                <w:b/>
                <w:bCs/>
              </w:rPr>
              <w:t>b(se)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5E49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2468">
              <w:rPr>
                <w:rFonts w:ascii="Times New Roman" w:eastAsia="Times New Roman" w:hAnsi="Times New Roman" w:cs="Times New Roman"/>
                <w:b/>
                <w:bCs/>
              </w:rPr>
              <w:t>b(se)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D769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2468">
              <w:rPr>
                <w:rFonts w:ascii="Times New Roman" w:eastAsia="Times New Roman" w:hAnsi="Times New Roman" w:cs="Times New Roman"/>
                <w:b/>
                <w:bCs/>
              </w:rPr>
              <w:t>b(se)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9629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2468">
              <w:rPr>
                <w:rFonts w:ascii="Times New Roman" w:eastAsia="Times New Roman" w:hAnsi="Times New Roman" w:cs="Times New Roman"/>
                <w:b/>
                <w:bCs/>
              </w:rPr>
              <w:t>b(se)</w:t>
            </w:r>
          </w:p>
        </w:tc>
      </w:tr>
      <w:tr w:rsidR="00122468" w:rsidRPr="00122468" w14:paraId="4404CB2E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79DF" w14:textId="77777777" w:rsidR="00122468" w:rsidRPr="00122468" w:rsidRDefault="00122468" w:rsidP="00122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46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6802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E246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9790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13A8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640CC" w:rsidRPr="00122468" w14:paraId="5AB18FB4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5CBE8" w14:textId="12F8B900" w:rsidR="004640CC" w:rsidRPr="00122468" w:rsidRDefault="004640CC" w:rsidP="0012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4F1">
              <w:rPr>
                <w:rFonts w:ascii="Times New Roman" w:eastAsia="Times New Roman" w:hAnsi="Times New Roman" w:cs="Times New Roman"/>
                <w:b/>
                <w:bCs/>
              </w:rPr>
              <w:t>Difference-in-</w:t>
            </w:r>
            <w:r w:rsidR="00E17B14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5F24F1">
              <w:rPr>
                <w:rFonts w:ascii="Times New Roman" w:eastAsia="Times New Roman" w:hAnsi="Times New Roman" w:cs="Times New Roman"/>
                <w:b/>
                <w:bCs/>
              </w:rPr>
              <w:t>ifference Estimates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C4346" w14:textId="77777777" w:rsidR="004640CC" w:rsidRPr="00122468" w:rsidRDefault="004640CC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D8C8D" w14:textId="77777777" w:rsidR="004640CC" w:rsidRPr="00122468" w:rsidRDefault="004640CC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D8F0" w14:textId="77777777" w:rsidR="004640CC" w:rsidRPr="00122468" w:rsidRDefault="004640CC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02F40" w14:textId="77777777" w:rsidR="004640CC" w:rsidRPr="00122468" w:rsidRDefault="004640CC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2468" w:rsidRPr="00122468" w14:paraId="7FE6EB81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7191" w14:textId="364F2C50" w:rsidR="00122468" w:rsidRPr="00122468" w:rsidRDefault="00122468" w:rsidP="0012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Staffing mandate (CA)</w:t>
            </w:r>
            <w:r w:rsidR="005F6974">
              <w:rPr>
                <w:rFonts w:ascii="Times New Roman" w:eastAsia="Times New Roman" w:hAnsi="Times New Roman" w:cs="Times New Roman"/>
                <w:color w:val="000000"/>
              </w:rPr>
              <w:t xml:space="preserve"> * post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7096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1.017***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0B14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0.987***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B6E9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0.026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EEC5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0.214**</w:t>
            </w:r>
          </w:p>
        </w:tc>
      </w:tr>
      <w:tr w:rsidR="00122468" w:rsidRPr="00122468" w14:paraId="530C708C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C24D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E95B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(0.123)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F252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(0.114)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F85A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(0.030)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5B5B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(0.070)</w:t>
            </w:r>
          </w:p>
        </w:tc>
      </w:tr>
      <w:tr w:rsidR="00122468" w:rsidRPr="00122468" w14:paraId="61E60338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976F" w14:textId="18BD1982" w:rsidR="00122468" w:rsidRPr="00122468" w:rsidRDefault="00122468" w:rsidP="0012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Staffing committee (CT, NV, OH, TX, WA)</w:t>
            </w:r>
            <w:r w:rsidR="005F6974">
              <w:rPr>
                <w:rFonts w:ascii="Times New Roman" w:eastAsia="Times New Roman" w:hAnsi="Times New Roman" w:cs="Times New Roman"/>
                <w:color w:val="000000"/>
              </w:rPr>
              <w:t xml:space="preserve"> * post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385D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-0.064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4D16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-0.000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FDDE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-0.077***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DBF4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-0.073*</w:t>
            </w:r>
          </w:p>
        </w:tc>
      </w:tr>
      <w:tr w:rsidR="00122468" w:rsidRPr="00122468" w14:paraId="376FC935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648B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033D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(0.064)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ED5C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(0.059)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D715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(0.022)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39C9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(0.037)</w:t>
            </w:r>
          </w:p>
        </w:tc>
      </w:tr>
      <w:tr w:rsidR="00122468" w:rsidRPr="00122468" w14:paraId="72DFBB1B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D364" w14:textId="1177EF97" w:rsidR="00122468" w:rsidRPr="00122468" w:rsidRDefault="00122468" w:rsidP="00122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Public reporting (NJ, NY, RI, VT)</w:t>
            </w:r>
            <w:r w:rsidR="005F6974">
              <w:rPr>
                <w:rFonts w:ascii="Times New Roman" w:eastAsia="Times New Roman" w:hAnsi="Times New Roman" w:cs="Times New Roman"/>
                <w:color w:val="000000"/>
              </w:rPr>
              <w:t xml:space="preserve"> * post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74B4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0.271**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DAE7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0.146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D4FE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0.115***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DE86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0.092</w:t>
            </w:r>
          </w:p>
        </w:tc>
      </w:tr>
      <w:tr w:rsidR="00122468" w:rsidRPr="00122468" w14:paraId="639985F6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E18A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1FCE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(0.102)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1646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(0.094)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5F9B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(0.025)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B7E4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(0.061)</w:t>
            </w:r>
          </w:p>
        </w:tc>
      </w:tr>
      <w:tr w:rsidR="00122468" w:rsidRPr="00122468" w14:paraId="18317CEC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09EF" w14:textId="65E50711" w:rsidR="00122468" w:rsidRPr="00122468" w:rsidRDefault="00122468" w:rsidP="00122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468">
              <w:rPr>
                <w:rFonts w:ascii="Times New Roman" w:eastAsia="Times New Roman" w:hAnsi="Times New Roman" w:cs="Times New Roman"/>
              </w:rPr>
              <w:t>Oregon</w:t>
            </w:r>
            <w:r w:rsidR="005F6974">
              <w:rPr>
                <w:rFonts w:ascii="Times New Roman" w:eastAsia="Times New Roman" w:hAnsi="Times New Roman" w:cs="Times New Roman"/>
              </w:rPr>
              <w:t xml:space="preserve"> * post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C7F4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-0.209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A2FA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-0.245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014D" w14:textId="77777777" w:rsidR="00122468" w:rsidRPr="004640CC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0CC">
              <w:rPr>
                <w:rFonts w:ascii="Times New Roman" w:eastAsia="Times New Roman" w:hAnsi="Times New Roman" w:cs="Times New Roman"/>
              </w:rPr>
              <w:t>0.078*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AE74" w14:textId="77777777" w:rsidR="00122468" w:rsidRPr="004640CC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0CC">
              <w:rPr>
                <w:rFonts w:ascii="Times New Roman" w:eastAsia="Times New Roman" w:hAnsi="Times New Roman" w:cs="Times New Roman"/>
              </w:rPr>
              <w:t>0.292*</w:t>
            </w:r>
          </w:p>
        </w:tc>
      </w:tr>
      <w:tr w:rsidR="00122468" w:rsidRPr="00122468" w14:paraId="227FB04F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28F9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BDFD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(0.194)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4B1C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(0.184)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2D7D" w14:textId="77777777" w:rsidR="00122468" w:rsidRPr="004640CC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0CC">
              <w:rPr>
                <w:rFonts w:ascii="Times New Roman" w:eastAsia="Times New Roman" w:hAnsi="Times New Roman" w:cs="Times New Roman"/>
              </w:rPr>
              <w:t>(0.032)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F6B8" w14:textId="77777777" w:rsidR="00122468" w:rsidRPr="004640CC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40CC">
              <w:rPr>
                <w:rFonts w:ascii="Times New Roman" w:eastAsia="Times New Roman" w:hAnsi="Times New Roman" w:cs="Times New Roman"/>
              </w:rPr>
              <w:t>(0.123)</w:t>
            </w:r>
          </w:p>
        </w:tc>
      </w:tr>
      <w:tr w:rsidR="004640CC" w:rsidRPr="00122468" w14:paraId="7CF22E9B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ACA2C" w14:textId="71F2E02C" w:rsidR="004640CC" w:rsidRPr="00122468" w:rsidRDefault="004640CC" w:rsidP="00464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F24F1">
              <w:rPr>
                <w:rFonts w:ascii="Times New Roman" w:eastAsia="Times New Roman" w:hAnsi="Times New Roman" w:cs="Times New Roman"/>
                <w:b/>
                <w:bCs/>
              </w:rPr>
              <w:t>Control Variables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ADDDD" w14:textId="77777777" w:rsidR="004640CC" w:rsidRPr="00122468" w:rsidRDefault="004640CC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E4611" w14:textId="77777777" w:rsidR="004640CC" w:rsidRPr="00122468" w:rsidRDefault="004640CC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2F1C3" w14:textId="77777777" w:rsidR="004640CC" w:rsidRPr="004640CC" w:rsidRDefault="004640CC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19BC9" w14:textId="77777777" w:rsidR="004640CC" w:rsidRPr="004640CC" w:rsidRDefault="004640CC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2B46" w:rsidRPr="00122468" w14:paraId="635ECCF7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9AC6" w14:textId="77777777" w:rsidR="00DF2B46" w:rsidRPr="00122468" w:rsidRDefault="00DF2B46" w:rsidP="00DF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Located in non-metropolitan areas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49C3" w14:textId="6C93FC21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0.107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A1A6" w14:textId="1F23D696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0.159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0EAF" w14:textId="46EFBF68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0.169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1DF3" w14:textId="5E5E6483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0.120</w:t>
            </w:r>
          </w:p>
        </w:tc>
      </w:tr>
      <w:tr w:rsidR="00DF2B46" w:rsidRPr="00122468" w14:paraId="6929EFDD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09D4" w14:textId="77777777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EBA6" w14:textId="2EFC5F87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(0.127)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0CC8" w14:textId="73836CA7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(0.118)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2773" w14:textId="6A91ADF6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(0.118)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5BF6" w14:textId="2E6179A3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(0.118)</w:t>
            </w:r>
          </w:p>
        </w:tc>
      </w:tr>
      <w:tr w:rsidR="00DF2B46" w:rsidRPr="00122468" w14:paraId="30F30C35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3E919" w14:textId="77777777" w:rsidR="00DF2B46" w:rsidRPr="00122468" w:rsidRDefault="00DF2B46" w:rsidP="00DF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Government owned hospitals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2891" w14:textId="24911E55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-0.332*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1D43" w14:textId="79FF79D3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-0.402**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8456" w14:textId="452F9C69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-0.391**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876C" w14:textId="1073C462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-0.356**</w:t>
            </w:r>
          </w:p>
        </w:tc>
      </w:tr>
      <w:tr w:rsidR="00DF2B46" w:rsidRPr="00122468" w14:paraId="0A3B9DF6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1C26" w14:textId="77777777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E845" w14:textId="2624EB38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(0.145)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92AE" w14:textId="2164124B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(0.131)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0176" w14:textId="09B281B9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(0.132)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0D6A" w14:textId="20BAF3CC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(0.131)</w:t>
            </w:r>
          </w:p>
        </w:tc>
      </w:tr>
      <w:tr w:rsidR="00DF2B46" w:rsidRPr="00122468" w14:paraId="3C8BE48F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A2FC" w14:textId="77777777" w:rsidR="00DF2B46" w:rsidRPr="00122468" w:rsidRDefault="00DF2B46" w:rsidP="00DF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Nonprofit hospitals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755E" w14:textId="6D5450A0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-0.471***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4621" w14:textId="37AB2F82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-0.390***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358F" w14:textId="6B253EBB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-0.381***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7310" w14:textId="7156C715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-0.387***</w:t>
            </w:r>
          </w:p>
        </w:tc>
      </w:tr>
      <w:tr w:rsidR="00DF2B46" w:rsidRPr="00122468" w14:paraId="100F422C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212E" w14:textId="77777777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DCBD" w14:textId="5A3128BF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(0.116)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489A" w14:textId="1592F05B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(0.106)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2538" w14:textId="5932D9DC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(0.106)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B70C" w14:textId="4609C991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(0.105)</w:t>
            </w:r>
          </w:p>
        </w:tc>
      </w:tr>
      <w:tr w:rsidR="00DF2B46" w:rsidRPr="00122468" w14:paraId="3FD63D18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3A5F" w14:textId="77777777" w:rsidR="00DF2B46" w:rsidRPr="00122468" w:rsidRDefault="00DF2B46" w:rsidP="00DF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Minor teaching hospitals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24AD" w14:textId="46B38F03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0.380**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FCB4" w14:textId="2EA47609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0.250*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68E5" w14:textId="1D554481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0.245*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FB6C" w14:textId="6FEA9211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0.238*</w:t>
            </w:r>
          </w:p>
        </w:tc>
      </w:tr>
      <w:tr w:rsidR="00DF2B46" w:rsidRPr="00122468" w14:paraId="719B3C86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99E9" w14:textId="77777777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5178" w14:textId="35E8025F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(0.135)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298E" w14:textId="113B1C81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(0.116)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18EE" w14:textId="461B9E1D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(0.116)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5554" w14:textId="4F3B0B20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(0.116)</w:t>
            </w:r>
          </w:p>
        </w:tc>
      </w:tr>
      <w:tr w:rsidR="00DF2B46" w:rsidRPr="00122468" w14:paraId="0768F94A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C5AE" w14:textId="77777777" w:rsidR="00DF2B46" w:rsidRPr="00122468" w:rsidRDefault="00DF2B46" w:rsidP="00DF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Major teaching hospitals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9EB7" w14:textId="0F63A7B5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-0.002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D216" w14:textId="25FD65DA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-0.027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565C" w14:textId="7D429B4D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-0.033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BC05" w14:textId="4398D50F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0.084*</w:t>
            </w:r>
          </w:p>
        </w:tc>
      </w:tr>
      <w:tr w:rsidR="00DF2B46" w:rsidRPr="00122468" w14:paraId="47317E11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4DD1" w14:textId="77777777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4523" w14:textId="7FAFC461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(0.042)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0D01" w14:textId="4C099FB6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(0.039)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CF87" w14:textId="5B1C1083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(0.039)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6B1A" w14:textId="7BCA8CB0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(0.040)</w:t>
            </w:r>
          </w:p>
        </w:tc>
      </w:tr>
      <w:tr w:rsidR="00DF2B46" w:rsidRPr="00122468" w14:paraId="1B590AF6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1FCD" w14:textId="77777777" w:rsidR="00DF2B46" w:rsidRPr="00122468" w:rsidRDefault="00DF2B46" w:rsidP="00DF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Number of hospital unit set up and staffed beds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DC35" w14:textId="7CE206D4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-0.002***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A3D6" w14:textId="053F1FE3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-0.001***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26A0" w14:textId="4183FB38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-0.001***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B8D1" w14:textId="3C84718D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-0.002***</w:t>
            </w:r>
          </w:p>
        </w:tc>
      </w:tr>
      <w:tr w:rsidR="00DF2B46" w:rsidRPr="00122468" w14:paraId="77329528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3B76" w14:textId="77777777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EB46" w14:textId="1C9199CC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(0.000)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81E4" w14:textId="7AE0ACD5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(0.000)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0122" w14:textId="5063ABC6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(0.000)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788E" w14:textId="14CEE93A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(0.000)</w:t>
            </w:r>
          </w:p>
        </w:tc>
      </w:tr>
      <w:tr w:rsidR="00DF2B46" w:rsidRPr="00122468" w14:paraId="1219F7BF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1ADC" w14:textId="77777777" w:rsidR="00DF2B46" w:rsidRPr="00122468" w:rsidRDefault="00DF2B46" w:rsidP="00DF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Occupancy rates - ratio of daily census to staffed beds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6986" w14:textId="1274C0C7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-0.779***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2054" w14:textId="3B96E7C7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-0.688***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30E0" w14:textId="5A462357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-0.689***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CCAD" w14:textId="1486D1E7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-0.664***</w:t>
            </w:r>
          </w:p>
        </w:tc>
      </w:tr>
      <w:tr w:rsidR="00DF2B46" w:rsidRPr="00122468" w14:paraId="17C016D7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0746" w14:textId="77777777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B456" w14:textId="19003D45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(0.098)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3204" w14:textId="2E29D932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(0.087)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9713" w14:textId="0171B276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(0.087)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82A7" w14:textId="59587264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(0.088)</w:t>
            </w:r>
          </w:p>
        </w:tc>
      </w:tr>
      <w:tr w:rsidR="00DF2B46" w:rsidRPr="00122468" w14:paraId="61B0775F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E53C" w14:textId="77777777" w:rsidR="00DF2B46" w:rsidRPr="00122468" w:rsidRDefault="00DF2B46" w:rsidP="00DF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Percent inpatient days covered by Medicare patients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124E" w14:textId="163AA025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0.516***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F634" w14:textId="44F50EF8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0.245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07C0" w14:textId="6C8B6079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0.259*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28F1" w14:textId="52F9396F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0.122</w:t>
            </w:r>
          </w:p>
        </w:tc>
      </w:tr>
      <w:tr w:rsidR="00DF2B46" w:rsidRPr="00122468" w14:paraId="0AD8687D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5ED6" w14:textId="77777777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2417" w14:textId="03AE6A82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(0.141)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52DB" w14:textId="7A3622B1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(0.126)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86DC" w14:textId="1C1AD34E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(0.126)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5D99" w14:textId="5FEF23F2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(0.121)</w:t>
            </w:r>
          </w:p>
        </w:tc>
      </w:tr>
      <w:tr w:rsidR="00DF2B46" w:rsidRPr="00122468" w14:paraId="07F37C8E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35D7" w14:textId="77777777" w:rsidR="00DF2B46" w:rsidRPr="00122468" w:rsidRDefault="00DF2B46" w:rsidP="00DF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Percent inpatient days covered by Medicaid patients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35F4" w14:textId="44C30C72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0.570***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71A2" w14:textId="58F7BCB2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0.423**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4332" w14:textId="5CDC1772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0.427**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B765" w14:textId="7613E774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0.323*</w:t>
            </w:r>
          </w:p>
        </w:tc>
      </w:tr>
      <w:tr w:rsidR="00DF2B46" w:rsidRPr="00122468" w14:paraId="73D43E9D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056A" w14:textId="77777777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8555" w14:textId="36D85D49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(0.172)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CED7" w14:textId="26F22860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(0.154)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FA74" w14:textId="31624061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(0.155)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00CB" w14:textId="12F994E0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(0.155)</w:t>
            </w:r>
          </w:p>
        </w:tc>
      </w:tr>
      <w:tr w:rsidR="00DF2B46" w:rsidRPr="00122468" w14:paraId="731CBCE5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30931" w14:textId="77777777" w:rsidR="00DF2B46" w:rsidRPr="00122468" w:rsidRDefault="00DF2B46" w:rsidP="00DF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State employment to population ratio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75E4" w14:textId="6BC0B6B6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0.035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848C" w14:textId="1CB77BF4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-0.002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A4BC" w14:textId="15B397A1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-0.004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8AC7" w14:textId="3AFECD45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0.037</w:t>
            </w:r>
          </w:p>
        </w:tc>
      </w:tr>
      <w:tr w:rsidR="00DF2B46" w:rsidRPr="00122468" w14:paraId="6C24260A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9DC5" w14:textId="77777777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5CB7" w14:textId="45E79DAB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(0.030)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C3A1" w14:textId="344C38E0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(0.032)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C796" w14:textId="797D23BF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(0.032)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A600" w14:textId="0ADF6600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(0.032)</w:t>
            </w:r>
          </w:p>
        </w:tc>
      </w:tr>
      <w:tr w:rsidR="00DF2B46" w:rsidRPr="00122468" w14:paraId="25BC4746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37E2" w14:textId="77777777" w:rsidR="00DF2B46" w:rsidRPr="00122468" w:rsidRDefault="00DF2B46" w:rsidP="00DF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Right-to-work laws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A276" w14:textId="6516FF11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-0.116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35AD" w14:textId="53C4487E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-0.115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F927" w14:textId="156F04A5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-0.124*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15B2" w14:textId="4D40A930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-0.056</w:t>
            </w:r>
          </w:p>
        </w:tc>
      </w:tr>
      <w:tr w:rsidR="00DF2B46" w:rsidRPr="00122468" w14:paraId="3387B08A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1AC7" w14:textId="77777777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0FAD" w14:textId="66EA0132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(0.065)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08FD" w14:textId="48853BAE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(0.059)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7AAC" w14:textId="0F43AAA7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(0.060)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0223" w14:textId="56D796B1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(0.060)</w:t>
            </w:r>
          </w:p>
        </w:tc>
      </w:tr>
      <w:tr w:rsidR="00DF2B46" w:rsidRPr="00122468" w14:paraId="576F8244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5DF8" w14:textId="77777777" w:rsidR="00DF2B46" w:rsidRPr="00122468" w:rsidRDefault="00DF2B46" w:rsidP="00DF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Herfindahl-Hirschman Index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EA01" w14:textId="152CAB09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0.231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0C64" w14:textId="35EC9E15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0.355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44F8" w14:textId="398CBA63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0.378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ECD6" w14:textId="69AB5D06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0.291</w:t>
            </w:r>
          </w:p>
        </w:tc>
      </w:tr>
      <w:tr w:rsidR="00DF2B46" w:rsidRPr="00122468" w14:paraId="4F40B8D2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5134" w14:textId="77777777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2450" w14:textId="5CCEDC4A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(0.240)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E49B" w14:textId="3F0BCBF1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(0.219)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FC74" w14:textId="6C8E1688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(0.220)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C895" w14:textId="719DED49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(0.226)</w:t>
            </w:r>
          </w:p>
        </w:tc>
      </w:tr>
      <w:tr w:rsidR="00DF2B46" w:rsidRPr="00122468" w14:paraId="4266D1A8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2F14" w14:textId="77777777" w:rsidR="00DF2B46" w:rsidRPr="00122468" w:rsidRDefault="00DF2B46" w:rsidP="00DF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2468">
              <w:rPr>
                <w:rFonts w:ascii="Times New Roman" w:eastAsia="Times New Roman" w:hAnsi="Times New Roman" w:cs="Times New Roman"/>
                <w:color w:val="000000"/>
              </w:rPr>
              <w:t>Saidin</w:t>
            </w:r>
            <w:proofErr w:type="spellEnd"/>
            <w:r w:rsidRPr="00122468">
              <w:rPr>
                <w:rFonts w:ascii="Times New Roman" w:eastAsia="Times New Roman" w:hAnsi="Times New Roman" w:cs="Times New Roman"/>
                <w:color w:val="000000"/>
              </w:rPr>
              <w:t xml:space="preserve"> index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BD20" w14:textId="1E030C18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0.064***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4A93" w14:textId="2356CBFF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0.061***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8F17" w14:textId="569DA92F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0.065***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4D35" w14:textId="66264CC7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0.041***</w:t>
            </w:r>
          </w:p>
        </w:tc>
      </w:tr>
      <w:tr w:rsidR="00DF2B46" w:rsidRPr="00122468" w14:paraId="33EC3957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E6FB" w14:textId="77777777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19EE" w14:textId="01026717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(0.010)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84EC" w14:textId="41533796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(0.009)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13D3" w14:textId="753645A1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(0.009)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4113" w14:textId="0DB4C7D7" w:rsidR="00DF2B46" w:rsidRPr="00122468" w:rsidRDefault="00DF2B46" w:rsidP="00D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2B46">
              <w:rPr>
                <w:rFonts w:ascii="Times New Roman" w:hAnsi="Times New Roman" w:cs="Times New Roman"/>
              </w:rPr>
              <w:t>(0.009)</w:t>
            </w:r>
          </w:p>
        </w:tc>
      </w:tr>
      <w:tr w:rsidR="00122468" w:rsidRPr="00122468" w14:paraId="41712D82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845E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C1BE" w14:textId="77777777" w:rsidR="00122468" w:rsidRPr="00122468" w:rsidRDefault="00122468" w:rsidP="00122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8DAF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4F90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0ABF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22468" w:rsidRPr="00122468" w14:paraId="6804F348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BDA7" w14:textId="77777777" w:rsidR="00122468" w:rsidRPr="00122468" w:rsidRDefault="00122468" w:rsidP="00122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468">
              <w:rPr>
                <w:rFonts w:ascii="Times New Roman" w:eastAsia="Times New Roman" w:hAnsi="Times New Roman" w:cs="Times New Roman"/>
              </w:rPr>
              <w:t>Observations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78F3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49,772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CE7B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49,772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141B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49,772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3E54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49,772</w:t>
            </w:r>
          </w:p>
        </w:tc>
      </w:tr>
      <w:tr w:rsidR="00122468" w:rsidRPr="00122468" w14:paraId="276D40E0" w14:textId="77777777" w:rsidTr="00F653D7">
        <w:trPr>
          <w:trHeight w:val="231"/>
          <w:jc w:val="center"/>
        </w:trPr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5F809" w14:textId="77777777" w:rsidR="00122468" w:rsidRPr="00122468" w:rsidRDefault="00122468" w:rsidP="00122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468">
              <w:rPr>
                <w:rFonts w:ascii="Times New Roman" w:eastAsia="Times New Roman" w:hAnsi="Times New Roman" w:cs="Times New Roman"/>
              </w:rPr>
              <w:t>R-squared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933CF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0.107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54B11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0.145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D8DDC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0.140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82416" w14:textId="77777777" w:rsidR="00122468" w:rsidRPr="00122468" w:rsidRDefault="00122468" w:rsidP="0012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2468">
              <w:rPr>
                <w:rFonts w:ascii="Times New Roman" w:eastAsia="Times New Roman" w:hAnsi="Times New Roman" w:cs="Times New Roman"/>
                <w:color w:val="000000"/>
              </w:rPr>
              <w:t>0.054</w:t>
            </w:r>
          </w:p>
        </w:tc>
      </w:tr>
      <w:tr w:rsidR="00122468" w:rsidRPr="00DF2B46" w14:paraId="3DC24C91" w14:textId="77777777" w:rsidTr="00F653D7">
        <w:trPr>
          <w:trHeight w:val="231"/>
          <w:jc w:val="center"/>
        </w:trPr>
        <w:tc>
          <w:tcPr>
            <w:tcW w:w="9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7C68" w14:textId="34E08526" w:rsidR="00122468" w:rsidRPr="00122468" w:rsidRDefault="00122468" w:rsidP="001224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Note: </w:t>
            </w:r>
            <w:r w:rsidR="000B518D" w:rsidRPr="0072156A">
              <w:rPr>
                <w:rFonts w:ascii="Times New Roman" w:eastAsia="Times New Roman" w:hAnsi="Times New Roman" w:cs="Times New Roman"/>
                <w:sz w:val="20"/>
                <w:szCs w:val="20"/>
              </w:rPr>
              <w:t>Coefficients for dummies indicating treatment group</w:t>
            </w:r>
            <w:r w:rsidR="00EB0405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B518D" w:rsidRPr="00721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are omitted due to collinearity. The</w:t>
            </w:r>
            <w:r w:rsidR="00F653D7" w:rsidRPr="00721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difference-in-difference estimates, that is, treatment group * post, are presented.</w:t>
            </w:r>
            <w:r w:rsidR="000B518D" w:rsidRPr="00721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2156A" w:rsidRPr="00721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licensed nurse is the sum of registered nurse and licensed </w:t>
            </w:r>
            <w:r w:rsidR="0072156A" w:rsidRPr="007215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practical/vocational nurse, excluding nurse assistive personnel. All models included hospital and year fixed effects</w:t>
            </w:r>
            <w:r w:rsidR="00DA1260">
              <w:rPr>
                <w:rFonts w:ascii="Times New Roman" w:eastAsia="Times New Roman" w:hAnsi="Times New Roman" w:cs="Times New Roman"/>
                <w:sz w:val="20"/>
                <w:szCs w:val="20"/>
              </w:rPr>
              <w:t>, and constants</w:t>
            </w:r>
            <w:r w:rsidR="0072156A" w:rsidRPr="007215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Standard errors were clustered by hospital. </w:t>
            </w:r>
            <w:r w:rsidR="00904774" w:rsidRPr="003D44FE">
              <w:rPr>
                <w:rFonts w:ascii="Times New Roman" w:eastAsia="Times New Roman" w:hAnsi="Times New Roman" w:cs="Times New Roman"/>
                <w:i/>
                <w:iCs/>
              </w:rPr>
              <w:t>*** p&lt;0.001, ** p&lt;0.01, * p&lt;0.05</w:t>
            </w:r>
          </w:p>
        </w:tc>
      </w:tr>
    </w:tbl>
    <w:p w14:paraId="4ADD4BDC" w14:textId="51135AB3" w:rsidR="003551D3" w:rsidRPr="009D1E45" w:rsidRDefault="003551D3" w:rsidP="00DA1260">
      <w:pPr>
        <w:rPr>
          <w:rFonts w:ascii="Times New Roman" w:hAnsi="Times New Roman" w:cs="Times New Roman"/>
          <w:sz w:val="24"/>
          <w:szCs w:val="24"/>
        </w:rPr>
      </w:pPr>
    </w:p>
    <w:sectPr w:rsidR="003551D3" w:rsidRPr="009D1E45" w:rsidSect="00464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7261E" w14:textId="77777777" w:rsidR="008C35B6" w:rsidRDefault="008C35B6" w:rsidP="008248C7">
      <w:pPr>
        <w:spacing w:after="0" w:line="240" w:lineRule="auto"/>
      </w:pPr>
      <w:r>
        <w:separator/>
      </w:r>
    </w:p>
  </w:endnote>
  <w:endnote w:type="continuationSeparator" w:id="0">
    <w:p w14:paraId="7BB62A60" w14:textId="77777777" w:rsidR="008C35B6" w:rsidRDefault="008C35B6" w:rsidP="0082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93381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70AA046D" w14:textId="1798A87D" w:rsidR="009D5C45" w:rsidRPr="008248C7" w:rsidRDefault="009D5C45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8248C7">
          <w:rPr>
            <w:rFonts w:ascii="Times New Roman" w:hAnsi="Times New Roman" w:cs="Times New Roman"/>
            <w:sz w:val="24"/>
          </w:rPr>
          <w:fldChar w:fldCharType="begin"/>
        </w:r>
        <w:r w:rsidRPr="008248C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248C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9</w:t>
        </w:r>
        <w:r w:rsidRPr="008248C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578C5D4" w14:textId="77777777" w:rsidR="009D5C45" w:rsidRDefault="009D5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8053B" w14:textId="77777777" w:rsidR="008C35B6" w:rsidRDefault="008C35B6" w:rsidP="008248C7">
      <w:pPr>
        <w:spacing w:after="0" w:line="240" w:lineRule="auto"/>
      </w:pPr>
      <w:r>
        <w:separator/>
      </w:r>
    </w:p>
  </w:footnote>
  <w:footnote w:type="continuationSeparator" w:id="0">
    <w:p w14:paraId="18AF46C7" w14:textId="77777777" w:rsidR="008C35B6" w:rsidRDefault="008C35B6" w:rsidP="00824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67A85"/>
    <w:multiLevelType w:val="hybridMultilevel"/>
    <w:tmpl w:val="0D08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0NzO0MLUwMLc0NrVU0lEKTi0uzszPAykwNKgFAEBfQ7gtAAAA"/>
  </w:docVars>
  <w:rsids>
    <w:rsidRoot w:val="006F611B"/>
    <w:rsid w:val="000102BF"/>
    <w:rsid w:val="00010661"/>
    <w:rsid w:val="00011D66"/>
    <w:rsid w:val="0001704A"/>
    <w:rsid w:val="00033499"/>
    <w:rsid w:val="0003613C"/>
    <w:rsid w:val="00042F5C"/>
    <w:rsid w:val="00046D17"/>
    <w:rsid w:val="00053141"/>
    <w:rsid w:val="00054070"/>
    <w:rsid w:val="00065F0F"/>
    <w:rsid w:val="00071530"/>
    <w:rsid w:val="000834E4"/>
    <w:rsid w:val="000873A7"/>
    <w:rsid w:val="000876AD"/>
    <w:rsid w:val="00090D13"/>
    <w:rsid w:val="000A421A"/>
    <w:rsid w:val="000A4FC7"/>
    <w:rsid w:val="000B26D3"/>
    <w:rsid w:val="000B518D"/>
    <w:rsid w:val="000C0C2B"/>
    <w:rsid w:val="000C1A50"/>
    <w:rsid w:val="000C6EF8"/>
    <w:rsid w:val="000D0875"/>
    <w:rsid w:val="000D105F"/>
    <w:rsid w:val="000E0022"/>
    <w:rsid w:val="000E5404"/>
    <w:rsid w:val="001023EB"/>
    <w:rsid w:val="00104199"/>
    <w:rsid w:val="001111A5"/>
    <w:rsid w:val="00115D78"/>
    <w:rsid w:val="001168E0"/>
    <w:rsid w:val="00117695"/>
    <w:rsid w:val="00122468"/>
    <w:rsid w:val="0012562A"/>
    <w:rsid w:val="00125D4D"/>
    <w:rsid w:val="00132F6C"/>
    <w:rsid w:val="00133A33"/>
    <w:rsid w:val="00140D55"/>
    <w:rsid w:val="001467E0"/>
    <w:rsid w:val="001723AD"/>
    <w:rsid w:val="0018093A"/>
    <w:rsid w:val="00187705"/>
    <w:rsid w:val="00190F3B"/>
    <w:rsid w:val="00196F9F"/>
    <w:rsid w:val="001977D8"/>
    <w:rsid w:val="001A4A4A"/>
    <w:rsid w:val="001A67CA"/>
    <w:rsid w:val="001A68EA"/>
    <w:rsid w:val="001D0BFA"/>
    <w:rsid w:val="001D44EE"/>
    <w:rsid w:val="001D456A"/>
    <w:rsid w:val="001E4468"/>
    <w:rsid w:val="001F2284"/>
    <w:rsid w:val="002047D7"/>
    <w:rsid w:val="00234783"/>
    <w:rsid w:val="00235049"/>
    <w:rsid w:val="00242848"/>
    <w:rsid w:val="00244F4B"/>
    <w:rsid w:val="00245527"/>
    <w:rsid w:val="0025620B"/>
    <w:rsid w:val="0026085C"/>
    <w:rsid w:val="0028551F"/>
    <w:rsid w:val="00285C88"/>
    <w:rsid w:val="002906AE"/>
    <w:rsid w:val="00293FB1"/>
    <w:rsid w:val="002B2A85"/>
    <w:rsid w:val="002B5B7B"/>
    <w:rsid w:val="002D4802"/>
    <w:rsid w:val="002E1C3E"/>
    <w:rsid w:val="002E5C00"/>
    <w:rsid w:val="002F0BE3"/>
    <w:rsid w:val="002F199E"/>
    <w:rsid w:val="002F41BE"/>
    <w:rsid w:val="00302504"/>
    <w:rsid w:val="003124D5"/>
    <w:rsid w:val="003344E8"/>
    <w:rsid w:val="00340BC8"/>
    <w:rsid w:val="00347518"/>
    <w:rsid w:val="003551D3"/>
    <w:rsid w:val="0036355F"/>
    <w:rsid w:val="00364980"/>
    <w:rsid w:val="00366B55"/>
    <w:rsid w:val="003824E5"/>
    <w:rsid w:val="00386C95"/>
    <w:rsid w:val="003A19A3"/>
    <w:rsid w:val="003A2AE6"/>
    <w:rsid w:val="003B3D21"/>
    <w:rsid w:val="003B4674"/>
    <w:rsid w:val="003B4F5C"/>
    <w:rsid w:val="003C4FE1"/>
    <w:rsid w:val="003D3883"/>
    <w:rsid w:val="003D44FE"/>
    <w:rsid w:val="003E12E8"/>
    <w:rsid w:val="003E6420"/>
    <w:rsid w:val="003F5A73"/>
    <w:rsid w:val="00401C1A"/>
    <w:rsid w:val="00403508"/>
    <w:rsid w:val="00410A91"/>
    <w:rsid w:val="00410F32"/>
    <w:rsid w:val="00414903"/>
    <w:rsid w:val="004205F6"/>
    <w:rsid w:val="004216F5"/>
    <w:rsid w:val="004307E5"/>
    <w:rsid w:val="0043294D"/>
    <w:rsid w:val="0043624E"/>
    <w:rsid w:val="0043797B"/>
    <w:rsid w:val="00455C9C"/>
    <w:rsid w:val="00455E29"/>
    <w:rsid w:val="004640CC"/>
    <w:rsid w:val="00467A8F"/>
    <w:rsid w:val="00476149"/>
    <w:rsid w:val="0048255B"/>
    <w:rsid w:val="004849EF"/>
    <w:rsid w:val="004936B5"/>
    <w:rsid w:val="0049595B"/>
    <w:rsid w:val="004B7CDC"/>
    <w:rsid w:val="004C74B4"/>
    <w:rsid w:val="004D45C9"/>
    <w:rsid w:val="004E0D9D"/>
    <w:rsid w:val="00504102"/>
    <w:rsid w:val="00511D9A"/>
    <w:rsid w:val="00516DA8"/>
    <w:rsid w:val="00517CE1"/>
    <w:rsid w:val="005219C7"/>
    <w:rsid w:val="005229B2"/>
    <w:rsid w:val="00530DCB"/>
    <w:rsid w:val="0053341C"/>
    <w:rsid w:val="0054033D"/>
    <w:rsid w:val="00540E58"/>
    <w:rsid w:val="00546EEE"/>
    <w:rsid w:val="005514A6"/>
    <w:rsid w:val="00563661"/>
    <w:rsid w:val="00572B54"/>
    <w:rsid w:val="005757F1"/>
    <w:rsid w:val="0057788E"/>
    <w:rsid w:val="00581500"/>
    <w:rsid w:val="00590573"/>
    <w:rsid w:val="005A2DFA"/>
    <w:rsid w:val="005B296D"/>
    <w:rsid w:val="005B4ED4"/>
    <w:rsid w:val="005B5475"/>
    <w:rsid w:val="005E415D"/>
    <w:rsid w:val="005E7B9C"/>
    <w:rsid w:val="005F2EFE"/>
    <w:rsid w:val="005F6974"/>
    <w:rsid w:val="00614407"/>
    <w:rsid w:val="00617235"/>
    <w:rsid w:val="006206A7"/>
    <w:rsid w:val="0062471C"/>
    <w:rsid w:val="0063080C"/>
    <w:rsid w:val="00634729"/>
    <w:rsid w:val="006379FF"/>
    <w:rsid w:val="00640424"/>
    <w:rsid w:val="006409A9"/>
    <w:rsid w:val="00646D9B"/>
    <w:rsid w:val="00646E0C"/>
    <w:rsid w:val="0065767F"/>
    <w:rsid w:val="006645BB"/>
    <w:rsid w:val="00673446"/>
    <w:rsid w:val="00686FA5"/>
    <w:rsid w:val="0069100C"/>
    <w:rsid w:val="006B3FFB"/>
    <w:rsid w:val="006D1813"/>
    <w:rsid w:val="006D6731"/>
    <w:rsid w:val="006E3A07"/>
    <w:rsid w:val="006E5E01"/>
    <w:rsid w:val="006F4C49"/>
    <w:rsid w:val="006F611B"/>
    <w:rsid w:val="007124F4"/>
    <w:rsid w:val="00715619"/>
    <w:rsid w:val="0072156A"/>
    <w:rsid w:val="00730452"/>
    <w:rsid w:val="007329C5"/>
    <w:rsid w:val="00736DB8"/>
    <w:rsid w:val="00741947"/>
    <w:rsid w:val="007518EE"/>
    <w:rsid w:val="00757B0C"/>
    <w:rsid w:val="007605C3"/>
    <w:rsid w:val="007708E5"/>
    <w:rsid w:val="0078756D"/>
    <w:rsid w:val="00791F05"/>
    <w:rsid w:val="00794A32"/>
    <w:rsid w:val="00796629"/>
    <w:rsid w:val="007A4CD1"/>
    <w:rsid w:val="007B4571"/>
    <w:rsid w:val="007B60E9"/>
    <w:rsid w:val="007C023C"/>
    <w:rsid w:val="007C67AF"/>
    <w:rsid w:val="007D3B42"/>
    <w:rsid w:val="007D7944"/>
    <w:rsid w:val="007E0566"/>
    <w:rsid w:val="007E1B42"/>
    <w:rsid w:val="007E39D5"/>
    <w:rsid w:val="007F1694"/>
    <w:rsid w:val="007F38AB"/>
    <w:rsid w:val="00801B5B"/>
    <w:rsid w:val="00802B86"/>
    <w:rsid w:val="00810256"/>
    <w:rsid w:val="0081105C"/>
    <w:rsid w:val="00824272"/>
    <w:rsid w:val="008248C7"/>
    <w:rsid w:val="008254A2"/>
    <w:rsid w:val="0083599C"/>
    <w:rsid w:val="0083638F"/>
    <w:rsid w:val="00840FE9"/>
    <w:rsid w:val="00842EBC"/>
    <w:rsid w:val="00843CCF"/>
    <w:rsid w:val="00871C63"/>
    <w:rsid w:val="0087374B"/>
    <w:rsid w:val="008773FF"/>
    <w:rsid w:val="00881434"/>
    <w:rsid w:val="00881515"/>
    <w:rsid w:val="00893D74"/>
    <w:rsid w:val="00893FBC"/>
    <w:rsid w:val="008A2773"/>
    <w:rsid w:val="008C27A5"/>
    <w:rsid w:val="008C35B6"/>
    <w:rsid w:val="008D1443"/>
    <w:rsid w:val="008D624D"/>
    <w:rsid w:val="008E00B4"/>
    <w:rsid w:val="008F2DEF"/>
    <w:rsid w:val="00900325"/>
    <w:rsid w:val="00904774"/>
    <w:rsid w:val="0090554B"/>
    <w:rsid w:val="00905F12"/>
    <w:rsid w:val="00927840"/>
    <w:rsid w:val="00927EE5"/>
    <w:rsid w:val="00927F90"/>
    <w:rsid w:val="009328AF"/>
    <w:rsid w:val="00952047"/>
    <w:rsid w:val="00952D96"/>
    <w:rsid w:val="009600DC"/>
    <w:rsid w:val="00966879"/>
    <w:rsid w:val="00975C5B"/>
    <w:rsid w:val="009812A2"/>
    <w:rsid w:val="0098189F"/>
    <w:rsid w:val="0098197A"/>
    <w:rsid w:val="0098477B"/>
    <w:rsid w:val="009905D3"/>
    <w:rsid w:val="009927BB"/>
    <w:rsid w:val="009A2C9D"/>
    <w:rsid w:val="009A58DD"/>
    <w:rsid w:val="009A6D8B"/>
    <w:rsid w:val="009B0AD0"/>
    <w:rsid w:val="009B28EE"/>
    <w:rsid w:val="009B6565"/>
    <w:rsid w:val="009B6EEA"/>
    <w:rsid w:val="009C0E72"/>
    <w:rsid w:val="009C3E7D"/>
    <w:rsid w:val="009D1E45"/>
    <w:rsid w:val="009D5C45"/>
    <w:rsid w:val="00A10833"/>
    <w:rsid w:val="00A12C6E"/>
    <w:rsid w:val="00A27695"/>
    <w:rsid w:val="00A31C2E"/>
    <w:rsid w:val="00A32501"/>
    <w:rsid w:val="00A4006F"/>
    <w:rsid w:val="00A4092B"/>
    <w:rsid w:val="00A50310"/>
    <w:rsid w:val="00A5662C"/>
    <w:rsid w:val="00A628F0"/>
    <w:rsid w:val="00A656D7"/>
    <w:rsid w:val="00A66272"/>
    <w:rsid w:val="00AA1536"/>
    <w:rsid w:val="00AC19D1"/>
    <w:rsid w:val="00AC7A40"/>
    <w:rsid w:val="00AD0273"/>
    <w:rsid w:val="00AF1830"/>
    <w:rsid w:val="00AF337B"/>
    <w:rsid w:val="00B04EAC"/>
    <w:rsid w:val="00B12540"/>
    <w:rsid w:val="00B2727B"/>
    <w:rsid w:val="00B30EA3"/>
    <w:rsid w:val="00B35CAA"/>
    <w:rsid w:val="00B46012"/>
    <w:rsid w:val="00B47355"/>
    <w:rsid w:val="00B47630"/>
    <w:rsid w:val="00B53F5F"/>
    <w:rsid w:val="00B56062"/>
    <w:rsid w:val="00B72583"/>
    <w:rsid w:val="00B745D4"/>
    <w:rsid w:val="00B75BC4"/>
    <w:rsid w:val="00B81149"/>
    <w:rsid w:val="00B82BE8"/>
    <w:rsid w:val="00BA0F94"/>
    <w:rsid w:val="00BA7129"/>
    <w:rsid w:val="00BC4F8B"/>
    <w:rsid w:val="00BD442E"/>
    <w:rsid w:val="00BD6FDD"/>
    <w:rsid w:val="00BE4826"/>
    <w:rsid w:val="00BE5177"/>
    <w:rsid w:val="00BF14B0"/>
    <w:rsid w:val="00BF65E4"/>
    <w:rsid w:val="00C01E38"/>
    <w:rsid w:val="00C047FB"/>
    <w:rsid w:val="00C11160"/>
    <w:rsid w:val="00C17622"/>
    <w:rsid w:val="00C26F68"/>
    <w:rsid w:val="00C330B9"/>
    <w:rsid w:val="00C54FB2"/>
    <w:rsid w:val="00C57C44"/>
    <w:rsid w:val="00C57C93"/>
    <w:rsid w:val="00C6241D"/>
    <w:rsid w:val="00C81213"/>
    <w:rsid w:val="00C81474"/>
    <w:rsid w:val="00C85ADC"/>
    <w:rsid w:val="00C86A7B"/>
    <w:rsid w:val="00C90A56"/>
    <w:rsid w:val="00C9628F"/>
    <w:rsid w:val="00CA17CD"/>
    <w:rsid w:val="00CA3BC2"/>
    <w:rsid w:val="00CA5686"/>
    <w:rsid w:val="00CC40A1"/>
    <w:rsid w:val="00CC5038"/>
    <w:rsid w:val="00CC7828"/>
    <w:rsid w:val="00CD1869"/>
    <w:rsid w:val="00CE3743"/>
    <w:rsid w:val="00CE39C0"/>
    <w:rsid w:val="00CE4CEE"/>
    <w:rsid w:val="00CF090C"/>
    <w:rsid w:val="00CF267F"/>
    <w:rsid w:val="00CF7790"/>
    <w:rsid w:val="00D032F8"/>
    <w:rsid w:val="00D03CCE"/>
    <w:rsid w:val="00D059E9"/>
    <w:rsid w:val="00D10E2F"/>
    <w:rsid w:val="00D32088"/>
    <w:rsid w:val="00D51050"/>
    <w:rsid w:val="00D565D7"/>
    <w:rsid w:val="00D57EA7"/>
    <w:rsid w:val="00D721FE"/>
    <w:rsid w:val="00D765BE"/>
    <w:rsid w:val="00D92BD8"/>
    <w:rsid w:val="00D97311"/>
    <w:rsid w:val="00DA0F1C"/>
    <w:rsid w:val="00DA1260"/>
    <w:rsid w:val="00DA4C57"/>
    <w:rsid w:val="00DA5228"/>
    <w:rsid w:val="00DB70F1"/>
    <w:rsid w:val="00DC7ACF"/>
    <w:rsid w:val="00DE223A"/>
    <w:rsid w:val="00DE5089"/>
    <w:rsid w:val="00DF2B46"/>
    <w:rsid w:val="00DF4F8C"/>
    <w:rsid w:val="00DF67BF"/>
    <w:rsid w:val="00DF6CF3"/>
    <w:rsid w:val="00E02E30"/>
    <w:rsid w:val="00E119E2"/>
    <w:rsid w:val="00E13432"/>
    <w:rsid w:val="00E13BE9"/>
    <w:rsid w:val="00E17B14"/>
    <w:rsid w:val="00E22E8D"/>
    <w:rsid w:val="00E2619B"/>
    <w:rsid w:val="00E42EF5"/>
    <w:rsid w:val="00E476BB"/>
    <w:rsid w:val="00E478B6"/>
    <w:rsid w:val="00E47A85"/>
    <w:rsid w:val="00E56AA7"/>
    <w:rsid w:val="00E6648B"/>
    <w:rsid w:val="00E677C9"/>
    <w:rsid w:val="00E7069F"/>
    <w:rsid w:val="00E74FAC"/>
    <w:rsid w:val="00E76BBF"/>
    <w:rsid w:val="00E80D39"/>
    <w:rsid w:val="00E82C28"/>
    <w:rsid w:val="00E846FC"/>
    <w:rsid w:val="00EB0405"/>
    <w:rsid w:val="00EB6582"/>
    <w:rsid w:val="00EB7FBF"/>
    <w:rsid w:val="00EB7FFC"/>
    <w:rsid w:val="00EC09E0"/>
    <w:rsid w:val="00ED398A"/>
    <w:rsid w:val="00EE1A03"/>
    <w:rsid w:val="00EE534E"/>
    <w:rsid w:val="00EE7E0F"/>
    <w:rsid w:val="00EF42B7"/>
    <w:rsid w:val="00F028D5"/>
    <w:rsid w:val="00F04E6D"/>
    <w:rsid w:val="00F12CDD"/>
    <w:rsid w:val="00F1440C"/>
    <w:rsid w:val="00F22B1F"/>
    <w:rsid w:val="00F24249"/>
    <w:rsid w:val="00F2684C"/>
    <w:rsid w:val="00F30322"/>
    <w:rsid w:val="00F347D2"/>
    <w:rsid w:val="00F51277"/>
    <w:rsid w:val="00F5602F"/>
    <w:rsid w:val="00F653D7"/>
    <w:rsid w:val="00F71110"/>
    <w:rsid w:val="00F763DC"/>
    <w:rsid w:val="00F76CA2"/>
    <w:rsid w:val="00F77008"/>
    <w:rsid w:val="00F84318"/>
    <w:rsid w:val="00F85AD6"/>
    <w:rsid w:val="00F860AE"/>
    <w:rsid w:val="00FB3C0F"/>
    <w:rsid w:val="00FB5177"/>
    <w:rsid w:val="00FB5934"/>
    <w:rsid w:val="00FB72FE"/>
    <w:rsid w:val="00FD102D"/>
    <w:rsid w:val="00FD7D17"/>
    <w:rsid w:val="00FE1739"/>
    <w:rsid w:val="00FE1E46"/>
    <w:rsid w:val="00FE56F7"/>
    <w:rsid w:val="00FF5518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93E8"/>
  <w15:chartTrackingRefBased/>
  <w15:docId w15:val="{2556F82B-6C10-4724-89BB-24B24A4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C7"/>
  </w:style>
  <w:style w:type="paragraph" w:styleId="Footer">
    <w:name w:val="footer"/>
    <w:basedOn w:val="Normal"/>
    <w:link w:val="FooterChar"/>
    <w:uiPriority w:val="99"/>
    <w:unhideWhenUsed/>
    <w:rsid w:val="0082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C7"/>
  </w:style>
  <w:style w:type="paragraph" w:styleId="BalloonText">
    <w:name w:val="Balloon Text"/>
    <w:basedOn w:val="Normal"/>
    <w:link w:val="BalloonTextChar"/>
    <w:uiPriority w:val="99"/>
    <w:semiHidden/>
    <w:unhideWhenUsed/>
    <w:rsid w:val="00DF4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662C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77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73F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71C6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6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2E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25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5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25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jelly\Google%20Drive\DISSERTATION\DISSERTATION\Essay%202\State%20Law\Manuscript\State%20Nurse%20Staffing%20Law%20-%20Results%2004302018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jelly\Google%20Drive\DISSERTATION\DISSERTATION\Essay%202\State%20Law\Manuscript\State%20Nurse%20Staffing%20Law%20-%20Results%2004302018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jelly\Google%20Drive\DISSERTATION\DISSERTATION\Essay%202\State%20Law\Manuscript\State%20Nurse%20Staffing%20Law%20-%20Results%20043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151200933875915"/>
          <c:y val="4.2328035915505123E-2"/>
          <c:w val="0.85792512513925245"/>
          <c:h val="0.86840495416785712"/>
        </c:manualLayout>
      </c:layout>
      <c:lineChart>
        <c:grouping val="standard"/>
        <c:varyColors val="0"/>
        <c:ser>
          <c:idx val="0"/>
          <c:order val="0"/>
          <c:tx>
            <c:strRef>
              <c:f>'07202020'!$B$3</c:f>
              <c:strCache>
                <c:ptCount val="1"/>
                <c:pt idx="0">
                  <c:v>No Law (% change from 2003-2018: 18%)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'07202020'!$A$4:$A$19</c:f>
              <c:numCache>
                <c:formatCode>General</c:formatCode>
                <c:ptCount val="16"/>
                <c:pt idx="0">
                  <c:v>2003</c:v>
                </c:pt>
                <c:pt idx="2">
                  <c:v>2005</c:v>
                </c:pt>
                <c:pt idx="4">
                  <c:v>2007</c:v>
                </c:pt>
                <c:pt idx="6">
                  <c:v>2009</c:v>
                </c:pt>
                <c:pt idx="8">
                  <c:v>2011</c:v>
                </c:pt>
                <c:pt idx="10">
                  <c:v>2013</c:v>
                </c:pt>
                <c:pt idx="12">
                  <c:v>2015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'07202020'!$B$4:$B$19</c:f>
              <c:numCache>
                <c:formatCode>General</c:formatCode>
                <c:ptCount val="16"/>
                <c:pt idx="0">
                  <c:v>5.333253</c:v>
                </c:pt>
                <c:pt idx="1">
                  <c:v>5.3443059999999996</c:v>
                </c:pt>
                <c:pt idx="2">
                  <c:v>5.408811</c:v>
                </c:pt>
                <c:pt idx="3">
                  <c:v>5.5806050000000003</c:v>
                </c:pt>
                <c:pt idx="4">
                  <c:v>5.6405890000000003</c:v>
                </c:pt>
                <c:pt idx="5">
                  <c:v>5.7159880000000003</c:v>
                </c:pt>
                <c:pt idx="6">
                  <c:v>5.8513999999999999</c:v>
                </c:pt>
                <c:pt idx="7">
                  <c:v>5.9265879999999997</c:v>
                </c:pt>
                <c:pt idx="8">
                  <c:v>6.0266719999999996</c:v>
                </c:pt>
                <c:pt idx="9">
                  <c:v>6.1391169999999997</c:v>
                </c:pt>
                <c:pt idx="10">
                  <c:v>6.2223449999999998</c:v>
                </c:pt>
                <c:pt idx="11">
                  <c:v>6.2117129999999996</c:v>
                </c:pt>
                <c:pt idx="12">
                  <c:v>6.1962359999999999</c:v>
                </c:pt>
                <c:pt idx="13">
                  <c:v>6.1714140000000004</c:v>
                </c:pt>
                <c:pt idx="14">
                  <c:v>6.3386940000000003</c:v>
                </c:pt>
                <c:pt idx="15">
                  <c:v>6.2935840000000001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767-455A-8869-D86B204990E5}"/>
            </c:ext>
          </c:extLst>
        </c:ser>
        <c:ser>
          <c:idx val="1"/>
          <c:order val="1"/>
          <c:tx>
            <c:strRef>
              <c:f>'07202020'!$C$3</c:f>
              <c:strCache>
                <c:ptCount val="1"/>
                <c:pt idx="0">
                  <c:v>Staffing Mandate (% change: 55%)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'07202020'!$A$4:$A$19</c:f>
              <c:numCache>
                <c:formatCode>General</c:formatCode>
                <c:ptCount val="16"/>
                <c:pt idx="0">
                  <c:v>2003</c:v>
                </c:pt>
                <c:pt idx="2">
                  <c:v>2005</c:v>
                </c:pt>
                <c:pt idx="4">
                  <c:v>2007</c:v>
                </c:pt>
                <c:pt idx="6">
                  <c:v>2009</c:v>
                </c:pt>
                <c:pt idx="8">
                  <c:v>2011</c:v>
                </c:pt>
                <c:pt idx="10">
                  <c:v>2013</c:v>
                </c:pt>
                <c:pt idx="12">
                  <c:v>2015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'07202020'!$C$4:$C$19</c:f>
              <c:numCache>
                <c:formatCode>General</c:formatCode>
                <c:ptCount val="16"/>
                <c:pt idx="0">
                  <c:v>5.8187480000000003</c:v>
                </c:pt>
                <c:pt idx="1">
                  <c:v>6.2233090000000004</c:v>
                </c:pt>
                <c:pt idx="2">
                  <c:v>6.3584509999999996</c:v>
                </c:pt>
                <c:pt idx="3">
                  <c:v>7.0181199999999997</c:v>
                </c:pt>
                <c:pt idx="4">
                  <c:v>7.2579339999999997</c:v>
                </c:pt>
                <c:pt idx="5">
                  <c:v>7.0886969999999998</c:v>
                </c:pt>
                <c:pt idx="6">
                  <c:v>7.6721529999999998</c:v>
                </c:pt>
                <c:pt idx="7">
                  <c:v>7.9563040000000003</c:v>
                </c:pt>
                <c:pt idx="8">
                  <c:v>7.7466949999999999</c:v>
                </c:pt>
                <c:pt idx="9">
                  <c:v>8.9396889999999996</c:v>
                </c:pt>
                <c:pt idx="10">
                  <c:v>8.6378950000000003</c:v>
                </c:pt>
                <c:pt idx="11">
                  <c:v>8.7525670000000009</c:v>
                </c:pt>
                <c:pt idx="12">
                  <c:v>8.5572859999999995</c:v>
                </c:pt>
                <c:pt idx="13">
                  <c:v>9.3013700000000004</c:v>
                </c:pt>
                <c:pt idx="14">
                  <c:v>9.7284319999999997</c:v>
                </c:pt>
                <c:pt idx="15">
                  <c:v>9.0220190000000002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767-455A-8869-D86B204990E5}"/>
            </c:ext>
          </c:extLst>
        </c:ser>
        <c:ser>
          <c:idx val="2"/>
          <c:order val="2"/>
          <c:tx>
            <c:strRef>
              <c:f>'07202020'!$D$3</c:f>
              <c:strCache>
                <c:ptCount val="1"/>
                <c:pt idx="0">
                  <c:v>Staffing Committee (% change: 19%)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'07202020'!$A$4:$A$19</c:f>
              <c:numCache>
                <c:formatCode>General</c:formatCode>
                <c:ptCount val="16"/>
                <c:pt idx="0">
                  <c:v>2003</c:v>
                </c:pt>
                <c:pt idx="2">
                  <c:v>2005</c:v>
                </c:pt>
                <c:pt idx="4">
                  <c:v>2007</c:v>
                </c:pt>
                <c:pt idx="6">
                  <c:v>2009</c:v>
                </c:pt>
                <c:pt idx="8">
                  <c:v>2011</c:v>
                </c:pt>
                <c:pt idx="10">
                  <c:v>2013</c:v>
                </c:pt>
                <c:pt idx="12">
                  <c:v>2015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'07202020'!$D$4:$D$19</c:f>
              <c:numCache>
                <c:formatCode>General</c:formatCode>
                <c:ptCount val="16"/>
                <c:pt idx="0">
                  <c:v>5.2745759999999997</c:v>
                </c:pt>
                <c:pt idx="1">
                  <c:v>5.2992340000000002</c:v>
                </c:pt>
                <c:pt idx="2">
                  <c:v>5.3744829999999997</c:v>
                </c:pt>
                <c:pt idx="3">
                  <c:v>5.4883689999999996</c:v>
                </c:pt>
                <c:pt idx="4">
                  <c:v>5.586074</c:v>
                </c:pt>
                <c:pt idx="5">
                  <c:v>5.68506</c:v>
                </c:pt>
                <c:pt idx="6">
                  <c:v>5.8432500000000003</c:v>
                </c:pt>
                <c:pt idx="7">
                  <c:v>6.0057109999999998</c:v>
                </c:pt>
                <c:pt idx="8">
                  <c:v>6.0629210000000002</c:v>
                </c:pt>
                <c:pt idx="9">
                  <c:v>6.1108549999999999</c:v>
                </c:pt>
                <c:pt idx="10">
                  <c:v>6.0015280000000004</c:v>
                </c:pt>
                <c:pt idx="11">
                  <c:v>6.1068119999999997</c:v>
                </c:pt>
                <c:pt idx="12">
                  <c:v>6.2247830000000004</c:v>
                </c:pt>
                <c:pt idx="13">
                  <c:v>6.151313</c:v>
                </c:pt>
                <c:pt idx="14">
                  <c:v>6.2529570000000003</c:v>
                </c:pt>
                <c:pt idx="15">
                  <c:v>6.277336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767-455A-8869-D86B204990E5}"/>
            </c:ext>
          </c:extLst>
        </c:ser>
        <c:ser>
          <c:idx val="3"/>
          <c:order val="3"/>
          <c:tx>
            <c:strRef>
              <c:f>'07202020'!$E$3</c:f>
              <c:strCache>
                <c:ptCount val="1"/>
                <c:pt idx="0">
                  <c:v>Public Reporting (% change: 31%)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'07202020'!$A$4:$A$19</c:f>
              <c:numCache>
                <c:formatCode>General</c:formatCode>
                <c:ptCount val="16"/>
                <c:pt idx="0">
                  <c:v>2003</c:v>
                </c:pt>
                <c:pt idx="2">
                  <c:v>2005</c:v>
                </c:pt>
                <c:pt idx="4">
                  <c:v>2007</c:v>
                </c:pt>
                <c:pt idx="6">
                  <c:v>2009</c:v>
                </c:pt>
                <c:pt idx="8">
                  <c:v>2011</c:v>
                </c:pt>
                <c:pt idx="10">
                  <c:v>2013</c:v>
                </c:pt>
                <c:pt idx="12">
                  <c:v>2015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'07202020'!$E$4:$E$19</c:f>
              <c:numCache>
                <c:formatCode>General</c:formatCode>
                <c:ptCount val="16"/>
                <c:pt idx="0">
                  <c:v>5.1369230000000003</c:v>
                </c:pt>
                <c:pt idx="1">
                  <c:v>5.2054410000000004</c:v>
                </c:pt>
                <c:pt idx="2">
                  <c:v>5.4879990000000003</c:v>
                </c:pt>
                <c:pt idx="3">
                  <c:v>5.5013800000000002</c:v>
                </c:pt>
                <c:pt idx="4">
                  <c:v>5.8308109999999997</c:v>
                </c:pt>
                <c:pt idx="5">
                  <c:v>5.8496180000000004</c:v>
                </c:pt>
                <c:pt idx="6">
                  <c:v>5.8001649999999998</c:v>
                </c:pt>
                <c:pt idx="7">
                  <c:v>6.106573</c:v>
                </c:pt>
                <c:pt idx="8">
                  <c:v>6.1310729999999998</c:v>
                </c:pt>
                <c:pt idx="9">
                  <c:v>6.0141119999999999</c:v>
                </c:pt>
                <c:pt idx="10">
                  <c:v>6.1169060000000002</c:v>
                </c:pt>
                <c:pt idx="11">
                  <c:v>6.4845600000000001</c:v>
                </c:pt>
                <c:pt idx="12">
                  <c:v>6.5603199999999999</c:v>
                </c:pt>
                <c:pt idx="13">
                  <c:v>6.4625789999999999</c:v>
                </c:pt>
                <c:pt idx="14">
                  <c:v>6.6215809999999999</c:v>
                </c:pt>
                <c:pt idx="15">
                  <c:v>6.7174769999999997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767-455A-8869-D86B204990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45940816"/>
        <c:axId val="645942784"/>
      </c:lineChart>
      <c:catAx>
        <c:axId val="64594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45942784"/>
        <c:crosses val="autoZero"/>
        <c:auto val="1"/>
        <c:lblAlgn val="ctr"/>
        <c:lblOffset val="100"/>
        <c:noMultiLvlLbl val="0"/>
      </c:catAx>
      <c:valAx>
        <c:axId val="645942784"/>
        <c:scaling>
          <c:orientation val="minMax"/>
          <c:min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Hours per patient day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45940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318301854981804"/>
          <c:y val="0.10461660404319095"/>
          <c:w val="0.50848032691943013"/>
          <c:h val="0.249716828512000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522223323007787"/>
          <c:y val="4.0304107037552925E-2"/>
          <c:w val="0.85548252043884732"/>
          <c:h val="0.87469721431398773"/>
        </c:manualLayout>
      </c:layout>
      <c:lineChart>
        <c:grouping val="standard"/>
        <c:varyColors val="0"/>
        <c:ser>
          <c:idx val="0"/>
          <c:order val="0"/>
          <c:tx>
            <c:strRef>
              <c:f>'07202020'!$B$21</c:f>
              <c:strCache>
                <c:ptCount val="1"/>
                <c:pt idx="0">
                  <c:v>No Law (% change from 2003-2018: -50%)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'07202020'!$A$22:$A$37</c:f>
              <c:numCache>
                <c:formatCode>General</c:formatCode>
                <c:ptCount val="16"/>
                <c:pt idx="0">
                  <c:v>2003</c:v>
                </c:pt>
                <c:pt idx="2">
                  <c:v>2005</c:v>
                </c:pt>
                <c:pt idx="4">
                  <c:v>2007</c:v>
                </c:pt>
                <c:pt idx="6">
                  <c:v>2009</c:v>
                </c:pt>
                <c:pt idx="8">
                  <c:v>2011</c:v>
                </c:pt>
                <c:pt idx="10">
                  <c:v>2013</c:v>
                </c:pt>
                <c:pt idx="12">
                  <c:v>2015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'07202020'!$B$22:$B$37</c:f>
              <c:numCache>
                <c:formatCode>General</c:formatCode>
                <c:ptCount val="16"/>
                <c:pt idx="0">
                  <c:v>0.98952770000000001</c:v>
                </c:pt>
                <c:pt idx="1">
                  <c:v>0.94833009999999995</c:v>
                </c:pt>
                <c:pt idx="2">
                  <c:v>0.91914530000000005</c:v>
                </c:pt>
                <c:pt idx="3">
                  <c:v>0.89184560000000002</c:v>
                </c:pt>
                <c:pt idx="4">
                  <c:v>0.86463679999999998</c:v>
                </c:pt>
                <c:pt idx="5">
                  <c:v>0.80781369999999997</c:v>
                </c:pt>
                <c:pt idx="6">
                  <c:v>0.77315940000000005</c:v>
                </c:pt>
                <c:pt idx="7">
                  <c:v>0.73555870000000001</c:v>
                </c:pt>
                <c:pt idx="8">
                  <c:v>0.6686626</c:v>
                </c:pt>
                <c:pt idx="9">
                  <c:v>0.63424689999999995</c:v>
                </c:pt>
                <c:pt idx="10">
                  <c:v>0.57988989999999996</c:v>
                </c:pt>
                <c:pt idx="11">
                  <c:v>0.57464289999999996</c:v>
                </c:pt>
                <c:pt idx="12">
                  <c:v>0.53353519999999999</c:v>
                </c:pt>
                <c:pt idx="13">
                  <c:v>0.55009350000000001</c:v>
                </c:pt>
                <c:pt idx="14">
                  <c:v>0.53343510000000005</c:v>
                </c:pt>
                <c:pt idx="15">
                  <c:v>0.49576160000000002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DD3-47C2-8606-C8E85D624E8E}"/>
            </c:ext>
          </c:extLst>
        </c:ser>
        <c:ser>
          <c:idx val="1"/>
          <c:order val="1"/>
          <c:tx>
            <c:strRef>
              <c:f>'07202020'!$C$21</c:f>
              <c:strCache>
                <c:ptCount val="1"/>
                <c:pt idx="0">
                  <c:v>Staffing Mandate (% change: -55%)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'07202020'!$A$22:$A$37</c:f>
              <c:numCache>
                <c:formatCode>General</c:formatCode>
                <c:ptCount val="16"/>
                <c:pt idx="0">
                  <c:v>2003</c:v>
                </c:pt>
                <c:pt idx="2">
                  <c:v>2005</c:v>
                </c:pt>
                <c:pt idx="4">
                  <c:v>2007</c:v>
                </c:pt>
                <c:pt idx="6">
                  <c:v>2009</c:v>
                </c:pt>
                <c:pt idx="8">
                  <c:v>2011</c:v>
                </c:pt>
                <c:pt idx="10">
                  <c:v>2013</c:v>
                </c:pt>
                <c:pt idx="12">
                  <c:v>2015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'07202020'!$C$22:$C$37</c:f>
              <c:numCache>
                <c:formatCode>General</c:formatCode>
                <c:ptCount val="16"/>
                <c:pt idx="0">
                  <c:v>0.91008549999999999</c:v>
                </c:pt>
                <c:pt idx="1">
                  <c:v>0.89366639999999997</c:v>
                </c:pt>
                <c:pt idx="2">
                  <c:v>0.84522090000000005</c:v>
                </c:pt>
                <c:pt idx="3">
                  <c:v>0.72916800000000004</c:v>
                </c:pt>
                <c:pt idx="4">
                  <c:v>0.76222429999999997</c:v>
                </c:pt>
                <c:pt idx="5">
                  <c:v>0.64759670000000003</c:v>
                </c:pt>
                <c:pt idx="6">
                  <c:v>0.65099850000000004</c:v>
                </c:pt>
                <c:pt idx="7">
                  <c:v>0.58292149999999998</c:v>
                </c:pt>
                <c:pt idx="8">
                  <c:v>0.52919620000000001</c:v>
                </c:pt>
                <c:pt idx="9">
                  <c:v>0.59596329999999997</c:v>
                </c:pt>
                <c:pt idx="10">
                  <c:v>0.52420630000000001</c:v>
                </c:pt>
                <c:pt idx="11">
                  <c:v>0.43899909999999998</c:v>
                </c:pt>
                <c:pt idx="12">
                  <c:v>0.50369640000000004</c:v>
                </c:pt>
                <c:pt idx="13">
                  <c:v>0.48383910000000002</c:v>
                </c:pt>
                <c:pt idx="14">
                  <c:v>0.44978030000000002</c:v>
                </c:pt>
                <c:pt idx="15">
                  <c:v>0.40587649999999997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DD3-47C2-8606-C8E85D624E8E}"/>
            </c:ext>
          </c:extLst>
        </c:ser>
        <c:ser>
          <c:idx val="2"/>
          <c:order val="2"/>
          <c:tx>
            <c:strRef>
              <c:f>'07202020'!$D$21</c:f>
              <c:strCache>
                <c:ptCount val="1"/>
                <c:pt idx="0">
                  <c:v>Staffing Committee (% change: -50%)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'07202020'!$A$22:$A$37</c:f>
              <c:numCache>
                <c:formatCode>General</c:formatCode>
                <c:ptCount val="16"/>
                <c:pt idx="0">
                  <c:v>2003</c:v>
                </c:pt>
                <c:pt idx="2">
                  <c:v>2005</c:v>
                </c:pt>
                <c:pt idx="4">
                  <c:v>2007</c:v>
                </c:pt>
                <c:pt idx="6">
                  <c:v>2009</c:v>
                </c:pt>
                <c:pt idx="8">
                  <c:v>2011</c:v>
                </c:pt>
                <c:pt idx="10">
                  <c:v>2013</c:v>
                </c:pt>
                <c:pt idx="12">
                  <c:v>2015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'07202020'!$D$22:$D$37</c:f>
              <c:numCache>
                <c:formatCode>General</c:formatCode>
                <c:ptCount val="16"/>
                <c:pt idx="0">
                  <c:v>1.279512</c:v>
                </c:pt>
                <c:pt idx="1">
                  <c:v>1.2432719999999999</c:v>
                </c:pt>
                <c:pt idx="2">
                  <c:v>1.244121</c:v>
                </c:pt>
                <c:pt idx="3">
                  <c:v>1.1720699999999999</c:v>
                </c:pt>
                <c:pt idx="4">
                  <c:v>1.10809</c:v>
                </c:pt>
                <c:pt idx="5">
                  <c:v>1.0941320000000001</c:v>
                </c:pt>
                <c:pt idx="6">
                  <c:v>1.0571200000000001</c:v>
                </c:pt>
                <c:pt idx="7">
                  <c:v>0.98992150000000001</c:v>
                </c:pt>
                <c:pt idx="8">
                  <c:v>0.9352819</c:v>
                </c:pt>
                <c:pt idx="9">
                  <c:v>0.9102652</c:v>
                </c:pt>
                <c:pt idx="10">
                  <c:v>0.79368150000000004</c:v>
                </c:pt>
                <c:pt idx="11">
                  <c:v>0.761548</c:v>
                </c:pt>
                <c:pt idx="12">
                  <c:v>0.73142700000000005</c:v>
                </c:pt>
                <c:pt idx="13">
                  <c:v>0.74524509999999999</c:v>
                </c:pt>
                <c:pt idx="14">
                  <c:v>0.6771414</c:v>
                </c:pt>
                <c:pt idx="15">
                  <c:v>0.64150680000000004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DD3-47C2-8606-C8E85D624E8E}"/>
            </c:ext>
          </c:extLst>
        </c:ser>
        <c:ser>
          <c:idx val="3"/>
          <c:order val="3"/>
          <c:tx>
            <c:strRef>
              <c:f>'07202020'!$E$21</c:f>
              <c:strCache>
                <c:ptCount val="1"/>
                <c:pt idx="0">
                  <c:v>Public Reporting (% change: -42%)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'07202020'!$A$22:$A$37</c:f>
              <c:numCache>
                <c:formatCode>General</c:formatCode>
                <c:ptCount val="16"/>
                <c:pt idx="0">
                  <c:v>2003</c:v>
                </c:pt>
                <c:pt idx="2">
                  <c:v>2005</c:v>
                </c:pt>
                <c:pt idx="4">
                  <c:v>2007</c:v>
                </c:pt>
                <c:pt idx="6">
                  <c:v>2009</c:v>
                </c:pt>
                <c:pt idx="8">
                  <c:v>2011</c:v>
                </c:pt>
                <c:pt idx="10">
                  <c:v>2013</c:v>
                </c:pt>
                <c:pt idx="12">
                  <c:v>2015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'07202020'!$E$22:$E$37</c:f>
              <c:numCache>
                <c:formatCode>General</c:formatCode>
                <c:ptCount val="16"/>
                <c:pt idx="0">
                  <c:v>0.54486469999999998</c:v>
                </c:pt>
                <c:pt idx="1">
                  <c:v>0.54166449999999999</c:v>
                </c:pt>
                <c:pt idx="2">
                  <c:v>0.49323329999999999</c:v>
                </c:pt>
                <c:pt idx="3">
                  <c:v>0.533771</c:v>
                </c:pt>
                <c:pt idx="4">
                  <c:v>0.47845490000000002</c:v>
                </c:pt>
                <c:pt idx="5">
                  <c:v>0.44874190000000003</c:v>
                </c:pt>
                <c:pt idx="6">
                  <c:v>0.42177379999999998</c:v>
                </c:pt>
                <c:pt idx="7">
                  <c:v>0.4308535</c:v>
                </c:pt>
                <c:pt idx="8">
                  <c:v>0.43359730000000002</c:v>
                </c:pt>
                <c:pt idx="9">
                  <c:v>0.39248830000000001</c:v>
                </c:pt>
                <c:pt idx="10">
                  <c:v>0.35562660000000001</c:v>
                </c:pt>
                <c:pt idx="11">
                  <c:v>0.38372139999999999</c:v>
                </c:pt>
                <c:pt idx="12">
                  <c:v>0.36072130000000002</c:v>
                </c:pt>
                <c:pt idx="13">
                  <c:v>0.30036400000000002</c:v>
                </c:pt>
                <c:pt idx="14">
                  <c:v>0.31388389999999999</c:v>
                </c:pt>
                <c:pt idx="15">
                  <c:v>0.31624409999999997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DD3-47C2-8606-C8E85D624E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51733320"/>
        <c:axId val="551736600"/>
      </c:lineChart>
      <c:catAx>
        <c:axId val="55173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51736600"/>
        <c:crosses val="autoZero"/>
        <c:auto val="1"/>
        <c:lblAlgn val="ctr"/>
        <c:lblOffset val="100"/>
        <c:noMultiLvlLbl val="0"/>
      </c:catAx>
      <c:valAx>
        <c:axId val="551736600"/>
        <c:scaling>
          <c:orientation val="minMax"/>
          <c:min val="0.3000000000000000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Hours per patient day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5173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7705772140577957"/>
          <c:y val="7.2225998428226384E-2"/>
          <c:w val="0.48960986964456871"/>
          <c:h val="0.237653865225021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323765401866424"/>
          <c:y val="4.2747491759556527E-2"/>
          <c:w val="0.86484389832742592"/>
          <c:h val="0.86710089387239031"/>
        </c:manualLayout>
      </c:layout>
      <c:lineChart>
        <c:grouping val="standard"/>
        <c:varyColors val="0"/>
        <c:ser>
          <c:idx val="0"/>
          <c:order val="0"/>
          <c:tx>
            <c:strRef>
              <c:f>'07202020'!$B$39</c:f>
              <c:strCache>
                <c:ptCount val="1"/>
                <c:pt idx="0">
                  <c:v>No Law (% change from 2003-2018: 38%)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'07202020'!$A$40:$A$55</c:f>
              <c:numCache>
                <c:formatCode>General</c:formatCode>
                <c:ptCount val="16"/>
                <c:pt idx="0">
                  <c:v>2003</c:v>
                </c:pt>
                <c:pt idx="2">
                  <c:v>2005</c:v>
                </c:pt>
                <c:pt idx="4">
                  <c:v>2007</c:v>
                </c:pt>
                <c:pt idx="6">
                  <c:v>2009</c:v>
                </c:pt>
                <c:pt idx="8">
                  <c:v>2011</c:v>
                </c:pt>
                <c:pt idx="10">
                  <c:v>2013</c:v>
                </c:pt>
                <c:pt idx="12">
                  <c:v>2015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'07202020'!$B$40:$B$55</c:f>
              <c:numCache>
                <c:formatCode>0.000</c:formatCode>
                <c:ptCount val="16"/>
                <c:pt idx="0">
                  <c:v>1.422655</c:v>
                </c:pt>
                <c:pt idx="1">
                  <c:v>1.5232520000000001</c:v>
                </c:pt>
                <c:pt idx="2">
                  <c:v>1.6053500000000001</c:v>
                </c:pt>
                <c:pt idx="3">
                  <c:v>1.856266</c:v>
                </c:pt>
                <c:pt idx="4">
                  <c:v>1.8739520000000001</c:v>
                </c:pt>
                <c:pt idx="5">
                  <c:v>1.844549</c:v>
                </c:pt>
                <c:pt idx="6">
                  <c:v>1.876552</c:v>
                </c:pt>
                <c:pt idx="7">
                  <c:v>1.8589199999999999</c:v>
                </c:pt>
                <c:pt idx="8">
                  <c:v>1.85466</c:v>
                </c:pt>
                <c:pt idx="9">
                  <c:v>1.915689</c:v>
                </c:pt>
                <c:pt idx="10">
                  <c:v>1.8713390000000001</c:v>
                </c:pt>
                <c:pt idx="11">
                  <c:v>1.8460399999999999</c:v>
                </c:pt>
                <c:pt idx="12">
                  <c:v>1.8840429999999999</c:v>
                </c:pt>
                <c:pt idx="13">
                  <c:v>1.934706</c:v>
                </c:pt>
                <c:pt idx="14">
                  <c:v>1.94974</c:v>
                </c:pt>
                <c:pt idx="15">
                  <c:v>1.968499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711-4D74-84EA-28B851BA2314}"/>
            </c:ext>
          </c:extLst>
        </c:ser>
        <c:ser>
          <c:idx val="1"/>
          <c:order val="1"/>
          <c:tx>
            <c:strRef>
              <c:f>'07202020'!$C$39</c:f>
              <c:strCache>
                <c:ptCount val="1"/>
                <c:pt idx="0">
                  <c:v>Staffing Mandate (% change: 105%)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'07202020'!$A$40:$A$55</c:f>
              <c:numCache>
                <c:formatCode>General</c:formatCode>
                <c:ptCount val="16"/>
                <c:pt idx="0">
                  <c:v>2003</c:v>
                </c:pt>
                <c:pt idx="2">
                  <c:v>2005</c:v>
                </c:pt>
                <c:pt idx="4">
                  <c:v>2007</c:v>
                </c:pt>
                <c:pt idx="6">
                  <c:v>2009</c:v>
                </c:pt>
                <c:pt idx="8">
                  <c:v>2011</c:v>
                </c:pt>
                <c:pt idx="10">
                  <c:v>2013</c:v>
                </c:pt>
                <c:pt idx="12">
                  <c:v>2015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'07202020'!$C$40:$C$55</c:f>
              <c:numCache>
                <c:formatCode>0.000</c:formatCode>
                <c:ptCount val="16"/>
                <c:pt idx="0">
                  <c:v>0.89792300000000003</c:v>
                </c:pt>
                <c:pt idx="1">
                  <c:v>0.83624339999999997</c:v>
                </c:pt>
                <c:pt idx="2">
                  <c:v>0.88437390000000005</c:v>
                </c:pt>
                <c:pt idx="3">
                  <c:v>1.695179</c:v>
                </c:pt>
                <c:pt idx="4">
                  <c:v>1.783588</c:v>
                </c:pt>
                <c:pt idx="5">
                  <c:v>1.780653</c:v>
                </c:pt>
                <c:pt idx="6">
                  <c:v>1.798495</c:v>
                </c:pt>
                <c:pt idx="7">
                  <c:v>1.877664</c:v>
                </c:pt>
                <c:pt idx="8">
                  <c:v>1.837812</c:v>
                </c:pt>
                <c:pt idx="9">
                  <c:v>1.8756710000000001</c:v>
                </c:pt>
                <c:pt idx="10">
                  <c:v>1.7371179999999999</c:v>
                </c:pt>
                <c:pt idx="11">
                  <c:v>1.6810780000000001</c:v>
                </c:pt>
                <c:pt idx="12">
                  <c:v>1.9597100000000001</c:v>
                </c:pt>
                <c:pt idx="13">
                  <c:v>1.8781810000000001</c:v>
                </c:pt>
                <c:pt idx="14">
                  <c:v>1.9275549999999999</c:v>
                </c:pt>
                <c:pt idx="15">
                  <c:v>1.8407849999999999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711-4D74-84EA-28B851BA2314}"/>
            </c:ext>
          </c:extLst>
        </c:ser>
        <c:ser>
          <c:idx val="2"/>
          <c:order val="2"/>
          <c:tx>
            <c:strRef>
              <c:f>'07202020'!$D$39</c:f>
              <c:strCache>
                <c:ptCount val="1"/>
                <c:pt idx="0">
                  <c:v>Staffing Committee (% change: 30%)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'07202020'!$A$40:$A$55</c:f>
              <c:numCache>
                <c:formatCode>General</c:formatCode>
                <c:ptCount val="16"/>
                <c:pt idx="0">
                  <c:v>2003</c:v>
                </c:pt>
                <c:pt idx="2">
                  <c:v>2005</c:v>
                </c:pt>
                <c:pt idx="4">
                  <c:v>2007</c:v>
                </c:pt>
                <c:pt idx="6">
                  <c:v>2009</c:v>
                </c:pt>
                <c:pt idx="8">
                  <c:v>2011</c:v>
                </c:pt>
                <c:pt idx="10">
                  <c:v>2013</c:v>
                </c:pt>
                <c:pt idx="12">
                  <c:v>2015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'07202020'!$D$40:$D$55</c:f>
              <c:numCache>
                <c:formatCode>0.000</c:formatCode>
                <c:ptCount val="16"/>
                <c:pt idx="0">
                  <c:v>1.54209</c:v>
                </c:pt>
                <c:pt idx="1">
                  <c:v>1.6804559999999999</c:v>
                </c:pt>
                <c:pt idx="2">
                  <c:v>1.746148</c:v>
                </c:pt>
                <c:pt idx="3">
                  <c:v>1.8924019999999999</c:v>
                </c:pt>
                <c:pt idx="4">
                  <c:v>1.9226939999999999</c:v>
                </c:pt>
                <c:pt idx="5">
                  <c:v>1.9770160000000001</c:v>
                </c:pt>
                <c:pt idx="6">
                  <c:v>1.9265699999999999</c:v>
                </c:pt>
                <c:pt idx="7">
                  <c:v>1.936075</c:v>
                </c:pt>
                <c:pt idx="8">
                  <c:v>1.9827950000000001</c:v>
                </c:pt>
                <c:pt idx="9">
                  <c:v>2.016384</c:v>
                </c:pt>
                <c:pt idx="10">
                  <c:v>1.984661</c:v>
                </c:pt>
                <c:pt idx="11">
                  <c:v>1.9301619999999999</c:v>
                </c:pt>
                <c:pt idx="12">
                  <c:v>1.983209</c:v>
                </c:pt>
                <c:pt idx="13">
                  <c:v>2.0512299999999999</c:v>
                </c:pt>
                <c:pt idx="14">
                  <c:v>1.9849220000000001</c:v>
                </c:pt>
                <c:pt idx="15">
                  <c:v>1.9977830000000001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711-4D74-84EA-28B851BA2314}"/>
            </c:ext>
          </c:extLst>
        </c:ser>
        <c:ser>
          <c:idx val="3"/>
          <c:order val="3"/>
          <c:tx>
            <c:strRef>
              <c:f>'07202020'!$E$39</c:f>
              <c:strCache>
                <c:ptCount val="1"/>
                <c:pt idx="0">
                  <c:v>Public Reporting (% change: 75%)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'07202020'!$A$40:$A$55</c:f>
              <c:numCache>
                <c:formatCode>General</c:formatCode>
                <c:ptCount val="16"/>
                <c:pt idx="0">
                  <c:v>2003</c:v>
                </c:pt>
                <c:pt idx="2">
                  <c:v>2005</c:v>
                </c:pt>
                <c:pt idx="4">
                  <c:v>2007</c:v>
                </c:pt>
                <c:pt idx="6">
                  <c:v>2009</c:v>
                </c:pt>
                <c:pt idx="8">
                  <c:v>2011</c:v>
                </c:pt>
                <c:pt idx="10">
                  <c:v>2013</c:v>
                </c:pt>
                <c:pt idx="12">
                  <c:v>2015</c:v>
                </c:pt>
                <c:pt idx="14">
                  <c:v>2017</c:v>
                </c:pt>
                <c:pt idx="15">
                  <c:v>2018</c:v>
                </c:pt>
              </c:numCache>
            </c:numRef>
          </c:cat>
          <c:val>
            <c:numRef>
              <c:f>'07202020'!$E$40:$E$55</c:f>
              <c:numCache>
                <c:formatCode>0.000</c:formatCode>
                <c:ptCount val="16"/>
                <c:pt idx="0">
                  <c:v>1.164755</c:v>
                </c:pt>
                <c:pt idx="1">
                  <c:v>1.376295</c:v>
                </c:pt>
                <c:pt idx="2">
                  <c:v>1.4424669999999999</c:v>
                </c:pt>
                <c:pt idx="3">
                  <c:v>1.612209</c:v>
                </c:pt>
                <c:pt idx="4">
                  <c:v>1.7713179999999999</c:v>
                </c:pt>
                <c:pt idx="5">
                  <c:v>1.7566379999999999</c:v>
                </c:pt>
                <c:pt idx="6">
                  <c:v>1.715484</c:v>
                </c:pt>
                <c:pt idx="7">
                  <c:v>1.76461</c:v>
                </c:pt>
                <c:pt idx="8">
                  <c:v>1.7717540000000001</c:v>
                </c:pt>
                <c:pt idx="9">
                  <c:v>1.8107230000000001</c:v>
                </c:pt>
                <c:pt idx="10">
                  <c:v>1.7463219999999999</c:v>
                </c:pt>
                <c:pt idx="11">
                  <c:v>1.7329950000000001</c:v>
                </c:pt>
                <c:pt idx="12">
                  <c:v>1.9055759999999999</c:v>
                </c:pt>
                <c:pt idx="13">
                  <c:v>1.84548</c:v>
                </c:pt>
                <c:pt idx="14">
                  <c:v>2.0055860000000001</c:v>
                </c:pt>
                <c:pt idx="15">
                  <c:v>2.0350790000000001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711-4D74-84EA-28B851BA23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6023280"/>
        <c:axId val="406025576"/>
      </c:lineChart>
      <c:catAx>
        <c:axId val="40602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06025576"/>
        <c:crosses val="autoZero"/>
        <c:auto val="1"/>
        <c:lblAlgn val="ctr"/>
        <c:lblOffset val="100"/>
        <c:noMultiLvlLbl val="0"/>
      </c:catAx>
      <c:valAx>
        <c:axId val="406025576"/>
        <c:scaling>
          <c:orientation val="minMax"/>
          <c:min val="0.7000000000000000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Hours per patient day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0602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6051244637344912"/>
          <c:y val="0.47295089495028592"/>
          <c:w val="0.49064168603691255"/>
          <c:h val="0.230452236288143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FC0B5-3EC7-4248-BFC2-4A991D1E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Xinxin Han</dc:creator>
  <cp:keywords/>
  <dc:description/>
  <cp:lastModifiedBy>Xinxin Han</cp:lastModifiedBy>
  <cp:revision>13</cp:revision>
  <cp:lastPrinted>2019-03-08T17:10:00Z</cp:lastPrinted>
  <dcterms:created xsi:type="dcterms:W3CDTF">2021-02-14T05:53:00Z</dcterms:created>
  <dcterms:modified xsi:type="dcterms:W3CDTF">2021-02-18T14:16:00Z</dcterms:modified>
</cp:coreProperties>
</file>