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B715" w14:textId="77777777" w:rsidR="00105FD3" w:rsidRDefault="00105FD3" w:rsidP="00105FD3">
      <w:pPr>
        <w:spacing w:after="240" w:line="240" w:lineRule="auto"/>
      </w:pPr>
      <w:r w:rsidRPr="00105FD3">
        <w:rPr>
          <w:b/>
          <w:bCs/>
        </w:rPr>
        <w:t>Article Title:</w:t>
      </w:r>
      <w:r>
        <w:t xml:space="preserve"> </w:t>
      </w:r>
    </w:p>
    <w:p w14:paraId="695946FD" w14:textId="4B9B7E15" w:rsidR="00105FD3" w:rsidRPr="00105FD3" w:rsidRDefault="00105FD3" w:rsidP="00105FD3">
      <w:pPr>
        <w:spacing w:after="240" w:line="240" w:lineRule="auto"/>
        <w:rPr>
          <w:b/>
        </w:rPr>
      </w:pPr>
      <w:r w:rsidRPr="000A556B">
        <w:t>The Role of Social Risk Factors in Dialysis Quality and Patient Outcomes Under a Medicare Quality Incentive Program</w:t>
      </w:r>
    </w:p>
    <w:p w14:paraId="06D23B4B" w14:textId="2A3197DB" w:rsidR="00245A2C" w:rsidRPr="00105FD3" w:rsidRDefault="00105FD3" w:rsidP="00105FD3">
      <w:pPr>
        <w:spacing w:after="240" w:line="240" w:lineRule="auto"/>
        <w:rPr>
          <w:b/>
        </w:rPr>
      </w:pPr>
      <w:r>
        <w:rPr>
          <w:b/>
        </w:rPr>
        <w:t>Supplemental Material</w:t>
      </w:r>
    </w:p>
    <w:p w14:paraId="752ACAB0" w14:textId="6FB17B40" w:rsidR="00245A2C" w:rsidRPr="00385537" w:rsidRDefault="00245A2C" w:rsidP="00245A2C">
      <w:pPr>
        <w:spacing w:after="0"/>
      </w:pPr>
      <w:r>
        <w:t>Exhibit A1</w:t>
      </w:r>
      <w:r w:rsidRPr="00FD2969">
        <w:t>.</w:t>
      </w:r>
      <w:r>
        <w:t xml:space="preserve"> Mean of Dialysis Quality Measures for Select Patient Groups During Years When Each Outcome Is and Is Not Included in the ESRD QIP</w:t>
      </w:r>
      <w:r w:rsidRPr="00FD2969">
        <w:t xml:space="preserve">, </w:t>
      </w:r>
      <w:r>
        <w:t xml:space="preserve">Calendar Years </w:t>
      </w:r>
      <w:r w:rsidRPr="00FD2969">
        <w:t>201</w:t>
      </w:r>
      <w:r>
        <w:t>0–</w:t>
      </w:r>
      <w:r w:rsidRPr="00FD2969">
        <w:t>20</w:t>
      </w:r>
      <w:r>
        <w:t>18</w:t>
      </w:r>
    </w:p>
    <w:tbl>
      <w:tblPr>
        <w:tblStyle w:val="InsightTable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522"/>
        <w:gridCol w:w="623"/>
        <w:gridCol w:w="721"/>
        <w:gridCol w:w="635"/>
        <w:gridCol w:w="807"/>
        <w:gridCol w:w="631"/>
        <w:gridCol w:w="719"/>
        <w:gridCol w:w="629"/>
        <w:gridCol w:w="721"/>
        <w:gridCol w:w="631"/>
        <w:gridCol w:w="721"/>
      </w:tblGrid>
      <w:tr w:rsidR="00245A2C" w:rsidRPr="00295C7C" w14:paraId="59EE460C" w14:textId="77777777" w:rsidTr="003B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  <w:tblHeader/>
        </w:trPr>
        <w:tc>
          <w:tcPr>
            <w:tcW w:w="1347" w:type="pct"/>
            <w:tcBorders>
              <w:top w:val="single" w:sz="8" w:space="0" w:color="auto"/>
              <w:bottom w:val="single" w:sz="8" w:space="0" w:color="auto"/>
            </w:tcBorders>
          </w:tcPr>
          <w:p w14:paraId="05AEA5AC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ESRD QIP Measures</w:t>
            </w:r>
          </w:p>
        </w:tc>
        <w:tc>
          <w:tcPr>
            <w:tcW w:w="718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1661F9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All ESRD Patients</w:t>
            </w:r>
          </w:p>
        </w:tc>
        <w:tc>
          <w:tcPr>
            <w:tcW w:w="77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DB9408F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Black</w:t>
            </w:r>
          </w:p>
        </w:tc>
        <w:tc>
          <w:tcPr>
            <w:tcW w:w="72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6EE8325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Hispanic</w:t>
            </w:r>
          </w:p>
        </w:tc>
        <w:tc>
          <w:tcPr>
            <w:tcW w:w="72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729EA12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 xml:space="preserve">Dual </w:t>
            </w:r>
            <w: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E</w:t>
            </w: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ligible</w:t>
            </w:r>
          </w:p>
        </w:tc>
        <w:tc>
          <w:tcPr>
            <w:tcW w:w="72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E05A742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Rural</w:t>
            </w:r>
          </w:p>
        </w:tc>
      </w:tr>
      <w:tr w:rsidR="00245A2C" w:rsidRPr="00957E68" w14:paraId="30A45CE5" w14:textId="77777777" w:rsidTr="003B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tcW w:w="1347" w:type="pct"/>
            <w:tcBorders>
              <w:top w:val="single" w:sz="8" w:space="0" w:color="auto"/>
              <w:bottom w:val="nil"/>
            </w:tcBorders>
          </w:tcPr>
          <w:p w14:paraId="2502279B" w14:textId="77777777" w:rsidR="00245A2C" w:rsidRPr="00283526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33" w:type="pct"/>
            <w:tcBorders>
              <w:top w:val="single" w:sz="8" w:space="0" w:color="auto"/>
              <w:bottom w:val="single" w:sz="2" w:space="0" w:color="auto"/>
            </w:tcBorders>
          </w:tcPr>
          <w:p w14:paraId="5EB638B4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2" w:space="0" w:color="auto"/>
            </w:tcBorders>
          </w:tcPr>
          <w:p w14:paraId="0FAA319A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SD</w:t>
            </w:r>
          </w:p>
        </w:tc>
        <w:tc>
          <w:tcPr>
            <w:tcW w:w="339" w:type="pct"/>
            <w:tcBorders>
              <w:top w:val="single" w:sz="8" w:space="0" w:color="auto"/>
              <w:bottom w:val="single" w:sz="2" w:space="0" w:color="auto"/>
            </w:tcBorders>
          </w:tcPr>
          <w:p w14:paraId="0F3D9D1E" w14:textId="77777777" w:rsidR="00245A2C" w:rsidRPr="00283526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431" w:type="pct"/>
            <w:tcBorders>
              <w:top w:val="single" w:sz="8" w:space="0" w:color="auto"/>
              <w:bottom w:val="single" w:sz="2" w:space="0" w:color="auto"/>
            </w:tcBorders>
          </w:tcPr>
          <w:p w14:paraId="49C135E7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SD</w:t>
            </w:r>
          </w:p>
        </w:tc>
        <w:tc>
          <w:tcPr>
            <w:tcW w:w="337" w:type="pct"/>
            <w:tcBorders>
              <w:top w:val="single" w:sz="8" w:space="0" w:color="auto"/>
              <w:bottom w:val="single" w:sz="2" w:space="0" w:color="auto"/>
            </w:tcBorders>
          </w:tcPr>
          <w:p w14:paraId="143DCCFE" w14:textId="77777777" w:rsidR="00245A2C" w:rsidRPr="00283526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384" w:type="pct"/>
            <w:tcBorders>
              <w:top w:val="single" w:sz="8" w:space="0" w:color="auto"/>
              <w:bottom w:val="single" w:sz="2" w:space="0" w:color="auto"/>
            </w:tcBorders>
          </w:tcPr>
          <w:p w14:paraId="21EDD93C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SD</w:t>
            </w:r>
          </w:p>
        </w:tc>
        <w:tc>
          <w:tcPr>
            <w:tcW w:w="336" w:type="pct"/>
            <w:tcBorders>
              <w:top w:val="single" w:sz="8" w:space="0" w:color="auto"/>
              <w:bottom w:val="single" w:sz="2" w:space="0" w:color="auto"/>
            </w:tcBorders>
          </w:tcPr>
          <w:p w14:paraId="3CB385AC" w14:textId="77777777" w:rsidR="00245A2C" w:rsidRPr="00283526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2" w:space="0" w:color="auto"/>
            </w:tcBorders>
          </w:tcPr>
          <w:p w14:paraId="4E1BFE23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SD</w:t>
            </w:r>
          </w:p>
        </w:tc>
        <w:tc>
          <w:tcPr>
            <w:tcW w:w="337" w:type="pct"/>
            <w:tcBorders>
              <w:top w:val="single" w:sz="8" w:space="0" w:color="auto"/>
              <w:bottom w:val="single" w:sz="2" w:space="0" w:color="auto"/>
            </w:tcBorders>
          </w:tcPr>
          <w:p w14:paraId="22F158B6" w14:textId="77777777" w:rsidR="00245A2C" w:rsidRPr="00283526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Mean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2" w:space="0" w:color="auto"/>
            </w:tcBorders>
          </w:tcPr>
          <w:p w14:paraId="1FE50959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SD</w:t>
            </w:r>
          </w:p>
        </w:tc>
      </w:tr>
      <w:tr w:rsidR="003B086A" w:rsidRPr="0032094C" w14:paraId="46BE6437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2C8C948F" w14:textId="1E6EBA22" w:rsidR="003B086A" w:rsidRPr="00A73897" w:rsidRDefault="003B086A" w:rsidP="003B086A">
            <w:pPr>
              <w:rPr>
                <w:rFonts w:eastAsia="Times New Roman" w:cs="Calibri"/>
                <w:bCs/>
                <w:color w:val="000000"/>
                <w:szCs w:val="2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AV fistula use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C03D9" w14:textId="77777777" w:rsidR="003B086A" w:rsidRPr="001209E0" w:rsidRDefault="003B086A" w:rsidP="003B086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C63C4" w14:textId="77777777" w:rsidR="003B086A" w:rsidRPr="00D81AC6" w:rsidRDefault="003B086A" w:rsidP="003B086A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C1810" w14:textId="77777777" w:rsidR="003B086A" w:rsidRPr="001209E0" w:rsidRDefault="003B086A" w:rsidP="003B086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4110D" w14:textId="77777777" w:rsidR="003B086A" w:rsidRPr="00D81AC6" w:rsidDel="00753A85" w:rsidRDefault="003B086A" w:rsidP="003B086A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F07A6" w14:textId="77777777" w:rsidR="003B086A" w:rsidRPr="001209E0" w:rsidRDefault="003B086A" w:rsidP="003B086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542AC" w14:textId="77777777" w:rsidR="003B086A" w:rsidRPr="00D81AC6" w:rsidDel="00753A85" w:rsidRDefault="003B086A" w:rsidP="003B086A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B9261" w14:textId="77777777" w:rsidR="003B086A" w:rsidRPr="001209E0" w:rsidRDefault="003B086A" w:rsidP="003B086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B8188" w14:textId="77777777" w:rsidR="003B086A" w:rsidRPr="00D81AC6" w:rsidDel="003C27DE" w:rsidRDefault="003B086A" w:rsidP="003B086A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526A1" w14:textId="77777777" w:rsidR="003B086A" w:rsidRPr="001209E0" w:rsidRDefault="003B086A" w:rsidP="003B086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E1CD" w14:textId="77777777" w:rsidR="003B086A" w:rsidRPr="00D81AC6" w:rsidDel="003C27DE" w:rsidRDefault="003B086A" w:rsidP="003B086A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B086A" w:rsidRPr="0032094C" w14:paraId="71DD1AD8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11177DCE" w14:textId="0035321D" w:rsidR="003B086A" w:rsidRDefault="003B086A" w:rsidP="003B086A">
            <w:pPr>
              <w:ind w:left="126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Not in ESRD QIP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D4209EC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58.2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983848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(46.5)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57F975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52.5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ADEBBB4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(47.5)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DD3B7F7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64</w:t>
            </w:r>
            <w:r>
              <w:rPr>
                <w:rFonts w:cs="Calibri"/>
                <w:color w:val="000000"/>
                <w:szCs w:val="20"/>
              </w:rPr>
              <w:t>.0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E4554D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(45.1)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4D3F12D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55.9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1D832FA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(46.9)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E285C5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60.2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D6A4B71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(46</w:t>
            </w:r>
            <w:r>
              <w:rPr>
                <w:rFonts w:cs="Calibri"/>
                <w:color w:val="000000"/>
                <w:szCs w:val="20"/>
              </w:rPr>
              <w:t>.0</w:t>
            </w:r>
            <w:r w:rsidRPr="006601E1">
              <w:rPr>
                <w:rFonts w:cs="Calibri"/>
                <w:color w:val="000000"/>
                <w:szCs w:val="20"/>
              </w:rPr>
              <w:t>)</w:t>
            </w:r>
          </w:p>
        </w:tc>
      </w:tr>
      <w:tr w:rsidR="003B086A" w:rsidRPr="0032094C" w14:paraId="36BE6B56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34089609" w14:textId="77777777" w:rsidR="003B086A" w:rsidRDefault="003B086A" w:rsidP="003B086A">
            <w:pPr>
              <w:ind w:left="126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In ESRD QIP </w:t>
            </w:r>
          </w:p>
          <w:p w14:paraId="4A5BC6C8" w14:textId="487098E3" w:rsidR="003B086A" w:rsidRDefault="003B086A" w:rsidP="003B086A">
            <w:pPr>
              <w:ind w:left="126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2014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2020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DE5B94D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63.7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102A63A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(45.6)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DAFBE16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57.9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A1C229D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(47.2)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468CBF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69.6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365578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(43.4)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1DCF5D1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61.9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4CF503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(46.1)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044CFB4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66.1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AE10D0C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(44.6)</w:t>
            </w:r>
          </w:p>
        </w:tc>
      </w:tr>
      <w:tr w:rsidR="003B086A" w:rsidRPr="0032094C" w14:paraId="782160D6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4228A440" w14:textId="5A8CCAAB" w:rsidR="003B086A" w:rsidRPr="00657F1B" w:rsidRDefault="003B086A" w:rsidP="003B086A">
            <w:pPr>
              <w:rPr>
                <w:rFonts w:eastAsia="Times New Roman" w:cs="Calibri"/>
                <w:color w:val="00000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Comprehensive Kt/v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C31F53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398B07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3B5D61C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E3E210" w14:textId="77777777" w:rsidR="003B086A" w:rsidRPr="006601E1" w:rsidDel="00753A85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645D4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B5A2721" w14:textId="77777777" w:rsidR="003B086A" w:rsidRPr="006601E1" w:rsidDel="00753A85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C9C16C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B217D97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EDC12C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BC82431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B086A" w:rsidRPr="0032094C" w14:paraId="2B3D30A8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338CE775" w14:textId="6F524C94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F9834C4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92.2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D2D250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(17.9)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7F392D4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91.8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654BBD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(17.8)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BB5EA82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92.2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CF27629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(18.3)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CABE354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94.4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3CDE97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(13.9)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F340EDD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93.9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B2AFD1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(15.2)</w:t>
            </w:r>
          </w:p>
        </w:tc>
      </w:tr>
      <w:tr w:rsidR="003B086A" w:rsidRPr="0032094C" w14:paraId="31D7C7EB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65805ED1" w14:textId="0A6D02C8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  <w:t xml:space="preserve">       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2019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2020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8C2643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95.8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48ABE1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(12.7)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9AA34DD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95.4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1BB065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(13</w:t>
            </w:r>
            <w:r>
              <w:rPr>
                <w:rFonts w:cs="Calibri"/>
                <w:color w:val="000000"/>
                <w:szCs w:val="20"/>
              </w:rPr>
              <w:t>.0</w:t>
            </w:r>
            <w:r w:rsidRPr="006601E1"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EEDE0A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96.2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6CFA23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(12</w:t>
            </w:r>
            <w:r>
              <w:rPr>
                <w:rFonts w:cs="Calibri"/>
                <w:color w:val="000000"/>
                <w:szCs w:val="20"/>
              </w:rPr>
              <w:t>.0</w:t>
            </w:r>
            <w:r w:rsidRPr="006601E1"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68DBE2A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96.3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C529F8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(11.3)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4E811B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96.6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5FBA437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(11.2)</w:t>
            </w:r>
          </w:p>
        </w:tc>
      </w:tr>
      <w:tr w:rsidR="003B086A" w:rsidRPr="0032094C" w14:paraId="56AC07B2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3E1D5877" w14:textId="788C881D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URR &gt; 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6D79BC2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87F22B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0648E84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CBC4056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CFCE9AD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D9D61CB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9BDA1A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AF070A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51E3B04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3CAD076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B086A" w:rsidRPr="0032094C" w14:paraId="60A11419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20B026C9" w14:textId="60FA5334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0CCAEC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97.3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75B011B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(9.6)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4654B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96.6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A2C6CD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(10.5)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5571EDC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98</w:t>
            </w:r>
            <w:r>
              <w:rPr>
                <w:rFonts w:cs="Calibri"/>
                <w:color w:val="000000"/>
                <w:szCs w:val="20"/>
              </w:rPr>
              <w:t>.0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A47B9B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(8.1)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CAC4227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96.9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7728D2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(10.2)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09D4FA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97.5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06A97D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(9.2)</w:t>
            </w:r>
          </w:p>
        </w:tc>
      </w:tr>
      <w:tr w:rsidR="003B086A" w:rsidRPr="0032094C" w14:paraId="74B65D5B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1E8CEE4F" w14:textId="64C99FF9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  <w:t xml:space="preserve">       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2012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2014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F9EFD68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95.7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16C34C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(12.8)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F329B41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95.3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37ACCF9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(13.3)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9166DC8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96.7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C7E7F46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(11)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BE596AB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95.3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D1E9D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(13.4)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D060259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95.9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A95179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(12.7)</w:t>
            </w:r>
          </w:p>
        </w:tc>
      </w:tr>
      <w:tr w:rsidR="003B086A" w:rsidRPr="0032094C" w14:paraId="6A9985C1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13286F09" w14:textId="0D58019C" w:rsidR="003B086A" w:rsidRPr="00657F1B" w:rsidRDefault="003B086A" w:rsidP="003B086A">
            <w:pPr>
              <w:rPr>
                <w:rFonts w:eastAsia="Times New Roman" w:cs="Calibri"/>
                <w:color w:val="00000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Catheter use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138733B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DA9526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3CC486A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F02C70C" w14:textId="77777777" w:rsidR="003B086A" w:rsidRPr="006601E1" w:rsidDel="00753A85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89B0E92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F8AD094" w14:textId="77777777" w:rsidR="003B086A" w:rsidRPr="006601E1" w:rsidDel="00753A85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B7099E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9CE02F9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F54D72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4CFFFE9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B086A" w:rsidRPr="0032094C" w14:paraId="72B7CF86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1EAD1D8C" w14:textId="06A1F1F6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25354E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13.9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1EE1CD6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(31.2)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6D4E049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13.2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FAD203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(30.5)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FBAE58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.0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0055C2B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(28.1)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8ADA074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14.7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7F1833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(32</w:t>
            </w:r>
            <w:r>
              <w:rPr>
                <w:rFonts w:cs="Calibri"/>
                <w:color w:val="000000"/>
                <w:szCs w:val="20"/>
              </w:rPr>
              <w:t>.0</w:t>
            </w:r>
            <w:r w:rsidRPr="006601E1"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744C7F4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13.5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4B79ABA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(30.7)</w:t>
            </w:r>
          </w:p>
        </w:tc>
      </w:tr>
      <w:tr w:rsidR="003B086A" w:rsidRPr="0032094C" w14:paraId="236E1B63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10A12E7C" w14:textId="688B1131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  <w:t xml:space="preserve">       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2014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2020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281069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11.1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AE79E62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(28.4)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2B3FE47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10.6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E2EBA3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(27.8)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1A9BFD2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9.2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830A2D9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(26</w:t>
            </w:r>
            <w:r>
              <w:rPr>
                <w:rFonts w:cs="Calibri"/>
                <w:color w:val="000000"/>
                <w:szCs w:val="20"/>
              </w:rPr>
              <w:t>.0</w:t>
            </w:r>
            <w:r w:rsidRPr="006601E1"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CE42437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11.8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74E3377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(29.2)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191BC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10.6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44B2F9B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(27.6)</w:t>
            </w:r>
          </w:p>
        </w:tc>
      </w:tr>
      <w:tr w:rsidR="003B086A" w:rsidRPr="0032094C" w14:paraId="380AAE5B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521D62C8" w14:textId="66104B1A" w:rsidR="003B086A" w:rsidRPr="00657F1B" w:rsidRDefault="003B086A" w:rsidP="003B086A">
            <w:pPr>
              <w:rPr>
                <w:rFonts w:eastAsia="Times New Roman" w:cs="Calibri"/>
                <w:color w:val="00000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Hgb &gt; 12 g/dL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C6366E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6E7F8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61E79CA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A3312DF" w14:textId="77777777" w:rsidR="003B086A" w:rsidRPr="006601E1" w:rsidDel="00753A85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467E2B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0711098" w14:textId="77777777" w:rsidR="003B086A" w:rsidRPr="006601E1" w:rsidDel="00753A85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C96851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57B9B97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20CD588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68AEE7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B086A" w:rsidRPr="0032094C" w14:paraId="6EFC127C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0CCFBC1E" w14:textId="0FC19961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8708352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3.9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F6AB20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(8.6)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B3BF309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3.9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5E760DC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(8.3)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87BA16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9ECB3B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(9</w:t>
            </w:r>
            <w:r>
              <w:rPr>
                <w:rFonts w:cs="Calibri"/>
                <w:color w:val="000000"/>
                <w:szCs w:val="20"/>
              </w:rPr>
              <w:t>.0</w:t>
            </w:r>
            <w:r w:rsidRPr="006601E1"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8B6E9D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C34C034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(8.7)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EBE7D76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3.7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CDFC101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(8.3)</w:t>
            </w:r>
          </w:p>
        </w:tc>
      </w:tr>
      <w:tr w:rsidR="003B086A" w:rsidRPr="0032094C" w14:paraId="490FF226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575E180E" w14:textId="7380A46D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  <w:t xml:space="preserve">       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2012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2016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FCDB869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10.7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228807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(15.4)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6D62E47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10.6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1BA1EBA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(15.1)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C39A39B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11.5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A464994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(15.9)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5816531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10.8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013EC02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(15.3)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751CF1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11.1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88247F9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(15.8)</w:t>
            </w:r>
          </w:p>
        </w:tc>
      </w:tr>
      <w:tr w:rsidR="003B086A" w:rsidRPr="0032094C" w14:paraId="1FDE6AD3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03C97BB8" w14:textId="511696CB" w:rsidR="003B086A" w:rsidRPr="00A73897" w:rsidRDefault="003B086A" w:rsidP="003B086A">
            <w:pPr>
              <w:rPr>
                <w:rFonts w:eastAsia="Times New Roman" w:cs="Calibri"/>
                <w:bCs/>
                <w:color w:val="000000"/>
                <w:szCs w:val="2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Hypercalcemia &gt; 10.2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39BE22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E3F3D91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B29D04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E26E25E" w14:textId="77777777" w:rsidR="003B086A" w:rsidRPr="006601E1" w:rsidDel="00753A85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4C7160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4A5CBC3" w14:textId="77777777" w:rsidR="003B086A" w:rsidRPr="006601E1" w:rsidDel="00753A85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786C5EA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863862F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D1FB3A8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43C142A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B086A" w:rsidRPr="0032094C" w14:paraId="0F77A76A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32B4D2C8" w14:textId="27CF8073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E0709FD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F1705C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(9.7)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1448498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2.6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C9F9FFE" w14:textId="77777777" w:rsidR="003B086A" w:rsidRPr="006601E1" w:rsidDel="00753A85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(10.7)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2C9DF3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1.8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5860CB0" w14:textId="77777777" w:rsidR="003B086A" w:rsidRPr="006601E1" w:rsidDel="00753A85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(8.9)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2A19A7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CB0DCD1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(9.5)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814203B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7255D44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(11</w:t>
            </w:r>
            <w:r>
              <w:rPr>
                <w:rFonts w:cs="Calibri"/>
                <w:color w:val="000000"/>
                <w:szCs w:val="20"/>
              </w:rPr>
              <w:t>.0</w:t>
            </w:r>
            <w:r w:rsidRPr="006601E1">
              <w:rPr>
                <w:rFonts w:cs="Calibri"/>
                <w:color w:val="000000"/>
                <w:szCs w:val="20"/>
              </w:rPr>
              <w:t>)</w:t>
            </w:r>
          </w:p>
        </w:tc>
      </w:tr>
      <w:tr w:rsidR="003B086A" w:rsidRPr="0032094C" w14:paraId="292E55C5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7C5E3956" w14:textId="5E11D1C9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  <w:t xml:space="preserve">       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2016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2020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5CAA269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9C56DE4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(6.5)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156BD6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1.2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D6F0CC" w14:textId="77777777" w:rsidR="003B086A" w:rsidRPr="006601E1" w:rsidDel="00753A85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(6.8)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6E085EC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.0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E7E70F8" w14:textId="77777777" w:rsidR="003B086A" w:rsidRPr="006601E1" w:rsidDel="00753A85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(6.2)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3C0C9D1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60B03D0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(6.5)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F9DEE79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8D25C5E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(6.5)</w:t>
            </w:r>
          </w:p>
        </w:tc>
      </w:tr>
      <w:tr w:rsidR="003B086A" w:rsidRPr="0032094C" w14:paraId="241CEA40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719D3550" w14:textId="50F1ABE8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Unplanned 30-day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80295E">
              <w:rPr>
                <w:rFonts w:cs="Calibri"/>
                <w:b/>
                <w:bCs/>
                <w:color w:val="000000"/>
                <w:szCs w:val="20"/>
              </w:rPr>
              <w:t>readmissions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7133A98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7BBAEDC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301F5C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F300CED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16CA75A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05D1DE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F52256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D72AB00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3170820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59F8779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B086A" w:rsidRPr="0032094C" w14:paraId="2D100485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0453630F" w14:textId="1C0691F8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E0BE6B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28.6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99E6054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(30</w:t>
            </w:r>
            <w:r>
              <w:rPr>
                <w:rFonts w:cs="Calibri"/>
                <w:color w:val="000000"/>
                <w:szCs w:val="20"/>
              </w:rPr>
              <w:t>.0</w:t>
            </w:r>
            <w:r w:rsidRPr="006601E1"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BE267A8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29.6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7AF7CA9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(30.1)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24E371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27.3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DA32837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(29.4)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74ACA27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30.8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B3A23E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(30.2)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07FC70E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25.9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044D22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(29.4)</w:t>
            </w:r>
          </w:p>
        </w:tc>
      </w:tr>
      <w:tr w:rsidR="003B086A" w:rsidRPr="0032094C" w14:paraId="2A11D0AA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5A8A1CC2" w14:textId="6E7BFB1A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  <w:t xml:space="preserve">      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2017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2020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F7E326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28</w:t>
            </w:r>
            <w:r>
              <w:rPr>
                <w:rFonts w:cs="Calibri"/>
                <w:color w:val="000000"/>
                <w:szCs w:val="20"/>
              </w:rPr>
              <w:t>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7600018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(29.9)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8F0639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.0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28C37D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(30.1)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BE0580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26.2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89D87D8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(29.2)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E711CA6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464C21A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(30.2)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8774951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25.4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3449B96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(29.4)</w:t>
            </w:r>
          </w:p>
        </w:tc>
      </w:tr>
      <w:tr w:rsidR="003B086A" w:rsidRPr="0032094C" w14:paraId="6E005B22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087ED750" w14:textId="7D5008AC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Transfusions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516CB78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6885EE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8AED456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14B517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37428F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A557901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C10084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E1B9C96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452F0E5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CF06931" w14:textId="77777777" w:rsidR="003B086A" w:rsidRPr="006601E1" w:rsidDel="003C27DE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B086A" w:rsidRPr="0032094C" w14:paraId="5D8CBF15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nil"/>
              <w:right w:val="nil"/>
            </w:tcBorders>
          </w:tcPr>
          <w:p w14:paraId="1EB51B7E" w14:textId="294B9FB0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4EC793B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EF398B7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(13.8)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236548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954E99F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(13.3)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993764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92D091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(12</w:t>
            </w:r>
            <w:r>
              <w:rPr>
                <w:rFonts w:cs="Calibri"/>
                <w:color w:val="000000"/>
                <w:szCs w:val="20"/>
              </w:rPr>
              <w:t>.0</w:t>
            </w:r>
            <w:r w:rsidRPr="006601E1"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FC1760B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BDA459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(13.5)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FAB5651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B1B3352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(14.3)</w:t>
            </w:r>
          </w:p>
        </w:tc>
      </w:tr>
      <w:tr w:rsidR="003B086A" w:rsidRPr="0032094C" w14:paraId="321C0C90" w14:textId="77777777" w:rsidTr="003B086A">
        <w:trPr>
          <w:trHeight w:val="259"/>
        </w:trPr>
        <w:tc>
          <w:tcPr>
            <w:tcW w:w="1347" w:type="pct"/>
            <w:tcBorders>
              <w:top w:val="nil"/>
              <w:bottom w:val="single" w:sz="4" w:space="0" w:color="auto"/>
              <w:right w:val="nil"/>
            </w:tcBorders>
          </w:tcPr>
          <w:p w14:paraId="7B8B70DA" w14:textId="282E1A50" w:rsidR="003B086A" w:rsidRDefault="003B086A" w:rsidP="003B086A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  <w:t xml:space="preserve">       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2018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2020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2F754E7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24EE040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(13.9)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66FDCE9D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31EC554C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(13.7)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52910C8A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3.5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219AF25C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(11.7)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5050804C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3B56CB63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(13.5)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0BC55E66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2DC322D5" w14:textId="77777777" w:rsidR="003B086A" w:rsidRPr="006601E1" w:rsidRDefault="003B086A" w:rsidP="003B086A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(14.3)</w:t>
            </w:r>
          </w:p>
        </w:tc>
      </w:tr>
    </w:tbl>
    <w:p w14:paraId="791AB937" w14:textId="77777777" w:rsidR="00245A2C" w:rsidRDefault="00245A2C" w:rsidP="00245A2C">
      <w:pPr>
        <w:spacing w:after="0" w:line="240" w:lineRule="auto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 xml:space="preserve">Note: PY corresponds to the ESRD QIP performance period in the calendar year 2 years earlier. For example, PY 2012 corresponds to the performance and calendar year 2010. </w:t>
      </w:r>
    </w:p>
    <w:p w14:paraId="11406912" w14:textId="77777777" w:rsidR="00245A2C" w:rsidRDefault="00245A2C" w:rsidP="00245A2C">
      <w:pPr>
        <w:spacing w:after="0" w:line="240" w:lineRule="auto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>AV =</w:t>
      </w:r>
      <w:r>
        <w:t xml:space="preserve"> </w:t>
      </w:r>
      <w:r>
        <w:rPr>
          <w:rFonts w:eastAsia="Times New Roman" w:cs="Calibri"/>
          <w:color w:val="000000"/>
          <w:sz w:val="18"/>
          <w:szCs w:val="18"/>
        </w:rPr>
        <w:t>ar</w:t>
      </w:r>
      <w:r w:rsidRPr="00684683">
        <w:rPr>
          <w:rFonts w:eastAsia="Times New Roman" w:cs="Calibri"/>
          <w:color w:val="000000"/>
          <w:sz w:val="18"/>
          <w:szCs w:val="18"/>
        </w:rPr>
        <w:t>teriovenous</w:t>
      </w:r>
      <w:r>
        <w:rPr>
          <w:rFonts w:eastAsia="Times New Roman" w:cs="Calibri"/>
          <w:color w:val="000000"/>
          <w:sz w:val="18"/>
          <w:szCs w:val="18"/>
        </w:rPr>
        <w:t xml:space="preserve">; ESRD = end-stage renal disease; Hgb = hemoglobin; QIP = Quality Improvement Program; PY = ESRD payment year </w:t>
      </w:r>
    </w:p>
    <w:p w14:paraId="6F0B9534" w14:textId="77777777" w:rsidR="00245A2C" w:rsidRPr="006601E1" w:rsidDel="003C27DE" w:rsidRDefault="00245A2C" w:rsidP="00245A2C">
      <w:pPr>
        <w:spacing w:after="0" w:line="240" w:lineRule="auto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 xml:space="preserve">Sources: CROWNWeb data, </w:t>
      </w:r>
      <w:r w:rsidRPr="0013450D">
        <w:rPr>
          <w:rFonts w:eastAsia="Times New Roman" w:cstheme="minorHAnsi"/>
          <w:color w:val="000000"/>
          <w:sz w:val="18"/>
          <w:szCs w:val="18"/>
        </w:rPr>
        <w:t>CMS Dialysis Facility Compare</w:t>
      </w:r>
      <w:r>
        <w:rPr>
          <w:rFonts w:eastAsia="Times New Roman" w:cs="Calibri"/>
          <w:color w:val="000000"/>
          <w:sz w:val="18"/>
          <w:szCs w:val="18"/>
        </w:rPr>
        <w:t>, and Medicare claims.</w:t>
      </w:r>
    </w:p>
    <w:p w14:paraId="0ADE6E00" w14:textId="7131C515" w:rsidR="00245A2C" w:rsidRDefault="00245A2C" w:rsidP="00245A2C">
      <w:pPr>
        <w:sectPr w:rsidR="00245A2C" w:rsidSect="00A359E8"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22EA715" w14:textId="77777777" w:rsidR="00245A2C" w:rsidRPr="00385537" w:rsidRDefault="00245A2C" w:rsidP="00245A2C">
      <w:pPr>
        <w:spacing w:after="0" w:line="240" w:lineRule="auto"/>
      </w:pPr>
      <w:r>
        <w:lastRenderedPageBreak/>
        <w:t>Exhibit A2</w:t>
      </w:r>
      <w:r w:rsidRPr="00FD2969">
        <w:t>.</w:t>
      </w:r>
      <w:r>
        <w:t xml:space="preserve"> Mean of Dialysis Quality Measures by ESRD </w:t>
      </w:r>
      <w:r w:rsidRPr="00FD2969">
        <w:t>Patient Characteristic</w:t>
      </w:r>
      <w:r>
        <w:t xml:space="preserve"> for Years When Each Outcome Is and Is Not Included in the ESRD QIP</w:t>
      </w:r>
      <w:r w:rsidRPr="00FD2969">
        <w:t xml:space="preserve">, </w:t>
      </w:r>
      <w:r>
        <w:t xml:space="preserve">Calendar Years </w:t>
      </w:r>
      <w:r w:rsidRPr="00FD2969">
        <w:t>201</w:t>
      </w:r>
      <w:r>
        <w:t>0–</w:t>
      </w:r>
      <w:r w:rsidRPr="00FD2969">
        <w:t>20</w:t>
      </w:r>
      <w:r>
        <w:t>18</w:t>
      </w:r>
    </w:p>
    <w:tbl>
      <w:tblPr>
        <w:tblStyle w:val="InsightTable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519"/>
        <w:gridCol w:w="811"/>
        <w:gridCol w:w="811"/>
        <w:gridCol w:w="943"/>
        <w:gridCol w:w="947"/>
        <w:gridCol w:w="766"/>
        <w:gridCol w:w="857"/>
        <w:gridCol w:w="856"/>
        <w:gridCol w:w="850"/>
      </w:tblGrid>
      <w:tr w:rsidR="00245A2C" w:rsidRPr="00295C7C" w14:paraId="3DDEB038" w14:textId="77777777" w:rsidTr="00FF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  <w:tblHeader/>
        </w:trPr>
        <w:tc>
          <w:tcPr>
            <w:tcW w:w="1346" w:type="pct"/>
            <w:tcBorders>
              <w:top w:val="single" w:sz="8" w:space="0" w:color="auto"/>
              <w:bottom w:val="single" w:sz="8" w:space="0" w:color="auto"/>
            </w:tcBorders>
          </w:tcPr>
          <w:p w14:paraId="22CC8322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ESRD QIP Measures</w:t>
            </w:r>
          </w:p>
        </w:tc>
        <w:tc>
          <w:tcPr>
            <w:tcW w:w="866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ACF732A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Race</w:t>
            </w:r>
          </w:p>
        </w:tc>
        <w:tc>
          <w:tcPr>
            <w:tcW w:w="101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381D47F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Ethnicity</w:t>
            </w:r>
          </w:p>
        </w:tc>
        <w:tc>
          <w:tcPr>
            <w:tcW w:w="866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6C1D57E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 xml:space="preserve">Dual </w:t>
            </w:r>
            <w: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E</w:t>
            </w: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ligible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52815F2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Rural</w:t>
            </w:r>
          </w:p>
        </w:tc>
      </w:tr>
      <w:tr w:rsidR="00245A2C" w:rsidRPr="00957E68" w14:paraId="30BF47CF" w14:textId="77777777" w:rsidTr="00FF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tcW w:w="1346" w:type="pct"/>
            <w:tcBorders>
              <w:top w:val="single" w:sz="8" w:space="0" w:color="auto"/>
              <w:bottom w:val="nil"/>
            </w:tcBorders>
          </w:tcPr>
          <w:p w14:paraId="231B1CE0" w14:textId="77777777" w:rsidR="00245A2C" w:rsidRPr="00303EA5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33" w:type="pct"/>
            <w:tcBorders>
              <w:top w:val="single" w:sz="8" w:space="0" w:color="auto"/>
              <w:bottom w:val="single" w:sz="2" w:space="0" w:color="auto"/>
            </w:tcBorders>
          </w:tcPr>
          <w:p w14:paraId="622F909E" w14:textId="77777777" w:rsidR="00245A2C" w:rsidRPr="00303EA5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Black</w:t>
            </w:r>
          </w:p>
        </w:tc>
        <w:tc>
          <w:tcPr>
            <w:tcW w:w="433" w:type="pct"/>
            <w:tcBorders>
              <w:top w:val="single" w:sz="8" w:space="0" w:color="auto"/>
              <w:bottom w:val="single" w:sz="2" w:space="0" w:color="auto"/>
            </w:tcBorders>
          </w:tcPr>
          <w:p w14:paraId="55CBF608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White</w:t>
            </w:r>
          </w:p>
        </w:tc>
        <w:tc>
          <w:tcPr>
            <w:tcW w:w="504" w:type="pct"/>
            <w:tcBorders>
              <w:top w:val="single" w:sz="8" w:space="0" w:color="auto"/>
              <w:bottom w:val="single" w:sz="2" w:space="0" w:color="auto"/>
            </w:tcBorders>
          </w:tcPr>
          <w:p w14:paraId="0CAA7BAF" w14:textId="77777777" w:rsidR="00245A2C" w:rsidRPr="00303EA5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Hispanic</w:t>
            </w:r>
          </w:p>
        </w:tc>
        <w:tc>
          <w:tcPr>
            <w:tcW w:w="506" w:type="pct"/>
            <w:tcBorders>
              <w:top w:val="single" w:sz="8" w:space="0" w:color="auto"/>
              <w:bottom w:val="single" w:sz="2" w:space="0" w:color="auto"/>
            </w:tcBorders>
          </w:tcPr>
          <w:p w14:paraId="035795D6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Non-Hispanic</w:t>
            </w:r>
          </w:p>
        </w:tc>
        <w:tc>
          <w:tcPr>
            <w:tcW w:w="409" w:type="pct"/>
            <w:tcBorders>
              <w:top w:val="single" w:sz="8" w:space="0" w:color="auto"/>
              <w:bottom w:val="single" w:sz="2" w:space="0" w:color="auto"/>
            </w:tcBorders>
          </w:tcPr>
          <w:p w14:paraId="521BDB21" w14:textId="77777777" w:rsidR="00245A2C" w:rsidRPr="00303EA5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Dual</w:t>
            </w:r>
          </w:p>
        </w:tc>
        <w:tc>
          <w:tcPr>
            <w:tcW w:w="458" w:type="pct"/>
            <w:tcBorders>
              <w:top w:val="single" w:sz="8" w:space="0" w:color="auto"/>
              <w:bottom w:val="single" w:sz="2" w:space="0" w:color="auto"/>
            </w:tcBorders>
          </w:tcPr>
          <w:p w14:paraId="11B25729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Non-Dual</w:t>
            </w:r>
          </w:p>
        </w:tc>
        <w:tc>
          <w:tcPr>
            <w:tcW w:w="457" w:type="pct"/>
            <w:tcBorders>
              <w:top w:val="single" w:sz="8" w:space="0" w:color="auto"/>
              <w:bottom w:val="single" w:sz="2" w:space="0" w:color="auto"/>
            </w:tcBorders>
          </w:tcPr>
          <w:p w14:paraId="01C66F07" w14:textId="77777777" w:rsidR="00245A2C" w:rsidRPr="00303EA5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Rural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2" w:space="0" w:color="auto"/>
            </w:tcBorders>
          </w:tcPr>
          <w:p w14:paraId="349E1CAF" w14:textId="77777777" w:rsidR="00245A2C" w:rsidRPr="00913EDD" w:rsidRDefault="00245A2C" w:rsidP="00FF219D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913EDD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Urban</w:t>
            </w:r>
          </w:p>
        </w:tc>
      </w:tr>
      <w:tr w:rsidR="00245A2C" w:rsidRPr="0032094C" w14:paraId="7357DD9B" w14:textId="77777777" w:rsidTr="00FF219D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35329FB3" w14:textId="77777777" w:rsidR="00245A2C" w:rsidRPr="0080295E" w:rsidRDefault="00245A2C" w:rsidP="00FF219D">
            <w:pPr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AV fistula use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56526" w14:textId="77777777" w:rsidR="00245A2C" w:rsidRPr="001209E0" w:rsidRDefault="00245A2C" w:rsidP="00FF219D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65BD1" w14:textId="77777777" w:rsidR="00245A2C" w:rsidRPr="00D81AC6" w:rsidDel="00753A85" w:rsidRDefault="00245A2C" w:rsidP="00FF219D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D21E3" w14:textId="77777777" w:rsidR="00245A2C" w:rsidRPr="001209E0" w:rsidRDefault="00245A2C" w:rsidP="00FF219D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9EDD0" w14:textId="77777777" w:rsidR="00245A2C" w:rsidRPr="00D81AC6" w:rsidDel="00753A85" w:rsidRDefault="00245A2C" w:rsidP="00FF219D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51110" w14:textId="77777777" w:rsidR="00245A2C" w:rsidRPr="001209E0" w:rsidRDefault="00245A2C" w:rsidP="00FF219D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7E1D" w14:textId="77777777" w:rsidR="00245A2C" w:rsidRPr="00D81AC6" w:rsidDel="003C27DE" w:rsidRDefault="00245A2C" w:rsidP="00FF219D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ED636" w14:textId="77777777" w:rsidR="00245A2C" w:rsidRPr="001209E0" w:rsidRDefault="00245A2C" w:rsidP="00FF219D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C8786" w14:textId="77777777" w:rsidR="00245A2C" w:rsidRPr="00D81AC6" w:rsidDel="003C27DE" w:rsidRDefault="00245A2C" w:rsidP="00FF219D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45A2C" w:rsidRPr="002E7961" w14:paraId="6981517F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0CDD752A" w14:textId="77777777" w:rsidR="00245A2C" w:rsidRDefault="00245A2C" w:rsidP="00FF219D">
            <w:pPr>
              <w:ind w:left="126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Not in ESRD QIP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6E4931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52.5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EABF9B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61.6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DC55B47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64</w:t>
            </w:r>
            <w:r>
              <w:rPr>
                <w:rFonts w:cs="Calibri"/>
                <w:color w:val="000000"/>
                <w:szCs w:val="20"/>
              </w:rPr>
              <w:t>.0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74B6E97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57.2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3DE486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55.9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18BB3EA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60.5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781E974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60.2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DE5F1FD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58.0</w:t>
            </w:r>
          </w:p>
        </w:tc>
      </w:tr>
      <w:tr w:rsidR="00245A2C" w:rsidRPr="002E7961" w14:paraId="15CAF42A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1B5E4C22" w14:textId="77777777" w:rsidR="003B086A" w:rsidRDefault="00245A2C" w:rsidP="00FF219D">
            <w:pPr>
              <w:ind w:left="126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In ESRD QIP </w:t>
            </w:r>
          </w:p>
          <w:p w14:paraId="21206621" w14:textId="63E821D1" w:rsidR="00245A2C" w:rsidRDefault="003B086A" w:rsidP="00FF219D">
            <w:pPr>
              <w:ind w:left="126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    </w:t>
            </w:r>
            <w:r w:rsidR="00245A2C">
              <w:rPr>
                <w:rFonts w:cs="Calibri"/>
                <w:color w:val="000000"/>
                <w:szCs w:val="20"/>
              </w:rPr>
              <w:t>(</w:t>
            </w:r>
            <w:r w:rsidR="00245A2C" w:rsidRPr="00696AE0">
              <w:rPr>
                <w:rFonts w:cs="Calibri"/>
                <w:color w:val="000000"/>
                <w:szCs w:val="20"/>
              </w:rPr>
              <w:t>PY</w:t>
            </w:r>
            <w:r w:rsidR="00245A2C">
              <w:rPr>
                <w:rFonts w:cs="Calibri"/>
                <w:color w:val="000000"/>
                <w:szCs w:val="20"/>
              </w:rPr>
              <w:t xml:space="preserve"> </w:t>
            </w:r>
            <w:r w:rsidR="00245A2C" w:rsidRPr="00696AE0">
              <w:rPr>
                <w:rFonts w:cs="Calibri"/>
                <w:color w:val="000000"/>
                <w:szCs w:val="20"/>
              </w:rPr>
              <w:t>2014</w:t>
            </w:r>
            <w:r w:rsidR="00245A2C">
              <w:rPr>
                <w:rFonts w:cs="Calibri"/>
                <w:color w:val="000000"/>
                <w:szCs w:val="20"/>
              </w:rPr>
              <w:t>–</w:t>
            </w:r>
            <w:r w:rsidR="00245A2C" w:rsidRPr="00696AE0">
              <w:rPr>
                <w:rFonts w:cs="Calibri"/>
                <w:color w:val="000000"/>
                <w:szCs w:val="20"/>
              </w:rPr>
              <w:t>2020</w:t>
            </w:r>
            <w:r w:rsidR="00245A2C"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2FAD687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57.9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04F16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66.8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4ACE54B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69.6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7E5138F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62.6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A2C4053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61.9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AC6EDD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65.5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82615C3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66.1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81DAEE3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63.4</w:t>
            </w:r>
          </w:p>
        </w:tc>
      </w:tr>
      <w:tr w:rsidR="00245A2C" w:rsidRPr="002E7961" w14:paraId="30788132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26059D7E" w14:textId="77777777" w:rsidR="00245A2C" w:rsidRPr="0080295E" w:rsidRDefault="00245A2C" w:rsidP="00FF219D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Comprehensive Kt/v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077A106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8692A23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5825B15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4ECEA59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FE7619A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A9821CB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554236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6D9E6D0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245A2C" w:rsidRPr="002E7961" w14:paraId="226D0898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1A012785" w14:textId="77777777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955D05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91.8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C257357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92.3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3C6A81F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92.2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72C8D18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92.2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32DB7C6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94.4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BEFE98A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90.9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DDF3F54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93.9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88D5E72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92.0</w:t>
            </w:r>
          </w:p>
        </w:tc>
      </w:tr>
      <w:tr w:rsidR="00245A2C" w:rsidRPr="002E7961" w14:paraId="3B3FF376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4BEF6624" w14:textId="2C2A9D7C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</w:r>
            <w:r w:rsidR="003B086A">
              <w:rPr>
                <w:rFonts w:cs="Calibri"/>
                <w:color w:val="000000"/>
                <w:szCs w:val="20"/>
              </w:rPr>
              <w:t xml:space="preserve">       </w:t>
            </w:r>
            <w:r>
              <w:rPr>
                <w:rFonts w:cs="Calibri"/>
                <w:color w:val="000000"/>
                <w:szCs w:val="20"/>
              </w:rPr>
              <w:t>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2019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2020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A2E5263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95.4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E1B7B9B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96.0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F61A268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96.2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FA032FD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95.7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FD1117E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96.3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298D2BC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95.6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BD94678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96.6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971511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95.7</w:t>
            </w:r>
          </w:p>
        </w:tc>
      </w:tr>
      <w:tr w:rsidR="00245A2C" w:rsidRPr="002E7961" w14:paraId="7F66E612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1F6BBA21" w14:textId="77777777" w:rsidR="00245A2C" w:rsidRPr="0080295E" w:rsidRDefault="00245A2C" w:rsidP="00FF219D">
            <w:pPr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URR &gt; 65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2D049AD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BA7227B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5E277BE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C188130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32102D6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476BFA8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AA369CC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A1E81CF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245A2C" w:rsidRPr="002E7961" w14:paraId="4AA3AEF6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299534C1" w14:textId="77777777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C159F76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96.6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493596B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97.6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3DA38C2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98</w:t>
            </w:r>
            <w:r>
              <w:rPr>
                <w:rFonts w:cs="Calibri"/>
                <w:color w:val="000000"/>
                <w:szCs w:val="20"/>
              </w:rPr>
              <w:t>.0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5C050FA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97.1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DEF733D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96.9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624E4FE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97.6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071CB9A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97.5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89C98EE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97.3</w:t>
            </w:r>
          </w:p>
        </w:tc>
      </w:tr>
      <w:tr w:rsidR="00245A2C" w:rsidRPr="002E7961" w14:paraId="7C8CBA52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047BFEAB" w14:textId="320E9C7F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</w:r>
            <w:r w:rsidR="003B086A">
              <w:rPr>
                <w:rFonts w:cs="Calibri"/>
                <w:color w:val="000000"/>
                <w:szCs w:val="20"/>
              </w:rPr>
              <w:t xml:space="preserve">       </w:t>
            </w:r>
            <w:r>
              <w:rPr>
                <w:rFonts w:cs="Calibri"/>
                <w:color w:val="000000"/>
                <w:szCs w:val="20"/>
              </w:rPr>
              <w:t>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2012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2014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3E59DCB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95.3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AE34D03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95.9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D0E44E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96.7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7754EF1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95.5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A626046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95.3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B142669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96.1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F1260D6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95.9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F19D1A6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95.7</w:t>
            </w:r>
          </w:p>
        </w:tc>
      </w:tr>
      <w:tr w:rsidR="00245A2C" w:rsidRPr="002E7961" w14:paraId="526D0816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3DD4E702" w14:textId="77777777" w:rsidR="00245A2C" w:rsidRPr="0080295E" w:rsidRDefault="00245A2C" w:rsidP="00FF219D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Catheter use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BAEFE16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3565AF8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2ECD926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35366C9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19B2103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74E2A76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CBFB773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1ED94AA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245A2C" w:rsidRPr="002E7961" w14:paraId="681B3B51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3BDC1506" w14:textId="77777777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51F69A4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13.2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1245F9E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14.7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B74FC3B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.0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1FD1005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14.4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45C4638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14.7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2FE80DF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13.0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8A2E37F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13.5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BFE5BF8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13.9</w:t>
            </w:r>
          </w:p>
        </w:tc>
      </w:tr>
      <w:tr w:rsidR="00245A2C" w:rsidRPr="002E7961" w14:paraId="409244F9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77BF86F0" w14:textId="0552BE10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</w:r>
            <w:r w:rsidR="003B086A">
              <w:rPr>
                <w:rFonts w:cs="Calibri"/>
                <w:color w:val="000000"/>
                <w:szCs w:val="20"/>
              </w:rPr>
              <w:t xml:space="preserve">       </w:t>
            </w:r>
            <w:r>
              <w:rPr>
                <w:rFonts w:cs="Calibri"/>
                <w:color w:val="000000"/>
                <w:szCs w:val="20"/>
              </w:rPr>
              <w:t>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2014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2020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9A89057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10.6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2B6037E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11.7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BB0C0DB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9.2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6E3615C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11.4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C1ACB0E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11.8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AECC09D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10.4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7A6096C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10.6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7C44B86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11.1</w:t>
            </w:r>
          </w:p>
        </w:tc>
      </w:tr>
      <w:tr w:rsidR="00245A2C" w:rsidRPr="002E7961" w14:paraId="218D0850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466CD082" w14:textId="77777777" w:rsidR="00245A2C" w:rsidRPr="0080295E" w:rsidRDefault="00245A2C" w:rsidP="00FF219D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Hgb &gt; 12 g/dL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787F313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58516AB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DC34DC7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88B92DA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D8D7A94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7A46140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83393CB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DB9876D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245A2C" w:rsidRPr="002E7961" w14:paraId="7F58F9A9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3A84A2E1" w14:textId="77777777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D6965F6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3.9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F794824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4.0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AD14248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8E87649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3.9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0E95DA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F97A30A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3.8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7567E1D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3.7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C31034F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4.0</w:t>
            </w:r>
          </w:p>
        </w:tc>
      </w:tr>
      <w:tr w:rsidR="00245A2C" w:rsidRPr="002E7961" w14:paraId="06F1AADA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136ED44A" w14:textId="1917D64D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</w:r>
            <w:r w:rsidR="003B086A">
              <w:rPr>
                <w:rFonts w:cs="Calibri"/>
                <w:color w:val="000000"/>
                <w:szCs w:val="20"/>
              </w:rPr>
              <w:t xml:space="preserve">       </w:t>
            </w:r>
            <w:r>
              <w:rPr>
                <w:rFonts w:cs="Calibri"/>
                <w:color w:val="000000"/>
                <w:szCs w:val="20"/>
              </w:rPr>
              <w:t>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2012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2016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DD2D328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10.6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BFB68D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10.9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6F0F81D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11.5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56B3060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10.6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C2BA36D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10.8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1294A3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10.7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80FF91E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11.1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7D4BA09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10.7</w:t>
            </w:r>
          </w:p>
        </w:tc>
      </w:tr>
      <w:tr w:rsidR="00245A2C" w:rsidRPr="002E7961" w14:paraId="15058224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0034122D" w14:textId="77777777" w:rsidR="00245A2C" w:rsidRPr="0080295E" w:rsidRDefault="00245A2C" w:rsidP="00FF219D">
            <w:pPr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Hypercalcemia &gt; 10.2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8AA012E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CFC2614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04DAE13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F1BDC74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AE527E7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438B9FC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F43D622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87AAB2B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245A2C" w:rsidRPr="002E7961" w14:paraId="3737B8A8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0F5E59C0" w14:textId="77777777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1A5D6D8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22FE9DF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1.9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32BDBD7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1.8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49D9A0E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2.2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D2BC17C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2.1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2AA86F2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2.2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3079DAC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2.6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638AC53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2.1</w:t>
            </w:r>
          </w:p>
        </w:tc>
      </w:tr>
      <w:tr w:rsidR="00245A2C" w:rsidRPr="002E7961" w14:paraId="1D9F63D9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6FB3C9F6" w14:textId="631EC62B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</w:r>
            <w:r w:rsidR="003B086A">
              <w:rPr>
                <w:rFonts w:cs="Calibri"/>
                <w:color w:val="000000"/>
                <w:szCs w:val="20"/>
              </w:rPr>
              <w:t xml:space="preserve">       </w:t>
            </w:r>
            <w:r>
              <w:rPr>
                <w:rFonts w:cs="Calibri"/>
                <w:color w:val="000000"/>
                <w:szCs w:val="20"/>
              </w:rPr>
              <w:t>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2016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2020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F57E6C4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1.2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A3CC58B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1.0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8734542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.0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934ADB3" w14:textId="77777777" w:rsidR="00245A2C" w:rsidRPr="006601E1" w:rsidDel="00753A85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1.1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4F872C3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1.1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A57684D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6491410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1.1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C93653B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1.1</w:t>
            </w:r>
          </w:p>
        </w:tc>
      </w:tr>
      <w:tr w:rsidR="00245A2C" w:rsidRPr="002E7961" w14:paraId="322D331C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06C64664" w14:textId="77777777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Unplanned 30-day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80295E">
              <w:rPr>
                <w:rFonts w:cs="Calibri"/>
                <w:b/>
                <w:bCs/>
                <w:color w:val="000000"/>
                <w:szCs w:val="20"/>
              </w:rPr>
              <w:t>readmissions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F871389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C056B39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6EF5EAB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80FB4CA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D978E29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A35A07F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65B0DAB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E281152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245A2C" w:rsidRPr="002E7961" w14:paraId="16533374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0B0E751E" w14:textId="77777777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4AFBF5D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29.6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54D26DB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28.3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BD871C2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27.3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990DCEB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28.9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577FB1D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30.8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6E955EA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26.2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091A556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25.9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E8097FB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29.0</w:t>
            </w:r>
          </w:p>
        </w:tc>
      </w:tr>
      <w:tr w:rsidR="00245A2C" w:rsidRPr="002E7961" w14:paraId="67CC09B2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10E9B69F" w14:textId="47847419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</w:r>
            <w:r w:rsidR="0080295E">
              <w:rPr>
                <w:rFonts w:cs="Calibri"/>
                <w:color w:val="000000"/>
                <w:szCs w:val="20"/>
              </w:rPr>
              <w:t xml:space="preserve">   </w:t>
            </w:r>
            <w:r w:rsidR="003B086A">
              <w:rPr>
                <w:rFonts w:cs="Calibri"/>
                <w:color w:val="000000"/>
                <w:szCs w:val="20"/>
              </w:rPr>
              <w:t xml:space="preserve">   </w:t>
            </w:r>
            <w:r>
              <w:rPr>
                <w:rFonts w:cs="Calibri"/>
                <w:color w:val="000000"/>
                <w:szCs w:val="20"/>
              </w:rPr>
              <w:t>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2017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2020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10F9E3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.0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F34B2FC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27.7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3C3710C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26.2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BD4AACF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28.3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8A98BAF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.0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B60932A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25.6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2FA7CE3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25.4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E95E702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28.3</w:t>
            </w:r>
          </w:p>
        </w:tc>
      </w:tr>
      <w:tr w:rsidR="00245A2C" w:rsidRPr="002E7961" w14:paraId="250BA0AB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199CE6EE" w14:textId="77777777" w:rsidR="00245A2C" w:rsidRPr="0080295E" w:rsidRDefault="00245A2C" w:rsidP="00FF219D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80295E">
              <w:rPr>
                <w:rFonts w:cs="Calibri"/>
                <w:b/>
                <w:bCs/>
                <w:color w:val="000000"/>
                <w:szCs w:val="20"/>
              </w:rPr>
              <w:t>Transfusions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353F634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718F624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3A7A755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1CB431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DD8BF30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F2B7061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082E7D9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9052290" w14:textId="77777777" w:rsidR="00245A2C" w:rsidRPr="006601E1" w:rsidDel="003C27DE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245A2C" w:rsidRPr="002E7961" w14:paraId="42E92D99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nil"/>
              <w:right w:val="nil"/>
            </w:tcBorders>
          </w:tcPr>
          <w:p w14:paraId="4A1F75FF" w14:textId="77777777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Not in ESRD QIP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3FE821E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5D2818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4.9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7BF0C14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73F296B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4.9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D24B2A9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3E6A72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4.7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2A67D7F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829492D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4.8</w:t>
            </w:r>
          </w:p>
        </w:tc>
      </w:tr>
      <w:tr w:rsidR="00245A2C" w:rsidRPr="002E7961" w14:paraId="4C4F1F84" w14:textId="77777777" w:rsidTr="0080295E">
        <w:trPr>
          <w:trHeight w:val="259"/>
        </w:trPr>
        <w:tc>
          <w:tcPr>
            <w:tcW w:w="1346" w:type="pct"/>
            <w:tcBorders>
              <w:top w:val="nil"/>
              <w:bottom w:val="single" w:sz="8" w:space="0" w:color="auto"/>
              <w:right w:val="nil"/>
            </w:tcBorders>
          </w:tcPr>
          <w:p w14:paraId="06870FCA" w14:textId="2DF415E3" w:rsidR="00245A2C" w:rsidRDefault="00245A2C" w:rsidP="00FF219D">
            <w:pPr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   In ESRD QIP </w:t>
            </w:r>
            <w:r>
              <w:rPr>
                <w:rFonts w:cs="Calibri"/>
                <w:color w:val="000000"/>
                <w:szCs w:val="20"/>
              </w:rPr>
              <w:br/>
            </w:r>
            <w:r w:rsidR="003B086A">
              <w:rPr>
                <w:rFonts w:cs="Calibri"/>
                <w:color w:val="000000"/>
                <w:szCs w:val="20"/>
              </w:rPr>
              <w:t xml:space="preserve">       </w:t>
            </w:r>
            <w:r>
              <w:rPr>
                <w:rFonts w:cs="Calibri"/>
                <w:color w:val="000000"/>
                <w:szCs w:val="20"/>
              </w:rPr>
              <w:t>(</w:t>
            </w:r>
            <w:r w:rsidRPr="00696AE0">
              <w:rPr>
                <w:rFonts w:cs="Calibri"/>
                <w:color w:val="000000"/>
                <w:szCs w:val="20"/>
              </w:rPr>
              <w:t>PY</w:t>
            </w:r>
            <w:r>
              <w:rPr>
                <w:rFonts w:cs="Calibri"/>
                <w:color w:val="000000"/>
                <w:szCs w:val="20"/>
              </w:rPr>
              <w:t xml:space="preserve"> </w:t>
            </w:r>
            <w:r w:rsidRPr="00696AE0">
              <w:rPr>
                <w:rFonts w:cs="Calibri"/>
                <w:color w:val="000000"/>
                <w:szCs w:val="20"/>
              </w:rPr>
              <w:t>2018</w:t>
            </w:r>
            <w:r>
              <w:rPr>
                <w:rFonts w:cs="Calibri"/>
                <w:color w:val="000000"/>
                <w:szCs w:val="20"/>
              </w:rPr>
              <w:t>–</w:t>
            </w:r>
            <w:r w:rsidRPr="00696AE0">
              <w:rPr>
                <w:rFonts w:cs="Calibri"/>
                <w:color w:val="000000"/>
                <w:szCs w:val="20"/>
              </w:rPr>
              <w:t>2020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top"/>
          </w:tcPr>
          <w:p w14:paraId="06757D9F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top"/>
          </w:tcPr>
          <w:p w14:paraId="6460E9F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4.3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top"/>
          </w:tcPr>
          <w:p w14:paraId="74FBB0B1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3.5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top"/>
          </w:tcPr>
          <w:p w14:paraId="76B676F3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4.4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top"/>
          </w:tcPr>
          <w:p w14:paraId="50FE43D5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top"/>
          </w:tcPr>
          <w:p w14:paraId="457D3073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4.2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top"/>
          </w:tcPr>
          <w:p w14:paraId="6EB87F18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6601E1">
              <w:rPr>
                <w:rFonts w:cs="Calibri"/>
                <w:color w:val="000000"/>
                <w:szCs w:val="20"/>
              </w:rPr>
              <w:t>4.3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top"/>
          </w:tcPr>
          <w:p w14:paraId="36F0BB53" w14:textId="77777777" w:rsidR="00245A2C" w:rsidRPr="006601E1" w:rsidRDefault="00245A2C" w:rsidP="0080295E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 w:rsidRPr="002E7961">
              <w:rPr>
                <w:rFonts w:cs="Calibri"/>
                <w:color w:val="000000"/>
                <w:szCs w:val="20"/>
              </w:rPr>
              <w:t>4.3</w:t>
            </w:r>
          </w:p>
        </w:tc>
      </w:tr>
    </w:tbl>
    <w:p w14:paraId="1278E5EB" w14:textId="77777777" w:rsidR="00245A2C" w:rsidRDefault="00245A2C" w:rsidP="00245A2C">
      <w:pPr>
        <w:spacing w:after="0" w:line="240" w:lineRule="auto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 xml:space="preserve">Note: PY corresponds to the ESRD QIP performance period in the calendar year 2 years earlier. For example, PY 2012 corresponds to the performance and calendar year 2010. </w:t>
      </w:r>
    </w:p>
    <w:p w14:paraId="43192F7A" w14:textId="77777777" w:rsidR="00245A2C" w:rsidRDefault="00245A2C" w:rsidP="00245A2C">
      <w:pPr>
        <w:spacing w:after="0" w:line="240" w:lineRule="auto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>AV =</w:t>
      </w:r>
      <w:r>
        <w:t xml:space="preserve"> </w:t>
      </w:r>
      <w:r>
        <w:rPr>
          <w:rFonts w:eastAsia="Times New Roman" w:cs="Calibri"/>
          <w:color w:val="000000"/>
          <w:sz w:val="18"/>
          <w:szCs w:val="18"/>
        </w:rPr>
        <w:t>ar</w:t>
      </w:r>
      <w:r w:rsidRPr="00684683">
        <w:rPr>
          <w:rFonts w:eastAsia="Times New Roman" w:cs="Calibri"/>
          <w:color w:val="000000"/>
          <w:sz w:val="18"/>
          <w:szCs w:val="18"/>
        </w:rPr>
        <w:t>teriovenous</w:t>
      </w:r>
      <w:r>
        <w:rPr>
          <w:rFonts w:eastAsia="Times New Roman" w:cs="Calibri"/>
          <w:color w:val="000000"/>
          <w:sz w:val="18"/>
          <w:szCs w:val="18"/>
        </w:rPr>
        <w:t xml:space="preserve">; ESRD = end-stage renal disease; Hgb = hemoglobin; QIP = Quality Improvement Program; PY = ESRD payment year </w:t>
      </w:r>
    </w:p>
    <w:p w14:paraId="383F439F" w14:textId="77777777" w:rsidR="00245A2C" w:rsidRPr="0008013C" w:rsidRDefault="00245A2C" w:rsidP="00245A2C">
      <w:pPr>
        <w:spacing w:after="0" w:line="240" w:lineRule="auto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color w:val="000000"/>
          <w:sz w:val="18"/>
          <w:szCs w:val="18"/>
        </w:rPr>
        <w:t xml:space="preserve">Sources: CROWNWeb data, </w:t>
      </w:r>
      <w:r w:rsidRPr="0013450D">
        <w:rPr>
          <w:rFonts w:eastAsia="Times New Roman" w:cstheme="minorHAnsi"/>
          <w:color w:val="000000"/>
          <w:sz w:val="18"/>
          <w:szCs w:val="18"/>
        </w:rPr>
        <w:t>CMS Dialysis Facility Compare</w:t>
      </w:r>
      <w:r>
        <w:rPr>
          <w:rFonts w:eastAsia="Times New Roman" w:cs="Calibri"/>
          <w:color w:val="000000"/>
          <w:sz w:val="18"/>
          <w:szCs w:val="18"/>
        </w:rPr>
        <w:t>, and Medicare claims</w:t>
      </w:r>
    </w:p>
    <w:p w14:paraId="6D19CC02" w14:textId="12DD02A9" w:rsidR="009A4BC4" w:rsidRDefault="009A4BC4">
      <w:r>
        <w:br w:type="page"/>
      </w:r>
    </w:p>
    <w:p w14:paraId="189DFE5A" w14:textId="1BF52376" w:rsidR="009A4BC4" w:rsidRPr="00385537" w:rsidRDefault="009A4BC4" w:rsidP="009A4BC4">
      <w:pPr>
        <w:spacing w:after="0" w:line="240" w:lineRule="auto"/>
      </w:pPr>
      <w:r>
        <w:lastRenderedPageBreak/>
        <w:t>Exhibit A3</w:t>
      </w:r>
      <w:r w:rsidRPr="00FD2969">
        <w:t>.</w:t>
      </w:r>
      <w:r>
        <w:t xml:space="preserve"> </w:t>
      </w:r>
      <w:r w:rsidRPr="009A4BC4">
        <w:t>Percentage of facilities in top or bottom quintile of the patient</w:t>
      </w:r>
      <w:r>
        <w:t>-</w:t>
      </w:r>
      <w:proofErr w:type="spellStart"/>
      <w:r w:rsidRPr="009A4BC4">
        <w:t>casemix</w:t>
      </w:r>
      <w:proofErr w:type="spellEnd"/>
      <w:r w:rsidRPr="009A4BC4">
        <w:t xml:space="preserve"> distribution for any combination of Black race, Hispanic ethnicity,</w:t>
      </w:r>
      <w:r>
        <w:t xml:space="preserve"> and</w:t>
      </w:r>
      <w:r w:rsidRPr="009A4BC4">
        <w:t xml:space="preserve"> Dual eligibility</w:t>
      </w:r>
      <w:r w:rsidR="007202FD" w:rsidRPr="00FD2969">
        <w:t xml:space="preserve">, </w:t>
      </w:r>
      <w:r w:rsidR="007202FD">
        <w:t xml:space="preserve">Calendar Years </w:t>
      </w:r>
      <w:r w:rsidR="007202FD" w:rsidRPr="00FD2969">
        <w:t>201</w:t>
      </w:r>
      <w:r w:rsidR="007202FD">
        <w:t>0–</w:t>
      </w:r>
      <w:r w:rsidR="007202FD" w:rsidRPr="00FD2969">
        <w:t>20</w:t>
      </w:r>
      <w:r w:rsidR="007202FD">
        <w:t>1</w:t>
      </w:r>
      <w:r w:rsidR="007202FD">
        <w:t>9</w:t>
      </w:r>
    </w:p>
    <w:tbl>
      <w:tblPr>
        <w:tblStyle w:val="InsightTable"/>
        <w:tblW w:w="4522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711"/>
        <w:gridCol w:w="1080"/>
        <w:gridCol w:w="945"/>
        <w:gridCol w:w="946"/>
        <w:gridCol w:w="946"/>
        <w:gridCol w:w="946"/>
        <w:gridCol w:w="946"/>
        <w:gridCol w:w="945"/>
      </w:tblGrid>
      <w:tr w:rsidR="009A4BC4" w:rsidRPr="00295C7C" w14:paraId="1288685D" w14:textId="77777777" w:rsidTr="00107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1010" w:type="pct"/>
            <w:tcBorders>
              <w:top w:val="single" w:sz="8" w:space="0" w:color="auto"/>
            </w:tcBorders>
          </w:tcPr>
          <w:p w14:paraId="003371AE" w14:textId="0360315C" w:rsidR="009A4BC4" w:rsidRPr="00913EDD" w:rsidRDefault="009A4BC4" w:rsidP="00CD3902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</w:tcPr>
          <w:p w14:paraId="5FF6CE47" w14:textId="77777777" w:rsidR="009A4BC4" w:rsidRDefault="009A4BC4" w:rsidP="00CD3902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17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09CCF6A" w14:textId="5C91C9C7" w:rsidR="009A4BC4" w:rsidRPr="00913EDD" w:rsidRDefault="009A4BC4" w:rsidP="00CD3902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Black Race</w:t>
            </w:r>
          </w:p>
        </w:tc>
        <w:tc>
          <w:tcPr>
            <w:tcW w:w="1118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CDFFFC" w14:textId="4E5D8237" w:rsidR="009A4BC4" w:rsidRPr="00913EDD" w:rsidRDefault="009A4BC4" w:rsidP="00CD3902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Hispanic Ethnicity</w:t>
            </w:r>
          </w:p>
        </w:tc>
        <w:tc>
          <w:tcPr>
            <w:tcW w:w="1118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E22CAE" w14:textId="7F84472F" w:rsidR="009A4BC4" w:rsidRPr="00913EDD" w:rsidRDefault="009A4BC4" w:rsidP="00CD3902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Dual Eligibility</w:t>
            </w:r>
          </w:p>
        </w:tc>
      </w:tr>
      <w:tr w:rsidR="00433F14" w:rsidRPr="00957E68" w14:paraId="773DCCCA" w14:textId="77777777" w:rsidTr="00107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tcW w:w="1010" w:type="pct"/>
            <w:tcBorders>
              <w:bottom w:val="single" w:sz="4" w:space="0" w:color="auto"/>
            </w:tcBorders>
          </w:tcPr>
          <w:p w14:paraId="1618705C" w14:textId="77777777" w:rsidR="00433F14" w:rsidRPr="00303EA5" w:rsidRDefault="00433F14" w:rsidP="00433F14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32A8A20A" w14:textId="5695462E" w:rsidR="00433F14" w:rsidRPr="00913EDD" w:rsidRDefault="00433F14" w:rsidP="00433F14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 w:rsidRPr="00433F14">
              <w:rPr>
                <w:rFonts w:ascii="Lucida Sans" w:eastAsia="Times New Roman" w:hAnsi="Lucida Sans" w:cs="Calibri"/>
                <w:color w:val="000000"/>
                <w:sz w:val="18"/>
                <w:szCs w:val="20"/>
              </w:rPr>
              <w:t>Percentile</w:t>
            </w:r>
          </w:p>
        </w:tc>
        <w:tc>
          <w:tcPr>
            <w:tcW w:w="558" w:type="pct"/>
            <w:tcBorders>
              <w:top w:val="single" w:sz="8" w:space="0" w:color="auto"/>
              <w:bottom w:val="single" w:sz="4" w:space="0" w:color="auto"/>
            </w:tcBorders>
          </w:tcPr>
          <w:p w14:paraId="429B3238" w14:textId="2C56CF1C" w:rsidR="00433F14" w:rsidRPr="00433F14" w:rsidRDefault="00433F14" w:rsidP="00433F14">
            <w:pPr>
              <w:rPr>
                <w:rFonts w:ascii="Lucida Sans" w:eastAsia="Times New Roman" w:hAnsi="Lucida Sans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80-100</w:t>
            </w:r>
          </w:p>
        </w:tc>
        <w:tc>
          <w:tcPr>
            <w:tcW w:w="559" w:type="pct"/>
            <w:tcBorders>
              <w:top w:val="single" w:sz="8" w:space="0" w:color="auto"/>
              <w:bottom w:val="single" w:sz="4" w:space="0" w:color="auto"/>
            </w:tcBorders>
          </w:tcPr>
          <w:p w14:paraId="56E25C0B" w14:textId="4B1A0047" w:rsidR="00433F14" w:rsidRPr="00433F14" w:rsidRDefault="00433F14" w:rsidP="00433F14">
            <w:pPr>
              <w:rPr>
                <w:rFonts w:ascii="Lucida Sans" w:eastAsia="Times New Roman" w:hAnsi="Lucida Sans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1-20</w:t>
            </w:r>
          </w:p>
        </w:tc>
        <w:tc>
          <w:tcPr>
            <w:tcW w:w="559" w:type="pct"/>
            <w:tcBorders>
              <w:top w:val="single" w:sz="8" w:space="0" w:color="auto"/>
              <w:bottom w:val="single" w:sz="4" w:space="0" w:color="auto"/>
            </w:tcBorders>
          </w:tcPr>
          <w:p w14:paraId="44F1F9B2" w14:textId="1840E60D" w:rsidR="00433F14" w:rsidRPr="00433F14" w:rsidRDefault="00433F14" w:rsidP="00433F14">
            <w:pPr>
              <w:rPr>
                <w:rFonts w:ascii="Lucida Sans" w:eastAsia="Times New Roman" w:hAnsi="Lucida Sans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80-100</w:t>
            </w:r>
          </w:p>
        </w:tc>
        <w:tc>
          <w:tcPr>
            <w:tcW w:w="559" w:type="pct"/>
            <w:tcBorders>
              <w:top w:val="single" w:sz="8" w:space="0" w:color="auto"/>
              <w:bottom w:val="single" w:sz="4" w:space="0" w:color="auto"/>
            </w:tcBorders>
          </w:tcPr>
          <w:p w14:paraId="12050A7E" w14:textId="2F1A48AB" w:rsidR="00433F14" w:rsidRPr="00433F14" w:rsidRDefault="00433F14" w:rsidP="00433F14">
            <w:pPr>
              <w:rPr>
                <w:rFonts w:ascii="Lucida Sans" w:eastAsia="Times New Roman" w:hAnsi="Lucida Sans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1-20</w:t>
            </w:r>
          </w:p>
        </w:tc>
        <w:tc>
          <w:tcPr>
            <w:tcW w:w="559" w:type="pct"/>
            <w:tcBorders>
              <w:top w:val="single" w:sz="8" w:space="0" w:color="auto"/>
              <w:bottom w:val="single" w:sz="4" w:space="0" w:color="auto"/>
            </w:tcBorders>
          </w:tcPr>
          <w:p w14:paraId="66703BAB" w14:textId="48091641" w:rsidR="00433F14" w:rsidRPr="00433F14" w:rsidRDefault="00433F14" w:rsidP="00433F14">
            <w:pPr>
              <w:rPr>
                <w:rFonts w:ascii="Lucida Sans" w:eastAsia="Times New Roman" w:hAnsi="Lucida Sans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80-100</w:t>
            </w:r>
          </w:p>
        </w:tc>
        <w:tc>
          <w:tcPr>
            <w:tcW w:w="559" w:type="pct"/>
            <w:tcBorders>
              <w:top w:val="single" w:sz="8" w:space="0" w:color="auto"/>
              <w:bottom w:val="single" w:sz="4" w:space="0" w:color="auto"/>
            </w:tcBorders>
          </w:tcPr>
          <w:p w14:paraId="7AADFC4A" w14:textId="7DD7D562" w:rsidR="00433F14" w:rsidRPr="00433F14" w:rsidRDefault="00433F14" w:rsidP="00433F14">
            <w:pPr>
              <w:rPr>
                <w:rFonts w:ascii="Lucida Sans" w:eastAsia="Times New Roman" w:hAnsi="Lucida Sans" w:cs="Calibri"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1-20</w:t>
            </w:r>
          </w:p>
        </w:tc>
      </w:tr>
      <w:tr w:rsidR="00433F14" w:rsidRPr="002E7961" w14:paraId="120C81DD" w14:textId="77777777" w:rsidTr="0010787C">
        <w:trPr>
          <w:trHeight w:val="259"/>
        </w:trPr>
        <w:tc>
          <w:tcPr>
            <w:tcW w:w="101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7D9B6F16" w14:textId="443E3027" w:rsidR="00433F14" w:rsidRDefault="00433F14" w:rsidP="00433F14">
            <w:pPr>
              <w:ind w:left="126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Black Race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2007F0A7" w14:textId="1664592A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80-100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4F01AD48" w14:textId="34B57051" w:rsidR="00433F14" w:rsidRPr="006601E1" w:rsidRDefault="009664C5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20</w:t>
            </w:r>
            <w:r w:rsidR="00433F14">
              <w:rPr>
                <w:rFonts w:cs="Calibri"/>
                <w:color w:val="000000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0E617A9A" w14:textId="607C58C0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0%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4CA91872" w14:textId="74DDBC7C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0%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0E1BB797" w14:textId="3BABE987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5</w:t>
            </w:r>
            <w:r w:rsidR="004904C7">
              <w:rPr>
                <w:rFonts w:cs="Calibri"/>
                <w:color w:val="000000"/>
              </w:rPr>
              <w:t>.0</w:t>
            </w: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585EDE17" w14:textId="3D3ADB95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4.6%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4A7B0813" w14:textId="1BC010E7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1.7%</w:t>
            </w:r>
          </w:p>
        </w:tc>
      </w:tr>
      <w:tr w:rsidR="00433F14" w:rsidRPr="002E7961" w14:paraId="2ABB90B8" w14:textId="77777777" w:rsidTr="0010787C">
        <w:trPr>
          <w:trHeight w:val="259"/>
        </w:trPr>
        <w:tc>
          <w:tcPr>
            <w:tcW w:w="1010" w:type="pct"/>
            <w:vMerge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D44B4E2" w14:textId="77777777" w:rsidR="00433F14" w:rsidRDefault="00433F14" w:rsidP="00433F14">
            <w:pPr>
              <w:ind w:left="126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5A00A2A" w14:textId="22BD6545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1-20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FDC39FC" w14:textId="6E2ACEEB" w:rsidR="00433F14" w:rsidRPr="006601E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EA96A5D" w14:textId="09052EED" w:rsidR="00433F14" w:rsidRPr="002E7961" w:rsidRDefault="009664C5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2</w:t>
            </w:r>
            <w:r w:rsidR="00433F14">
              <w:rPr>
                <w:rFonts w:cs="Calibri"/>
                <w:color w:val="000000"/>
              </w:rPr>
              <w:t>0%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4624840" w14:textId="3F5E311C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4</w:t>
            </w:r>
            <w:r w:rsidR="004904C7">
              <w:rPr>
                <w:rFonts w:cs="Calibri"/>
                <w:color w:val="000000"/>
              </w:rPr>
              <w:t>.0</w:t>
            </w: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97AB09E" w14:textId="799D369E" w:rsidR="00433F14" w:rsidRPr="002E796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2</w:t>
            </w:r>
            <w:r w:rsidR="004904C7">
              <w:rPr>
                <w:rFonts w:cs="Calibri"/>
                <w:color w:val="000000"/>
              </w:rPr>
              <w:t>.0</w:t>
            </w:r>
            <w:r>
              <w:rPr>
                <w:rFonts w:cs="Calibri"/>
                <w:color w:val="000000"/>
              </w:rPr>
              <w:t>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2D6706B" w14:textId="05707BEF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3.4%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7A39C9B" w14:textId="474F35FF" w:rsidR="00433F14" w:rsidRPr="002E796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3.5%</w:t>
            </w:r>
          </w:p>
        </w:tc>
      </w:tr>
      <w:tr w:rsidR="00433F14" w:rsidRPr="002E7961" w14:paraId="3EC428B2" w14:textId="77777777" w:rsidTr="0010787C">
        <w:trPr>
          <w:trHeight w:val="259"/>
        </w:trPr>
        <w:tc>
          <w:tcPr>
            <w:tcW w:w="101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DF19FDD" w14:textId="0AB0DF15" w:rsidR="00433F14" w:rsidRDefault="00433F14" w:rsidP="00433F14">
            <w:pPr>
              <w:ind w:left="126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Hispanic Ethnicity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E2B772B" w14:textId="56E2C6B5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80-100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98ECC6E" w14:textId="6CD390FB" w:rsidR="00433F14" w:rsidRPr="006601E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6458E93" w14:textId="114A56F5" w:rsidR="00433F14" w:rsidRPr="006601E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57B657B" w14:textId="3A3D7BAC" w:rsidR="00433F14" w:rsidRPr="006601E1" w:rsidRDefault="009664C5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2</w:t>
            </w:r>
            <w:r w:rsidR="00433F14">
              <w:rPr>
                <w:rFonts w:cs="Calibri"/>
                <w:color w:val="000000"/>
              </w:rPr>
              <w:t>0%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9F115D8" w14:textId="38CE939A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0%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0DFEA78" w14:textId="1CC90AEB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6.6%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932BFC2" w14:textId="161320EB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2.2%</w:t>
            </w:r>
          </w:p>
        </w:tc>
      </w:tr>
      <w:tr w:rsidR="00433F14" w:rsidRPr="002E7961" w14:paraId="301C4F22" w14:textId="77777777" w:rsidTr="0010787C">
        <w:trPr>
          <w:trHeight w:val="259"/>
        </w:trPr>
        <w:tc>
          <w:tcPr>
            <w:tcW w:w="1010" w:type="pct"/>
            <w:vMerge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3AE2BFF" w14:textId="77777777" w:rsidR="00433F14" w:rsidRDefault="00433F14" w:rsidP="00433F14">
            <w:pPr>
              <w:ind w:left="126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29F3C2E" w14:textId="54EDE1E6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1-20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BDAC4D4" w14:textId="7461BD8C" w:rsidR="00433F14" w:rsidRPr="006601E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2BDE822" w14:textId="0AAE3111" w:rsidR="00433F14" w:rsidRPr="002E796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A7F4880" w14:textId="40D57F00" w:rsidR="00433F14" w:rsidRPr="006601E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00D42ED" w14:textId="045293E1" w:rsidR="00433F14" w:rsidRPr="002E7961" w:rsidRDefault="009664C5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2</w:t>
            </w:r>
            <w:r w:rsidR="00433F14">
              <w:rPr>
                <w:rFonts w:cs="Calibri"/>
                <w:color w:val="000000"/>
              </w:rPr>
              <w:t>0%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7CD2B48" w14:textId="7AAB0E50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1.4%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50230F1" w14:textId="0F50F9A5" w:rsidR="00433F14" w:rsidRPr="002E796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2.8%</w:t>
            </w:r>
          </w:p>
        </w:tc>
      </w:tr>
      <w:tr w:rsidR="00433F14" w:rsidRPr="002E7961" w14:paraId="6EDB2000" w14:textId="77777777" w:rsidTr="0010787C">
        <w:trPr>
          <w:trHeight w:val="259"/>
        </w:trPr>
        <w:tc>
          <w:tcPr>
            <w:tcW w:w="101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225C1DA" w14:textId="7494968A" w:rsidR="00433F14" w:rsidRDefault="00433F14" w:rsidP="00433F14">
            <w:pPr>
              <w:ind w:left="126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Dual Eligibility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DA9A4DF" w14:textId="45000DB8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80-100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D8A9CA4" w14:textId="1FF5A452" w:rsidR="00433F14" w:rsidRPr="006601E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9A80E40" w14:textId="79766F2B" w:rsidR="00433F14" w:rsidRPr="002E796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F37A2CF" w14:textId="74543490" w:rsidR="00433F14" w:rsidRPr="006601E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46DDF2D" w14:textId="65F54897" w:rsidR="00433F14" w:rsidRPr="002E796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617A47A" w14:textId="415CA725" w:rsidR="00433F14" w:rsidRPr="006601E1" w:rsidRDefault="009664C5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2</w:t>
            </w:r>
            <w:r w:rsidR="00433F14">
              <w:rPr>
                <w:rFonts w:cs="Calibri"/>
                <w:color w:val="000000"/>
              </w:rPr>
              <w:t>0%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40DC213" w14:textId="2410EFDC" w:rsidR="00433F14" w:rsidRPr="002E796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0%</w:t>
            </w:r>
          </w:p>
        </w:tc>
      </w:tr>
      <w:tr w:rsidR="00433F14" w:rsidRPr="002E7961" w14:paraId="25A41509" w14:textId="77777777" w:rsidTr="0010787C">
        <w:trPr>
          <w:trHeight w:val="259"/>
        </w:trPr>
        <w:tc>
          <w:tcPr>
            <w:tcW w:w="101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68614DAA" w14:textId="77777777" w:rsidR="00433F14" w:rsidRDefault="00433F14" w:rsidP="00433F14">
            <w:pPr>
              <w:ind w:left="126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1230DD48" w14:textId="2E1B2B87" w:rsidR="00433F14" w:rsidRPr="006601E1" w:rsidRDefault="00433F14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1-20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77ED6133" w14:textId="1B0EC85C" w:rsidR="00433F14" w:rsidRPr="006601E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68B6D7B0" w14:textId="433FB44E" w:rsidR="00433F14" w:rsidRPr="002E796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97D6603" w14:textId="35F24216" w:rsidR="00433F14" w:rsidRPr="006601E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6ABF4A38" w14:textId="4572EE59" w:rsidR="00433F14" w:rsidRPr="002E796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78F2AF9" w14:textId="4C391A2B" w:rsidR="00433F14" w:rsidRPr="006601E1" w:rsidRDefault="00432B0A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5A706A1F" w14:textId="36432AD3" w:rsidR="00433F14" w:rsidRPr="002E7961" w:rsidRDefault="009664C5" w:rsidP="00433F14">
            <w:pPr>
              <w:ind w:left="126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</w:rPr>
              <w:t>2</w:t>
            </w:r>
            <w:r w:rsidR="00433F14">
              <w:rPr>
                <w:rFonts w:cs="Calibri"/>
                <w:color w:val="000000"/>
              </w:rPr>
              <w:t>0%</w:t>
            </w:r>
          </w:p>
        </w:tc>
      </w:tr>
    </w:tbl>
    <w:p w14:paraId="43BBDB05" w14:textId="18938C02" w:rsidR="00825B79" w:rsidRDefault="00825B79"/>
    <w:p w14:paraId="6F6EE245" w14:textId="0BEB5E17" w:rsidR="005D7889" w:rsidRDefault="005D7889"/>
    <w:p w14:paraId="196468EA" w14:textId="0A932C34" w:rsidR="005D7889" w:rsidRPr="00385537" w:rsidRDefault="005D7889" w:rsidP="005D7889">
      <w:pPr>
        <w:spacing w:after="0" w:line="240" w:lineRule="auto"/>
      </w:pPr>
      <w:r>
        <w:t>Exhibit A4</w:t>
      </w:r>
      <w:r w:rsidRPr="00FD2969">
        <w:t>.</w:t>
      </w:r>
      <w:r>
        <w:t xml:space="preserve"> P</w:t>
      </w:r>
      <w:r w:rsidRPr="005D7889">
        <w:t>atient</w:t>
      </w:r>
      <w:r>
        <w:t>-</w:t>
      </w:r>
      <w:proofErr w:type="spellStart"/>
      <w:r w:rsidRPr="005D7889">
        <w:t>casemix</w:t>
      </w:r>
      <w:proofErr w:type="spellEnd"/>
      <w:r w:rsidRPr="005D7889">
        <w:t xml:space="preserve"> at the different points in the distr</w:t>
      </w:r>
      <w:r>
        <w:t>i</w:t>
      </w:r>
      <w:r w:rsidRPr="005D7889">
        <w:t>bution across</w:t>
      </w:r>
      <w:r>
        <w:t xml:space="preserve"> dialysis</w:t>
      </w:r>
      <w:r w:rsidRPr="005D7889">
        <w:t xml:space="preserve"> facilities</w:t>
      </w:r>
      <w:r w:rsidR="007202FD" w:rsidRPr="00FD2969">
        <w:t xml:space="preserve">, </w:t>
      </w:r>
      <w:r w:rsidR="007202FD">
        <w:t xml:space="preserve">Calendar Years </w:t>
      </w:r>
      <w:r w:rsidR="007202FD" w:rsidRPr="00FD2969">
        <w:t>201</w:t>
      </w:r>
      <w:r w:rsidR="007202FD">
        <w:t>0–</w:t>
      </w:r>
      <w:r w:rsidR="007202FD" w:rsidRPr="00FD2969">
        <w:t>20</w:t>
      </w:r>
      <w:r w:rsidR="007202FD">
        <w:t>1</w:t>
      </w:r>
      <w:r w:rsidR="007202FD">
        <w:t>9</w:t>
      </w:r>
    </w:p>
    <w:tbl>
      <w:tblPr>
        <w:tblStyle w:val="InsightTable"/>
        <w:tblW w:w="264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714"/>
        <w:gridCol w:w="1080"/>
        <w:gridCol w:w="1080"/>
        <w:gridCol w:w="1077"/>
      </w:tblGrid>
      <w:tr w:rsidR="005D7889" w:rsidRPr="00295C7C" w14:paraId="3EDBD93D" w14:textId="77777777" w:rsidTr="005D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1730" w:type="pct"/>
            <w:tcBorders>
              <w:top w:val="single" w:sz="8" w:space="0" w:color="auto"/>
              <w:bottom w:val="single" w:sz="4" w:space="0" w:color="auto"/>
            </w:tcBorders>
          </w:tcPr>
          <w:p w14:paraId="3C198FEE" w14:textId="77777777" w:rsidR="005D7889" w:rsidRPr="00913EDD" w:rsidRDefault="005D7889" w:rsidP="00CD3902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91" w:type="pct"/>
            <w:tcBorders>
              <w:top w:val="single" w:sz="8" w:space="0" w:color="auto"/>
              <w:bottom w:val="single" w:sz="4" w:space="0" w:color="auto"/>
            </w:tcBorders>
          </w:tcPr>
          <w:p w14:paraId="3E44F844" w14:textId="3DBD7C71" w:rsidR="005D7889" w:rsidRDefault="005D7889" w:rsidP="00CD3902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20</w:t>
            </w:r>
            <w:r w:rsidRPr="005D7889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 xml:space="preserve"> Percentile</w:t>
            </w:r>
          </w:p>
        </w:tc>
        <w:tc>
          <w:tcPr>
            <w:tcW w:w="1091" w:type="pct"/>
            <w:tcBorders>
              <w:top w:val="single" w:sz="8" w:space="0" w:color="auto"/>
              <w:bottom w:val="single" w:sz="4" w:space="0" w:color="auto"/>
            </w:tcBorders>
          </w:tcPr>
          <w:p w14:paraId="45ABA029" w14:textId="5833DCDE" w:rsidR="005D7889" w:rsidRDefault="005D7889" w:rsidP="00CD3902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50</w:t>
            </w:r>
            <w:r w:rsidRPr="005D7889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 xml:space="preserve"> Percentile</w:t>
            </w:r>
          </w:p>
        </w:tc>
        <w:tc>
          <w:tcPr>
            <w:tcW w:w="1089" w:type="pct"/>
            <w:tcBorders>
              <w:top w:val="single" w:sz="8" w:space="0" w:color="auto"/>
              <w:bottom w:val="single" w:sz="4" w:space="0" w:color="auto"/>
            </w:tcBorders>
          </w:tcPr>
          <w:p w14:paraId="3BB37CC5" w14:textId="1934BF89" w:rsidR="005D7889" w:rsidRDefault="005D7889" w:rsidP="00CD3902">
            <w:pP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>80</w:t>
            </w:r>
            <w:r w:rsidRPr="005D7889"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Calibri"/>
                <w:b/>
                <w:bCs/>
                <w:color w:val="000000"/>
                <w:sz w:val="18"/>
                <w:szCs w:val="20"/>
              </w:rPr>
              <w:t xml:space="preserve"> Percentile</w:t>
            </w:r>
          </w:p>
        </w:tc>
      </w:tr>
      <w:tr w:rsidR="005D7889" w:rsidRPr="002E7961" w14:paraId="24B261F1" w14:textId="77777777" w:rsidTr="005D7889">
        <w:trPr>
          <w:trHeight w:val="259"/>
        </w:trPr>
        <w:tc>
          <w:tcPr>
            <w:tcW w:w="17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184437F9" w14:textId="0A0E38C5" w:rsidR="005D7889" w:rsidRDefault="005D7889" w:rsidP="005D7889">
            <w:pPr>
              <w:ind w:left="126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Black Race 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49005" w14:textId="2752B709" w:rsidR="005D7889" w:rsidRPr="005D7889" w:rsidRDefault="005D7889" w:rsidP="005D7889">
            <w:pPr>
              <w:ind w:left="126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D7889">
              <w:rPr>
                <w:rFonts w:asciiTheme="minorHAnsi" w:eastAsia="Arial Unicode MS" w:hAnsiTheme="minorHAnsi" w:cstheme="minorHAnsi"/>
                <w:color w:val="2A3037"/>
                <w:szCs w:val="20"/>
              </w:rPr>
              <w:t>8%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0795E" w14:textId="2B448E57" w:rsidR="005D7889" w:rsidRPr="005D7889" w:rsidRDefault="005D7889" w:rsidP="005D7889">
            <w:pPr>
              <w:ind w:left="126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D7889">
              <w:rPr>
                <w:rFonts w:asciiTheme="minorHAnsi" w:hAnsiTheme="minorHAnsi" w:cstheme="minorHAnsi"/>
                <w:color w:val="2A3037"/>
                <w:szCs w:val="20"/>
              </w:rPr>
              <w:t>28%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41484" w14:textId="001570AF" w:rsidR="005D7889" w:rsidRPr="005D7889" w:rsidRDefault="005D7889" w:rsidP="005D7889">
            <w:pPr>
              <w:ind w:left="126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D7889">
              <w:rPr>
                <w:rFonts w:asciiTheme="minorHAnsi" w:eastAsia="Arial Unicode MS" w:hAnsiTheme="minorHAnsi" w:cstheme="minorHAnsi"/>
                <w:color w:val="2A3037"/>
                <w:szCs w:val="20"/>
              </w:rPr>
              <w:t>62%</w:t>
            </w:r>
          </w:p>
        </w:tc>
      </w:tr>
      <w:tr w:rsidR="005D7889" w:rsidRPr="002E7961" w14:paraId="48243DC7" w14:textId="77777777" w:rsidTr="005D7889">
        <w:trPr>
          <w:trHeight w:val="259"/>
        </w:trPr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436CBBC" w14:textId="5EA4A007" w:rsidR="005D7889" w:rsidRDefault="005D7889" w:rsidP="005D7889">
            <w:pPr>
              <w:ind w:left="126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Hispanic Ethnicity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85C34" w14:textId="51908B37" w:rsidR="005D7889" w:rsidRPr="005D7889" w:rsidRDefault="005D7889" w:rsidP="005D7889">
            <w:pPr>
              <w:ind w:left="126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D7889">
              <w:rPr>
                <w:rFonts w:asciiTheme="minorHAnsi" w:hAnsiTheme="minorHAnsi" w:cstheme="minorHAnsi"/>
                <w:color w:val="2A3037"/>
                <w:szCs w:val="20"/>
              </w:rPr>
              <w:t>2%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8FE65" w14:textId="3139AC2D" w:rsidR="005D7889" w:rsidRPr="005D7889" w:rsidRDefault="005D7889" w:rsidP="005D7889">
            <w:pPr>
              <w:ind w:left="126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D7889">
              <w:rPr>
                <w:rFonts w:asciiTheme="minorHAnsi" w:hAnsiTheme="minorHAnsi" w:cstheme="minorHAnsi"/>
                <w:color w:val="2A3037"/>
                <w:szCs w:val="20"/>
              </w:rPr>
              <w:t>7%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2A6DD" w14:textId="0C8F10BE" w:rsidR="005D7889" w:rsidRPr="005D7889" w:rsidRDefault="005D7889" w:rsidP="005D7889">
            <w:pPr>
              <w:ind w:left="126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D7889">
              <w:rPr>
                <w:rFonts w:asciiTheme="minorHAnsi" w:hAnsiTheme="minorHAnsi" w:cstheme="minorHAnsi"/>
                <w:color w:val="2A3037"/>
                <w:szCs w:val="20"/>
              </w:rPr>
              <w:t>23%</w:t>
            </w:r>
          </w:p>
        </w:tc>
      </w:tr>
      <w:tr w:rsidR="005D7889" w:rsidRPr="002E7961" w14:paraId="1EF92DCC" w14:textId="77777777" w:rsidTr="005D7889">
        <w:trPr>
          <w:trHeight w:val="259"/>
        </w:trPr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top"/>
          </w:tcPr>
          <w:p w14:paraId="43E86060" w14:textId="01BA58B5" w:rsidR="005D7889" w:rsidRDefault="005D7889" w:rsidP="005D7889">
            <w:pPr>
              <w:ind w:left="126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 xml:space="preserve">Dual Eligibility 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837A5" w14:textId="67820D0E" w:rsidR="005D7889" w:rsidRPr="005D7889" w:rsidRDefault="005D7889" w:rsidP="005D7889">
            <w:pPr>
              <w:ind w:left="126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D7889">
              <w:rPr>
                <w:rFonts w:asciiTheme="minorHAnsi" w:hAnsiTheme="minorHAnsi" w:cstheme="minorHAnsi"/>
                <w:color w:val="2A3037"/>
                <w:szCs w:val="20"/>
              </w:rPr>
              <w:t>21%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0F337" w14:textId="033BCF98" w:rsidR="005D7889" w:rsidRPr="005D7889" w:rsidRDefault="005D7889" w:rsidP="005D7889">
            <w:pPr>
              <w:ind w:left="126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D7889">
              <w:rPr>
                <w:rFonts w:asciiTheme="minorHAnsi" w:hAnsiTheme="minorHAnsi" w:cstheme="minorHAnsi"/>
                <w:color w:val="2A3037"/>
                <w:szCs w:val="20"/>
              </w:rPr>
              <w:t>31%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615AC" w14:textId="2897B736" w:rsidR="005D7889" w:rsidRPr="005D7889" w:rsidRDefault="005D7889" w:rsidP="005D7889">
            <w:pPr>
              <w:ind w:left="126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5D7889">
              <w:rPr>
                <w:rFonts w:asciiTheme="minorHAnsi" w:hAnsiTheme="minorHAnsi" w:cstheme="minorHAnsi"/>
                <w:color w:val="2A3037"/>
                <w:szCs w:val="20"/>
              </w:rPr>
              <w:t>45%</w:t>
            </w:r>
          </w:p>
        </w:tc>
      </w:tr>
    </w:tbl>
    <w:p w14:paraId="5F8556EB" w14:textId="77777777" w:rsidR="005D7889" w:rsidRDefault="005D7889"/>
    <w:sectPr w:rsidR="005D7889" w:rsidSect="0003233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5EF7" w14:textId="77777777" w:rsidR="00C64EF9" w:rsidRDefault="00C64EF9">
      <w:pPr>
        <w:spacing w:after="0" w:line="240" w:lineRule="auto"/>
      </w:pPr>
      <w:r>
        <w:separator/>
      </w:r>
    </w:p>
  </w:endnote>
  <w:endnote w:type="continuationSeparator" w:id="0">
    <w:p w14:paraId="2DC6D33B" w14:textId="77777777" w:rsidR="00C64EF9" w:rsidRDefault="00C6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289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1FE9B" w14:textId="77777777" w:rsidR="00087DD9" w:rsidRPr="00663622" w:rsidRDefault="00105FD3">
        <w:pPr>
          <w:pStyle w:val="Footer"/>
          <w:jc w:val="right"/>
          <w:rPr>
            <w:sz w:val="20"/>
            <w:szCs w:val="20"/>
          </w:rPr>
        </w:pPr>
        <w:r w:rsidRPr="00663622">
          <w:rPr>
            <w:sz w:val="20"/>
            <w:szCs w:val="20"/>
          </w:rPr>
          <w:fldChar w:fldCharType="begin"/>
        </w:r>
        <w:r w:rsidRPr="00663622">
          <w:rPr>
            <w:sz w:val="20"/>
            <w:szCs w:val="20"/>
          </w:rPr>
          <w:instrText xml:space="preserve"> PAGE   \* MERGEFORMAT </w:instrText>
        </w:r>
        <w:r w:rsidRPr="00663622">
          <w:rPr>
            <w:sz w:val="20"/>
            <w:szCs w:val="20"/>
          </w:rPr>
          <w:fldChar w:fldCharType="separate"/>
        </w:r>
        <w:r w:rsidRPr="00663622">
          <w:rPr>
            <w:noProof/>
            <w:sz w:val="20"/>
            <w:szCs w:val="20"/>
          </w:rPr>
          <w:t>9</w:t>
        </w:r>
        <w:r w:rsidRPr="00663622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74508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4C4B0" w14:textId="77777777" w:rsidR="00087DD9" w:rsidRPr="000A556B" w:rsidRDefault="00105FD3" w:rsidP="008642C6">
        <w:pPr>
          <w:pStyle w:val="Footer"/>
          <w:tabs>
            <w:tab w:val="left" w:pos="690"/>
          </w:tabs>
          <w:rPr>
            <w:sz w:val="20"/>
            <w:szCs w:val="20"/>
          </w:rPr>
        </w:pPr>
        <w:r w:rsidRPr="000A556B">
          <w:rPr>
            <w:sz w:val="20"/>
            <w:szCs w:val="20"/>
          </w:rPr>
          <w:tab/>
        </w:r>
        <w:r w:rsidRPr="000A556B">
          <w:rPr>
            <w:sz w:val="20"/>
            <w:szCs w:val="20"/>
          </w:rPr>
          <w:tab/>
        </w:r>
        <w:r w:rsidRPr="000A556B">
          <w:rPr>
            <w:sz w:val="20"/>
            <w:szCs w:val="20"/>
          </w:rPr>
          <w:tab/>
        </w:r>
        <w:r w:rsidRPr="000A556B">
          <w:rPr>
            <w:sz w:val="20"/>
            <w:szCs w:val="20"/>
          </w:rPr>
          <w:fldChar w:fldCharType="begin"/>
        </w:r>
        <w:r w:rsidRPr="000A556B">
          <w:rPr>
            <w:sz w:val="20"/>
            <w:szCs w:val="20"/>
          </w:rPr>
          <w:instrText xml:space="preserve"> PAGE   \* MERGEFORMAT </w:instrText>
        </w:r>
        <w:r w:rsidRPr="000A556B">
          <w:rPr>
            <w:sz w:val="20"/>
            <w:szCs w:val="20"/>
          </w:rPr>
          <w:fldChar w:fldCharType="separate"/>
        </w:r>
        <w:r w:rsidRPr="000A556B">
          <w:rPr>
            <w:noProof/>
            <w:sz w:val="20"/>
            <w:szCs w:val="20"/>
          </w:rPr>
          <w:t>1</w:t>
        </w:r>
        <w:r w:rsidRPr="000A556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D277" w14:textId="77777777" w:rsidR="00C64EF9" w:rsidRDefault="00C64EF9">
      <w:pPr>
        <w:spacing w:after="0" w:line="240" w:lineRule="auto"/>
      </w:pPr>
      <w:r>
        <w:separator/>
      </w:r>
    </w:p>
  </w:footnote>
  <w:footnote w:type="continuationSeparator" w:id="0">
    <w:p w14:paraId="7C2BF96A" w14:textId="77777777" w:rsidR="00C64EF9" w:rsidRDefault="00C64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2C"/>
    <w:rsid w:val="00105FD3"/>
    <w:rsid w:val="0010787C"/>
    <w:rsid w:val="00245A2C"/>
    <w:rsid w:val="003B086A"/>
    <w:rsid w:val="00432B0A"/>
    <w:rsid w:val="00433F14"/>
    <w:rsid w:val="004904C7"/>
    <w:rsid w:val="005D7889"/>
    <w:rsid w:val="00624C75"/>
    <w:rsid w:val="007202FD"/>
    <w:rsid w:val="00761831"/>
    <w:rsid w:val="0080295E"/>
    <w:rsid w:val="00825B79"/>
    <w:rsid w:val="00897F04"/>
    <w:rsid w:val="008A252E"/>
    <w:rsid w:val="009653F7"/>
    <w:rsid w:val="009664C5"/>
    <w:rsid w:val="009A4BC4"/>
    <w:rsid w:val="009E3D5A"/>
    <w:rsid w:val="009F3653"/>
    <w:rsid w:val="00B74851"/>
    <w:rsid w:val="00C64EF9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C8BB"/>
  <w15:chartTrackingRefBased/>
  <w15:docId w15:val="{A7DA5705-79BA-4EBD-964A-18F0B435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2C"/>
  </w:style>
  <w:style w:type="table" w:customStyle="1" w:styleId="InsightTable">
    <w:name w:val="Insight Table"/>
    <w:basedOn w:val="TableNormal"/>
    <w:uiPriority w:val="99"/>
    <w:rsid w:val="00245A2C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8" w:type="dxa"/>
        <w:right w:w="58" w:type="dxa"/>
      </w:tblCellMar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Century Gothic" w:hAnsi="Century Gothic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Breck</dc:creator>
  <cp:keywords/>
  <dc:description/>
  <cp:lastModifiedBy>Andrew Breck</cp:lastModifiedBy>
  <cp:revision>11</cp:revision>
  <dcterms:created xsi:type="dcterms:W3CDTF">2022-04-03T21:05:00Z</dcterms:created>
  <dcterms:modified xsi:type="dcterms:W3CDTF">2022-05-02T01:54:00Z</dcterms:modified>
</cp:coreProperties>
</file>