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E0F1" w14:textId="77777777" w:rsidR="00326359" w:rsidRPr="00E81538" w:rsidRDefault="00326359" w:rsidP="0032635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Supplemental </w:t>
      </w:r>
      <w:r w:rsidRPr="00E81538">
        <w:rPr>
          <w:rFonts w:ascii="Times New Roman" w:hAnsi="Times New Roman" w:cs="Times New Roman"/>
          <w:b/>
          <w:bCs/>
        </w:rPr>
        <w:t>Appendix</w:t>
      </w:r>
    </w:p>
    <w:p w14:paraId="785F3BF7" w14:textId="77777777" w:rsidR="00326359" w:rsidRPr="00181649" w:rsidRDefault="00326359" w:rsidP="00326359">
      <w:pPr>
        <w:rPr>
          <w:rFonts w:ascii="Times New Roman" w:hAnsi="Times New Roman" w:cs="Times New Roman"/>
        </w:rPr>
      </w:pPr>
    </w:p>
    <w:p w14:paraId="788C5855" w14:textId="22DD4B33" w:rsidR="00326359" w:rsidRPr="00181649" w:rsidRDefault="00326359" w:rsidP="00326359">
      <w:pPr>
        <w:rPr>
          <w:rFonts w:ascii="Times New Roman" w:hAnsi="Times New Roman" w:cs="Times New Roman"/>
        </w:rPr>
      </w:pPr>
      <w:r w:rsidRPr="00181649">
        <w:rPr>
          <w:rFonts w:ascii="Times New Roman" w:hAnsi="Times New Roman" w:cs="Times New Roman"/>
        </w:rPr>
        <w:t>We estimated a series of interrupted time series models (ITS) to evaluate the association between the COVID-19-related rapid shift to telemedicine and</w:t>
      </w:r>
      <w:r w:rsidR="00FA6D73">
        <w:rPr>
          <w:rFonts w:ascii="Times New Roman" w:hAnsi="Times New Roman" w:cs="Times New Roman"/>
        </w:rPr>
        <w:t xml:space="preserve"> differences in</w:t>
      </w:r>
      <w:r w:rsidRPr="00181649">
        <w:rPr>
          <w:rFonts w:ascii="Times New Roman" w:hAnsi="Times New Roman" w:cs="Times New Roman"/>
        </w:rPr>
        <w:t xml:space="preserve"> </w:t>
      </w:r>
      <w:r w:rsidR="00FA6D73">
        <w:rPr>
          <w:rFonts w:ascii="Times New Roman" w:hAnsi="Times New Roman" w:cs="Times New Roman"/>
        </w:rPr>
        <w:t xml:space="preserve">outpatient </w:t>
      </w:r>
      <w:r w:rsidRPr="00181649">
        <w:rPr>
          <w:rFonts w:ascii="Times New Roman" w:hAnsi="Times New Roman" w:cs="Times New Roman"/>
        </w:rPr>
        <w:t>E&amp;M visits for Louisiana Medicaid beneficiaries</w:t>
      </w:r>
      <w:r w:rsidR="00FA6D73">
        <w:rPr>
          <w:rFonts w:ascii="Times New Roman" w:hAnsi="Times New Roman" w:cs="Times New Roman"/>
        </w:rPr>
        <w:t xml:space="preserve"> by race, ethnicity, and rurality</w:t>
      </w:r>
      <w:r w:rsidRPr="00181649">
        <w:rPr>
          <w:rFonts w:ascii="Times New Roman" w:hAnsi="Times New Roman" w:cs="Times New Roman"/>
        </w:rPr>
        <w:t>. The interrupted time series models allow us to assess trends in utilization prior to COVID-19 and then examine changes in those trends that coincide with the two peak COVID waves in April and July 2020. We specified our ITS models as follows:</w:t>
      </w:r>
    </w:p>
    <w:p w14:paraId="3B259A68" w14:textId="77777777" w:rsidR="00326359" w:rsidRPr="00181649" w:rsidRDefault="00326359" w:rsidP="00326359">
      <w:pPr>
        <w:rPr>
          <w:rFonts w:ascii="Times New Roman" w:hAnsi="Times New Roman" w:cs="Times New Roman"/>
        </w:rPr>
      </w:pPr>
    </w:p>
    <w:p w14:paraId="2CA1666B" w14:textId="77777777" w:rsidR="00326359" w:rsidRPr="00181649" w:rsidRDefault="00000000" w:rsidP="00326359">
      <w:pPr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gt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β</m:t>
              </m:r>
            </m:e>
            <m:sub>
              <m:r>
                <w:rPr>
                  <w:rFonts w:ascii="Cambria Math" w:hAnsi="Cambria Math" w:cs="Times New Roman"/>
                </w:rPr>
                <m:t>0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β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Trend</m:t>
              </m:r>
            </m:e>
            <m:sub>
              <m:r>
                <w:rPr>
                  <w:rFonts w:ascii="Cambria Math" w:hAnsi="Cambria Math" w:cs="Times New Roman"/>
                </w:rPr>
                <m:t>gt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β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Apr2020</m:t>
              </m:r>
            </m:e>
            <m:sub>
              <m:r>
                <w:rPr>
                  <w:rFonts w:ascii="Cambria Math" w:hAnsi="Cambria Math" w:cs="Times New Roman"/>
                </w:rPr>
                <m:t>t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β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Jul2020</m:t>
              </m:r>
            </m:e>
            <m:sub>
              <m:r>
                <w:rPr>
                  <w:rFonts w:ascii="Cambria Math" w:hAnsi="Cambria Math" w:cs="Times New Roman"/>
                </w:rPr>
                <m:t>t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β</m:t>
              </m:r>
            </m:e>
            <m:sub>
              <m:r>
                <w:rPr>
                  <w:rFonts w:ascii="Cambria Math" w:hAnsi="Cambria Math" w:cs="Times New Roman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Dec2020</m:t>
              </m:r>
            </m:e>
            <m:sub>
              <m:r>
                <w:rPr>
                  <w:rFonts w:ascii="Cambria Math" w:hAnsi="Cambria Math" w:cs="Times New Roman"/>
                </w:rPr>
                <m:t>t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β</m:t>
              </m:r>
            </m:e>
            <m:sub>
              <m:r>
                <w:rPr>
                  <w:rFonts w:ascii="Cambria Math" w:hAnsi="Cambria Math" w:cs="Times New Roman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Trend</m:t>
              </m:r>
            </m:e>
            <m:sub>
              <m:r>
                <w:rPr>
                  <w:rFonts w:ascii="Cambria Math" w:hAnsi="Cambria Math" w:cs="Times New Roman"/>
                </w:rPr>
                <m:t>gt</m:t>
              </m:r>
            </m:sub>
          </m:sSub>
          <m:r>
            <w:rPr>
              <w:rFonts w:ascii="Cambria Math" w:hAnsi="Cambria Math" w:cs="Times New Roman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Apr2020</m:t>
              </m:r>
            </m:e>
            <m:sub>
              <m:r>
                <w:rPr>
                  <w:rFonts w:ascii="Cambria Math" w:hAnsi="Cambria Math" w:cs="Times New Roman"/>
                </w:rPr>
                <m:t>gt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β</m:t>
              </m:r>
            </m:e>
            <m:sub>
              <m:r>
                <w:rPr>
                  <w:rFonts w:ascii="Cambria Math" w:hAnsi="Cambria Math" w:cs="Times New Roman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Trend</m:t>
              </m:r>
            </m:e>
            <m:sub>
              <m:r>
                <w:rPr>
                  <w:rFonts w:ascii="Cambria Math" w:hAnsi="Cambria Math" w:cs="Times New Roman"/>
                </w:rPr>
                <m:t>gt</m:t>
              </m:r>
            </m:sub>
          </m:sSub>
          <m:r>
            <w:rPr>
              <w:rFonts w:ascii="Cambria Math" w:hAnsi="Cambria Math" w:cs="Times New Roman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Jul2020</m:t>
              </m:r>
            </m:e>
            <m:sub>
              <m:r>
                <w:rPr>
                  <w:rFonts w:ascii="Cambria Math" w:hAnsi="Cambria Math" w:cs="Times New Roman"/>
                </w:rPr>
                <m:t>t</m:t>
              </m:r>
            </m:sub>
          </m:sSub>
          <m:r>
            <w:rPr>
              <w:rFonts w:ascii="Cambria Math" w:hAnsi="Cambria Math" w:cs="Times New Roman"/>
            </w:rPr>
            <m:t>+γ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Month</m:t>
              </m:r>
            </m:e>
            <m:sub>
              <m:r>
                <w:rPr>
                  <w:rFonts w:ascii="Cambria Math" w:hAnsi="Cambria Math" w:cs="Times New Roman"/>
                </w:rPr>
                <m:t>m</m:t>
              </m:r>
            </m:sub>
          </m:sSub>
          <m:r>
            <w:rPr>
              <w:rFonts w:ascii="Cambria Math" w:hAnsi="Cambria Math" w:cs="Times New Roman"/>
            </w:rPr>
            <m:t>+δ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Diag</m:t>
              </m:r>
            </m:e>
            <m:sub>
              <m:r>
                <w:rPr>
                  <w:rFonts w:ascii="Cambria Math" w:hAnsi="Cambria Math" w:cs="Times New Roman"/>
                </w:rPr>
                <m:t>gt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ε</m:t>
              </m:r>
            </m:e>
            <m:sub>
              <m:r>
                <w:rPr>
                  <w:rFonts w:ascii="Cambria Math" w:hAnsi="Cambria Math" w:cs="Times New Roman"/>
                </w:rPr>
                <m:t>gt</m:t>
              </m:r>
            </m:sub>
          </m:sSub>
        </m:oMath>
      </m:oMathPara>
    </w:p>
    <w:p w14:paraId="46E2DA28" w14:textId="77777777" w:rsidR="00326359" w:rsidRPr="00181649" w:rsidRDefault="00326359" w:rsidP="00326359">
      <w:pPr>
        <w:rPr>
          <w:rFonts w:ascii="Times New Roman" w:hAnsi="Times New Roman" w:cs="Times New Roman"/>
        </w:rPr>
      </w:pPr>
    </w:p>
    <w:p w14:paraId="07D80EB8" w14:textId="615E7C96" w:rsidR="00326359" w:rsidRPr="00181649" w:rsidRDefault="00326359" w:rsidP="00326359">
      <w:pPr>
        <w:rPr>
          <w:rFonts w:ascii="Times New Roman" w:eastAsiaTheme="minorEastAsia" w:hAnsi="Times New Roman" w:cs="Times New Roman"/>
        </w:rPr>
      </w:pPr>
      <w:r w:rsidRPr="00181649">
        <w:rPr>
          <w:rFonts w:ascii="Times New Roman" w:hAnsi="Times New Roman" w:cs="Times New Roman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gt</m:t>
            </m:r>
          </m:sub>
        </m:sSub>
      </m:oMath>
      <w:r w:rsidRPr="00181649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is</w:t>
      </w:r>
      <w:r w:rsidRPr="00181649">
        <w:rPr>
          <w:rFonts w:ascii="Times New Roman" w:eastAsiaTheme="minorEastAsia" w:hAnsi="Times New Roman" w:cs="Times New Roman"/>
        </w:rPr>
        <w:t xml:space="preserve"> either</w:t>
      </w:r>
      <w:r w:rsidR="00B82618">
        <w:rPr>
          <w:rFonts w:ascii="Times New Roman" w:eastAsiaTheme="minorEastAsia" w:hAnsi="Times New Roman" w:cs="Times New Roman"/>
        </w:rPr>
        <w:t xml:space="preserve"> differences in</w:t>
      </w:r>
      <w:r w:rsidRPr="00181649">
        <w:rPr>
          <w:rFonts w:ascii="Times New Roman" w:eastAsiaTheme="minorEastAsia" w:hAnsi="Times New Roman" w:cs="Times New Roman"/>
        </w:rPr>
        <w:t xml:space="preserve"> total</w:t>
      </w:r>
      <w:r w:rsidR="00B82618">
        <w:rPr>
          <w:rFonts w:ascii="Times New Roman" w:eastAsiaTheme="minorEastAsia" w:hAnsi="Times New Roman" w:cs="Times New Roman"/>
        </w:rPr>
        <w:t xml:space="preserve"> </w:t>
      </w:r>
      <w:r w:rsidRPr="00181649">
        <w:rPr>
          <w:rFonts w:ascii="Times New Roman" w:eastAsiaTheme="minorEastAsia" w:hAnsi="Times New Roman" w:cs="Times New Roman"/>
        </w:rPr>
        <w:t>or telemedicine E&amp;M claims per 1,000 Louisiana Medicaid beneficiaries for each subgroup</w:t>
      </w:r>
      <w:r w:rsidR="0099250B">
        <w:rPr>
          <w:rFonts w:ascii="Times New Roman" w:eastAsiaTheme="minorEastAsia" w:hAnsi="Times New Roman" w:cs="Times New Roman"/>
        </w:rPr>
        <w:t xml:space="preserve"> pairing</w:t>
      </w:r>
      <w:r w:rsidRPr="00181649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g</m:t>
        </m:r>
      </m:oMath>
      <w:r w:rsidRPr="00181649">
        <w:rPr>
          <w:rFonts w:ascii="Times New Roman" w:eastAsiaTheme="minorEastAsia" w:hAnsi="Times New Roman" w:cs="Times New Roman"/>
        </w:rPr>
        <w:t xml:space="preserve"> in each month-year </w:t>
      </w:r>
      <m:oMath>
        <m:r>
          <w:rPr>
            <w:rFonts w:ascii="Cambria Math" w:eastAsiaTheme="minorEastAsia" w:hAnsi="Cambria Math" w:cs="Times New Roman"/>
          </w:rPr>
          <m:t>t</m:t>
        </m:r>
      </m:oMath>
      <w:r w:rsidR="00B82618">
        <w:rPr>
          <w:rFonts w:ascii="Times New Roman" w:eastAsiaTheme="minorEastAsia" w:hAnsi="Times New Roman" w:cs="Times New Roman"/>
        </w:rPr>
        <w:t xml:space="preserve"> (e.g., Black-to-Hispanic differences, White-to-Black differences,</w:t>
      </w:r>
      <w:r w:rsidR="00694E08">
        <w:rPr>
          <w:rFonts w:ascii="Times New Roman" w:eastAsiaTheme="minorEastAsia" w:hAnsi="Times New Roman" w:cs="Times New Roman"/>
        </w:rPr>
        <w:t xml:space="preserve"> </w:t>
      </w:r>
      <w:r w:rsidR="00B82618">
        <w:rPr>
          <w:rFonts w:ascii="Times New Roman" w:eastAsiaTheme="minorEastAsia" w:hAnsi="Times New Roman" w:cs="Times New Roman"/>
        </w:rPr>
        <w:t>White-to-Hispanic differences</w:t>
      </w:r>
      <w:r w:rsidR="00694E08">
        <w:rPr>
          <w:rFonts w:ascii="Times New Roman" w:eastAsiaTheme="minorEastAsia" w:hAnsi="Times New Roman" w:cs="Times New Roman"/>
        </w:rPr>
        <w:t>, or rural-to-urban differences</w:t>
      </w:r>
      <w:r w:rsidR="00B82618">
        <w:rPr>
          <w:rFonts w:ascii="Times New Roman" w:eastAsiaTheme="minorEastAsia" w:hAnsi="Times New Roman" w:cs="Times New Roman"/>
        </w:rPr>
        <w:t>)</w:t>
      </w:r>
      <w:r w:rsidR="00B44108">
        <w:rPr>
          <w:rStyle w:val="FootnoteReference"/>
          <w:rFonts w:ascii="Times New Roman" w:eastAsiaTheme="minorEastAsia" w:hAnsi="Times New Roman" w:cs="Times New Roman"/>
        </w:rPr>
        <w:footnoteReference w:id="1"/>
      </w:r>
      <w:r w:rsidRPr="00181649">
        <w:rPr>
          <w:rFonts w:ascii="Times New Roman" w:eastAsiaTheme="minorEastAsia" w:hAnsi="Times New Roman" w:cs="Times New Roman"/>
        </w:rPr>
        <w:t xml:space="preserve">; </w:t>
      </w:r>
      <m:oMath>
        <m:r>
          <w:rPr>
            <w:rFonts w:ascii="Cambria Math" w:eastAsiaTheme="minorEastAsia" w:hAnsi="Cambria Math" w:cs="Times New Roman"/>
          </w:rPr>
          <m:t>Trend</m:t>
        </m:r>
      </m:oMath>
      <w:r w:rsidRPr="00181649">
        <w:rPr>
          <w:rFonts w:ascii="Times New Roman" w:hAnsi="Times New Roman" w:cs="Times New Roman"/>
        </w:rPr>
        <w:t xml:space="preserve"> is the number of months since January 2018 (i.e., a linear time trend); </w:t>
      </w:r>
      <m:oMath>
        <m:r>
          <w:rPr>
            <w:rFonts w:ascii="Cambria Math" w:hAnsi="Cambria Math" w:cs="Times New Roman"/>
          </w:rPr>
          <m:t>Apr2020</m:t>
        </m:r>
      </m:oMath>
      <w:r w:rsidRPr="00181649"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eastAsiaTheme="minorEastAsia" w:hAnsi="Cambria Math" w:cs="Times New Roman"/>
          </w:rPr>
          <m:t>Jul2020</m:t>
        </m:r>
      </m:oMath>
      <w:r w:rsidRPr="00181649">
        <w:rPr>
          <w:rFonts w:ascii="Times New Roman" w:eastAsiaTheme="minorEastAsia" w:hAnsi="Times New Roman" w:cs="Times New Roman"/>
        </w:rPr>
        <w:t xml:space="preserve">, and </w:t>
      </w:r>
      <m:oMath>
        <m:r>
          <w:rPr>
            <w:rFonts w:ascii="Cambria Math" w:eastAsiaTheme="minorEastAsia" w:hAnsi="Cambria Math" w:cs="Times New Roman"/>
          </w:rPr>
          <m:t>Dec2020</m:t>
        </m:r>
      </m:oMath>
      <w:r w:rsidRPr="00181649">
        <w:rPr>
          <w:rFonts w:ascii="Times New Roman" w:eastAsiaTheme="minorEastAsia" w:hAnsi="Times New Roman" w:cs="Times New Roman"/>
        </w:rPr>
        <w:t xml:space="preserve"> are indicators for April 2020, July 2020, and December 2020 (the first two COVID waves and the last month in our sample); </w:t>
      </w:r>
      <m:oMath>
        <m:r>
          <w:rPr>
            <w:rFonts w:ascii="Cambria Math" w:eastAsiaTheme="minorEastAsia" w:hAnsi="Cambria Math" w:cs="Times New Roman"/>
          </w:rPr>
          <m:t>Trend×Apr2020</m:t>
        </m:r>
      </m:oMath>
      <w:r w:rsidRPr="00181649"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Trend×Jul2020</m:t>
        </m:r>
      </m:oMath>
      <w:r w:rsidRPr="00181649">
        <w:rPr>
          <w:rFonts w:ascii="Times New Roman" w:eastAsiaTheme="minorEastAsia" w:hAnsi="Times New Roman" w:cs="Times New Roman"/>
        </w:rPr>
        <w:t xml:space="preserve"> are interactions between the monthly trend term and the indicators for April and July 2020; </w:t>
      </w:r>
      <m:oMath>
        <m:r>
          <w:rPr>
            <w:rFonts w:ascii="Cambria Math" w:eastAsiaTheme="minorEastAsia" w:hAnsi="Cambria Math" w:cs="Times New Roman"/>
          </w:rPr>
          <m:t>Month</m:t>
        </m:r>
      </m:oMath>
      <w:r w:rsidRPr="00181649">
        <w:rPr>
          <w:rFonts w:ascii="Times New Roman" w:eastAsiaTheme="minorEastAsia" w:hAnsi="Times New Roman" w:cs="Times New Roman"/>
        </w:rPr>
        <w:t xml:space="preserve"> is a vector of calendar months to control for seasonality; and </w:t>
      </w:r>
      <m:oMath>
        <m:r>
          <w:rPr>
            <w:rFonts w:ascii="Cambria Math" w:eastAsiaTheme="minorEastAsia" w:hAnsi="Cambria Math" w:cs="Times New Roman"/>
          </w:rPr>
          <m:t>Diag</m:t>
        </m:r>
      </m:oMath>
      <w:r w:rsidRPr="00181649">
        <w:rPr>
          <w:rFonts w:ascii="Times New Roman" w:eastAsiaTheme="minorEastAsia" w:hAnsi="Times New Roman" w:cs="Times New Roman"/>
        </w:rPr>
        <w:t xml:space="preserve"> is the</w:t>
      </w:r>
      <w:r w:rsidR="00694E08">
        <w:rPr>
          <w:rFonts w:ascii="Times New Roman" w:eastAsiaTheme="minorEastAsia" w:hAnsi="Times New Roman" w:cs="Times New Roman"/>
        </w:rPr>
        <w:t xml:space="preserve"> difference in the</w:t>
      </w:r>
      <w:r w:rsidRPr="00181649">
        <w:rPr>
          <w:rFonts w:ascii="Times New Roman" w:eastAsiaTheme="minorEastAsia" w:hAnsi="Times New Roman" w:cs="Times New Roman"/>
        </w:rPr>
        <w:t xml:space="preserve"> monthly share of beneficiaries in each subgroup with a diagnosis of cancer, chronic kidney disease, chronic obstructive pulmonary disease, hear failure, and stroke. </w:t>
      </w:r>
      <w:r w:rsidRPr="00181649">
        <w:rPr>
          <w:rFonts w:ascii="Times New Roman" w:hAnsi="Times New Roman" w:cs="Times New Roman"/>
        </w:rPr>
        <w:t>We estimated separate models by subgroup</w:t>
      </w:r>
      <w:r w:rsidR="00694E08">
        <w:rPr>
          <w:rFonts w:ascii="Times New Roman" w:hAnsi="Times New Roman" w:cs="Times New Roman"/>
        </w:rPr>
        <w:t xml:space="preserve"> pairing</w:t>
      </w:r>
      <w:r w:rsidRPr="00181649">
        <w:rPr>
          <w:rFonts w:ascii="Times New Roman" w:hAnsi="Times New Roman" w:cs="Times New Roman"/>
        </w:rPr>
        <w:t xml:space="preserve"> and corrected our standard errors for autocorrelation.</w:t>
      </w:r>
    </w:p>
    <w:p w14:paraId="06B968B0" w14:textId="77777777" w:rsidR="00326359" w:rsidRPr="00181649" w:rsidRDefault="00326359" w:rsidP="00326359">
      <w:pPr>
        <w:rPr>
          <w:rFonts w:ascii="Times New Roman" w:hAnsi="Times New Roman" w:cs="Times New Roman"/>
        </w:rPr>
      </w:pPr>
    </w:p>
    <w:p w14:paraId="11F1D220" w14:textId="7606563B" w:rsidR="00326359" w:rsidRDefault="00326359" w:rsidP="003263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primary goal was to estimate COVID-related changes in</w:t>
      </w:r>
      <w:r w:rsidR="003B5B00">
        <w:rPr>
          <w:rFonts w:ascii="Times New Roman" w:hAnsi="Times New Roman" w:cs="Times New Roman"/>
        </w:rPr>
        <w:t xml:space="preserve"> total outpatient E&amp;M service use</w:t>
      </w:r>
      <w:r>
        <w:rPr>
          <w:rFonts w:ascii="Times New Roman" w:hAnsi="Times New Roman" w:cs="Times New Roman"/>
        </w:rPr>
        <w:t xml:space="preserve"> and </w:t>
      </w:r>
      <w:r w:rsidR="003B5B00">
        <w:rPr>
          <w:rFonts w:ascii="Times New Roman" w:hAnsi="Times New Roman" w:cs="Times New Roman"/>
        </w:rPr>
        <w:t xml:space="preserve">outpatient </w:t>
      </w:r>
      <w:r>
        <w:rPr>
          <w:rFonts w:ascii="Times New Roman" w:hAnsi="Times New Roman" w:cs="Times New Roman"/>
        </w:rPr>
        <w:t xml:space="preserve">telemedicine E&amp;M service </w:t>
      </w:r>
      <w:r w:rsidR="003B5B00">
        <w:rPr>
          <w:rFonts w:ascii="Times New Roman" w:hAnsi="Times New Roman" w:cs="Times New Roman"/>
        </w:rPr>
        <w:t>compared to</w:t>
      </w:r>
      <w:r>
        <w:rPr>
          <w:rFonts w:ascii="Times New Roman" w:hAnsi="Times New Roman" w:cs="Times New Roman"/>
        </w:rPr>
        <w:t xml:space="preserve"> baseline average</w:t>
      </w:r>
      <w:r w:rsidR="003B5B0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that we calculated from January 2018 through February 2020. To convert estimates from our ITS models to changes from baseline averages, we</w:t>
      </w:r>
      <w:r w:rsidRPr="00181649">
        <w:rPr>
          <w:rFonts w:ascii="Times New Roman" w:hAnsi="Times New Roman" w:cs="Times New Roman"/>
        </w:rPr>
        <w:t xml:space="preserve"> reported the following coefficient estimates and combinations of estimates in the paper tables:</w:t>
      </w:r>
    </w:p>
    <w:p w14:paraId="0516D338" w14:textId="77777777" w:rsidR="00326359" w:rsidRPr="00181649" w:rsidRDefault="00326359" w:rsidP="00326359">
      <w:pPr>
        <w:rPr>
          <w:rFonts w:ascii="Times New Roman" w:hAnsi="Times New Roman" w:cs="Times New Roman"/>
        </w:rPr>
      </w:pPr>
    </w:p>
    <w:p w14:paraId="57B1CAA8" w14:textId="77777777" w:rsidR="00326359" w:rsidRPr="00181649" w:rsidRDefault="00326359" w:rsidP="003263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81649">
        <w:rPr>
          <w:rFonts w:ascii="Times New Roman" w:hAnsi="Times New Roman" w:cs="Times New Roman"/>
        </w:rPr>
        <w:t xml:space="preserve">Average baseline trend from January 2018 through February 2020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(β</m:t>
                </m:r>
              </m:e>
              <m:sub>
                <m:r>
                  <w:rPr>
                    <w:rFonts w:ascii="Cambria Math" w:hAnsi="Cambria Math" w:cs="Times New Roman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</w:rPr>
              <m:t>+27*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)+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</w:p>
    <w:p w14:paraId="5AB87B87" w14:textId="77777777" w:rsidR="00326359" w:rsidRPr="00181649" w:rsidRDefault="00326359" w:rsidP="003263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81649">
        <w:rPr>
          <w:rFonts w:ascii="Times New Roman" w:hAnsi="Times New Roman" w:cs="Times New Roman"/>
        </w:rPr>
        <w:t xml:space="preserve">April 2020 change from baseline average =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</w:p>
    <w:p w14:paraId="7267C47B" w14:textId="77777777" w:rsidR="00326359" w:rsidRPr="00181649" w:rsidRDefault="00326359" w:rsidP="003263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81649">
        <w:rPr>
          <w:rFonts w:ascii="Times New Roman" w:hAnsi="Times New Roman" w:cs="Times New Roman"/>
        </w:rPr>
        <w:t xml:space="preserve">April 2020 to June 2020 trend =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5</m:t>
            </m:r>
          </m:sub>
        </m:sSub>
      </m:oMath>
    </w:p>
    <w:p w14:paraId="11E985BE" w14:textId="77777777" w:rsidR="00326359" w:rsidRPr="00181649" w:rsidRDefault="00326359" w:rsidP="003263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81649">
        <w:rPr>
          <w:rFonts w:ascii="Times New Roman" w:eastAsiaTheme="minorEastAsia" w:hAnsi="Times New Roman" w:cs="Times New Roman"/>
        </w:rPr>
        <w:t xml:space="preserve">July 2020 change from baseline average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  <m:r>
          <w:rPr>
            <w:rFonts w:ascii="Cambria Math" w:eastAsiaTheme="minorEastAsia" w:hAnsi="Cambria Math" w:cs="Times New Roman"/>
          </w:rPr>
          <m:t>+2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5</m:t>
                </m:r>
              </m:sub>
            </m:sSub>
          </m:e>
        </m:d>
      </m:oMath>
    </w:p>
    <w:p w14:paraId="46BC8298" w14:textId="77777777" w:rsidR="00326359" w:rsidRPr="00181649" w:rsidRDefault="00326359" w:rsidP="003263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81649">
        <w:rPr>
          <w:rFonts w:ascii="Times New Roman" w:eastAsiaTheme="minorEastAsia" w:hAnsi="Times New Roman" w:cs="Times New Roman"/>
        </w:rPr>
        <w:t xml:space="preserve">July 2020 to November 2020 trend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</w:rPr>
              <m:t>5</m:t>
            </m:r>
          </m:sub>
        </m:sSub>
        <m: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</w:rPr>
              <m:t>6</m:t>
            </m:r>
          </m:sub>
        </m:sSub>
      </m:oMath>
    </w:p>
    <w:p w14:paraId="48EAE061" w14:textId="77777777" w:rsidR="00326359" w:rsidRPr="00181649" w:rsidRDefault="00326359" w:rsidP="003263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81649">
        <w:rPr>
          <w:rFonts w:ascii="Times New Roman" w:eastAsiaTheme="minorEastAsia" w:hAnsi="Times New Roman" w:cs="Times New Roman"/>
        </w:rPr>
        <w:t xml:space="preserve">December 2020 change from baseline average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  <m: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</w:rPr>
              <m:t>4</m:t>
            </m:r>
          </m:sub>
        </m:sSub>
        <m:r>
          <w:rPr>
            <w:rFonts w:ascii="Cambria Math" w:eastAsiaTheme="minorEastAsia" w:hAnsi="Cambria Math" w:cs="Times New Roman"/>
          </w:rPr>
          <m:t>+6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5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+4*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</w:rPr>
              <m:t>6</m:t>
            </m:r>
          </m:sub>
        </m:sSub>
      </m:oMath>
    </w:p>
    <w:p w14:paraId="13A8422B" w14:textId="77777777" w:rsidR="0070168B" w:rsidRDefault="0070168B"/>
    <w:sectPr w:rsidR="00701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3EE30" w14:textId="77777777" w:rsidR="009C1E3E" w:rsidRDefault="009C1E3E" w:rsidP="00B44108">
      <w:r>
        <w:separator/>
      </w:r>
    </w:p>
  </w:endnote>
  <w:endnote w:type="continuationSeparator" w:id="0">
    <w:p w14:paraId="379042E4" w14:textId="77777777" w:rsidR="009C1E3E" w:rsidRDefault="009C1E3E" w:rsidP="00B4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49241" w14:textId="77777777" w:rsidR="009C1E3E" w:rsidRDefault="009C1E3E" w:rsidP="00B44108">
      <w:r>
        <w:separator/>
      </w:r>
    </w:p>
  </w:footnote>
  <w:footnote w:type="continuationSeparator" w:id="0">
    <w:p w14:paraId="464E37BE" w14:textId="77777777" w:rsidR="009C1E3E" w:rsidRDefault="009C1E3E" w:rsidP="00B44108">
      <w:r>
        <w:continuationSeparator/>
      </w:r>
    </w:p>
  </w:footnote>
  <w:footnote w:id="1">
    <w:p w14:paraId="6EDE779E" w14:textId="3AFCB0E0" w:rsidR="00B44108" w:rsidRPr="00B44108" w:rsidRDefault="00B44108">
      <w:pPr>
        <w:pStyle w:val="FootnoteText"/>
        <w:rPr>
          <w:rFonts w:ascii="Times New Roman" w:hAnsi="Times New Roman" w:cs="Times New Roman"/>
        </w:rPr>
      </w:pPr>
      <w:r w:rsidRPr="00B44108">
        <w:rPr>
          <w:rStyle w:val="FootnoteReference"/>
          <w:rFonts w:ascii="Times New Roman" w:hAnsi="Times New Roman" w:cs="Times New Roman"/>
        </w:rPr>
        <w:footnoteRef/>
      </w:r>
      <w:r w:rsidRPr="00B44108">
        <w:rPr>
          <w:rFonts w:ascii="Times New Roman" w:hAnsi="Times New Roman" w:cs="Times New Roman"/>
        </w:rPr>
        <w:t xml:space="preserve"> Estimates in the Supplementary Appendix use levels of E&amp;M claims by group </w:t>
      </w:r>
      <w:r>
        <w:rPr>
          <w:rFonts w:ascii="Times New Roman" w:hAnsi="Times New Roman" w:cs="Times New Roman"/>
        </w:rPr>
        <w:t xml:space="preserve">as the dependent variables </w:t>
      </w:r>
      <w:r w:rsidRPr="00B44108">
        <w:rPr>
          <w:rFonts w:ascii="Times New Roman" w:hAnsi="Times New Roman" w:cs="Times New Roman"/>
        </w:rPr>
        <w:t>rather than differences between groups.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40B0"/>
    <w:multiLevelType w:val="hybridMultilevel"/>
    <w:tmpl w:val="2CC045AC"/>
    <w:lvl w:ilvl="0" w:tplc="4DE826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29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59"/>
    <w:rsid w:val="00001656"/>
    <w:rsid w:val="00003E86"/>
    <w:rsid w:val="00031E23"/>
    <w:rsid w:val="0005650A"/>
    <w:rsid w:val="00065BED"/>
    <w:rsid w:val="00071EEA"/>
    <w:rsid w:val="00085BEF"/>
    <w:rsid w:val="000B311F"/>
    <w:rsid w:val="00137E7E"/>
    <w:rsid w:val="00147018"/>
    <w:rsid w:val="00164091"/>
    <w:rsid w:val="00191CEB"/>
    <w:rsid w:val="001A2678"/>
    <w:rsid w:val="001C69D2"/>
    <w:rsid w:val="001C6F66"/>
    <w:rsid w:val="00212A4C"/>
    <w:rsid w:val="00223EE3"/>
    <w:rsid w:val="00264190"/>
    <w:rsid w:val="002D38D7"/>
    <w:rsid w:val="002E6DCA"/>
    <w:rsid w:val="00300E73"/>
    <w:rsid w:val="00326359"/>
    <w:rsid w:val="003B5B00"/>
    <w:rsid w:val="003E23F1"/>
    <w:rsid w:val="00402C56"/>
    <w:rsid w:val="00403C8A"/>
    <w:rsid w:val="00414C88"/>
    <w:rsid w:val="00471B4C"/>
    <w:rsid w:val="004904FE"/>
    <w:rsid w:val="00492B21"/>
    <w:rsid w:val="004A4188"/>
    <w:rsid w:val="004D0A26"/>
    <w:rsid w:val="004E08BE"/>
    <w:rsid w:val="004E2B7C"/>
    <w:rsid w:val="00517071"/>
    <w:rsid w:val="00531A7F"/>
    <w:rsid w:val="0054257A"/>
    <w:rsid w:val="00543472"/>
    <w:rsid w:val="00595BEE"/>
    <w:rsid w:val="00600204"/>
    <w:rsid w:val="0065182B"/>
    <w:rsid w:val="00651CB8"/>
    <w:rsid w:val="00662326"/>
    <w:rsid w:val="00694E08"/>
    <w:rsid w:val="006A522B"/>
    <w:rsid w:val="006D56D9"/>
    <w:rsid w:val="0070168B"/>
    <w:rsid w:val="00716D95"/>
    <w:rsid w:val="007639D0"/>
    <w:rsid w:val="0076796A"/>
    <w:rsid w:val="0078168B"/>
    <w:rsid w:val="007879D9"/>
    <w:rsid w:val="007B0631"/>
    <w:rsid w:val="007C2AD5"/>
    <w:rsid w:val="00803AE9"/>
    <w:rsid w:val="0082112D"/>
    <w:rsid w:val="008E2380"/>
    <w:rsid w:val="00953767"/>
    <w:rsid w:val="00976AD2"/>
    <w:rsid w:val="00980449"/>
    <w:rsid w:val="0099250B"/>
    <w:rsid w:val="0099763F"/>
    <w:rsid w:val="009A58AF"/>
    <w:rsid w:val="009B46A1"/>
    <w:rsid w:val="009C1E3E"/>
    <w:rsid w:val="009C6263"/>
    <w:rsid w:val="009D17E4"/>
    <w:rsid w:val="009F6F06"/>
    <w:rsid w:val="00A45D4E"/>
    <w:rsid w:val="00A6494D"/>
    <w:rsid w:val="00A67093"/>
    <w:rsid w:val="00A9284E"/>
    <w:rsid w:val="00AB0549"/>
    <w:rsid w:val="00AF28B9"/>
    <w:rsid w:val="00B11FFD"/>
    <w:rsid w:val="00B44108"/>
    <w:rsid w:val="00B57E91"/>
    <w:rsid w:val="00B77513"/>
    <w:rsid w:val="00B82618"/>
    <w:rsid w:val="00BB5C45"/>
    <w:rsid w:val="00BC3E2F"/>
    <w:rsid w:val="00BD4673"/>
    <w:rsid w:val="00BF531D"/>
    <w:rsid w:val="00C37215"/>
    <w:rsid w:val="00C41337"/>
    <w:rsid w:val="00C5092B"/>
    <w:rsid w:val="00C64B39"/>
    <w:rsid w:val="00C72CE8"/>
    <w:rsid w:val="00C873B1"/>
    <w:rsid w:val="00C9543E"/>
    <w:rsid w:val="00CA22ED"/>
    <w:rsid w:val="00CB3A65"/>
    <w:rsid w:val="00CC04E5"/>
    <w:rsid w:val="00D03888"/>
    <w:rsid w:val="00D07819"/>
    <w:rsid w:val="00D164E9"/>
    <w:rsid w:val="00D242A6"/>
    <w:rsid w:val="00D712D5"/>
    <w:rsid w:val="00E05196"/>
    <w:rsid w:val="00E40ACC"/>
    <w:rsid w:val="00E47AF0"/>
    <w:rsid w:val="00E50AF8"/>
    <w:rsid w:val="00E658FD"/>
    <w:rsid w:val="00E76969"/>
    <w:rsid w:val="00E86A6D"/>
    <w:rsid w:val="00EA6E8A"/>
    <w:rsid w:val="00EA725D"/>
    <w:rsid w:val="00EB1CBD"/>
    <w:rsid w:val="00EC63D3"/>
    <w:rsid w:val="00EF1ED9"/>
    <w:rsid w:val="00EF4125"/>
    <w:rsid w:val="00FA6D73"/>
    <w:rsid w:val="00FE0E05"/>
    <w:rsid w:val="00FE6679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F66A1D"/>
  <w15:chartTrackingRefBased/>
  <w15:docId w15:val="{AD44BE43-8E59-6D4E-84E1-3F85DF59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35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441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41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41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Callison, Kevin</dc:creator>
  <cp:keywords/>
  <dc:description/>
  <cp:lastModifiedBy>Callison, Kevin</cp:lastModifiedBy>
  <cp:revision>4</cp:revision>
  <dcterms:created xsi:type="dcterms:W3CDTF">2022-09-06T17:38:00Z</dcterms:created>
  <dcterms:modified xsi:type="dcterms:W3CDTF">2022-09-06T17:45:00Z</dcterms:modified>
</cp:coreProperties>
</file>