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BA8A" w14:textId="77777777" w:rsidR="002B6645" w:rsidRDefault="002B6645" w:rsidP="002B6645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A2. Estimated overall out-of-pocket patient costs by frontier and remote areas category, 6 months following cancer diagnosis including the month of diagnosis, based on APCD claims, 2012-2017, N=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89,703 (excluded those who were missing)</w:t>
      </w: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2468"/>
        <w:gridCol w:w="2058"/>
        <w:gridCol w:w="2058"/>
        <w:gridCol w:w="2014"/>
      </w:tblGrid>
      <w:tr w:rsidR="002B6645" w:rsidRPr="001A2B3B" w14:paraId="1A39BEDE" w14:textId="77777777" w:rsidTr="005A76BF">
        <w:tc>
          <w:tcPr>
            <w:tcW w:w="16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8F40F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Coverage month of diagnosis</w:t>
            </w:r>
          </w:p>
        </w:tc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7B892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Not in frontier and remote areas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B079B3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In frontier and remote areas</w:t>
            </w:r>
          </w:p>
        </w:tc>
      </w:tr>
      <w:tr w:rsidR="002B6645" w:rsidRPr="001A2B3B" w14:paraId="30793884" w14:textId="77777777" w:rsidTr="005A76BF">
        <w:tc>
          <w:tcPr>
            <w:tcW w:w="16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16C" w14:textId="77777777" w:rsidR="002B6645" w:rsidRPr="001A2B3B" w:rsidRDefault="002B6645" w:rsidP="005A76B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F5D9B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6E731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Median (IQR)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FFFB2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Mean (SD)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52AB0F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B3B">
              <w:rPr>
                <w:rFonts w:ascii="Times New Roman" w:eastAsia="Times New Roman" w:hAnsi="Times New Roman" w:cs="Times New Roman"/>
                <w:b/>
                <w:bCs/>
              </w:rPr>
              <w:t>Median (IQR)</w:t>
            </w:r>
          </w:p>
        </w:tc>
      </w:tr>
      <w:tr w:rsidR="002B6645" w:rsidRPr="001A2B3B" w14:paraId="0D15E7F0" w14:textId="77777777" w:rsidTr="005A76BF">
        <w:trPr>
          <w:trHeight w:val="20"/>
        </w:trPr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79E02B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>All plans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99EA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6815A7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138F38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A323C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2CA1A47C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6FA83F" w14:textId="77777777" w:rsidR="002B6645" w:rsidRPr="001A2B3B" w:rsidRDefault="002B6645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Medical only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964C5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2970 (18517)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FC263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597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(0, </w:t>
            </w:r>
            <w:r w:rsidRPr="001A2B3B">
              <w:rPr>
                <w:rFonts w:ascii="Times New Roman" w:hAnsi="Times New Roman" w:cs="Times New Roman"/>
              </w:rPr>
              <w:t>2622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653AA36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3849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17774</w:t>
            </w:r>
            <w:r w:rsidRPr="001A2B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22B59F01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218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(0, 2550)</w:t>
            </w:r>
          </w:p>
        </w:tc>
      </w:tr>
      <w:tr w:rsidR="002B6645" w:rsidRPr="001A2B3B" w14:paraId="310198FF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FE896" w14:textId="77777777" w:rsidR="002B6645" w:rsidRPr="001A2B3B" w:rsidRDefault="002B6645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Medical + pharmacy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A9D87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1868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7737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7A387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482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31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2137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D5AAD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2858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12220</w:t>
            </w:r>
            <w:r w:rsidRPr="001A2B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6808B481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323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16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2992</w:t>
            </w:r>
            <w:r w:rsidRPr="001A2B3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B6645" w:rsidRPr="001A2B3B" w14:paraId="468288AC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74A33" w14:textId="77777777" w:rsidR="002B6645" w:rsidRPr="001A2B3B" w:rsidRDefault="002B6645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Pharmacy only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65F0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373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822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380A2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155 (</w:t>
            </w:r>
            <w:r w:rsidRPr="001A2B3B">
              <w:rPr>
                <w:rFonts w:ascii="Times New Roman" w:hAnsi="Times New Roman" w:cs="Times New Roman"/>
              </w:rPr>
              <w:t>40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389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EA2AA7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468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3815</w:t>
            </w:r>
            <w:r w:rsidRPr="001A2B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0F72E9D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123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34</w:t>
            </w:r>
            <w:r w:rsidRPr="001A2B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346</w:t>
            </w:r>
            <w:r w:rsidRPr="001A2B3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B6645" w:rsidRPr="001A2B3B" w14:paraId="6162925A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2009C" w14:textId="77777777" w:rsidR="002B6645" w:rsidRPr="001A2B3B" w:rsidRDefault="002B6645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E1725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AC24D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2CF85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393FD887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233F3598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956256" w14:textId="77777777" w:rsidR="002B6645" w:rsidRPr="001A2B3B" w:rsidRDefault="002B6645" w:rsidP="005A76BF">
            <w:pPr>
              <w:spacing w:line="240" w:lineRule="auto"/>
              <w:ind w:right="1890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>Medicare (N=32,946)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A3657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36AD0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95AB24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2DD36E67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703B18C4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F7C955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Traditional Part A and/or B, no supplement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F395C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3846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20671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C69DB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1404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232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3791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B9DFAFB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5471 (20011)</w:t>
            </w:r>
          </w:p>
        </w:tc>
        <w:tc>
          <w:tcPr>
            <w:tcW w:w="778" w:type="pct"/>
            <w:vAlign w:val="bottom"/>
            <w:hideMark/>
          </w:tcPr>
          <w:p w14:paraId="36B2462E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1740 (260, 4352)</w:t>
            </w:r>
          </w:p>
        </w:tc>
      </w:tr>
      <w:tr w:rsidR="002B6645" w:rsidRPr="001A2B3B" w14:paraId="56E977FA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32110A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Traditional Part A and/or B, supplement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C46D98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459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1815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AD4C91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0 (0, 0)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5F232E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391 (1617)</w:t>
            </w:r>
          </w:p>
        </w:tc>
        <w:tc>
          <w:tcPr>
            <w:tcW w:w="778" w:type="pct"/>
            <w:vAlign w:val="bottom"/>
            <w:hideMark/>
          </w:tcPr>
          <w:p w14:paraId="2AD560A6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0 (0, 0)</w:t>
            </w:r>
          </w:p>
        </w:tc>
      </w:tr>
      <w:tr w:rsidR="002B6645" w:rsidRPr="001A2B3B" w14:paraId="4A26BF4C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AC8A16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Traditional Part A and/or B, D</w:t>
            </w:r>
            <w:r w:rsidRPr="001A2B3B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A46C8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2280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17059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BA49D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244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63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725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B069A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2609 (17024)</w:t>
            </w:r>
          </w:p>
        </w:tc>
        <w:tc>
          <w:tcPr>
            <w:tcW w:w="778" w:type="pct"/>
            <w:vAlign w:val="bottom"/>
            <w:hideMark/>
          </w:tcPr>
          <w:p w14:paraId="14D1A800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B3B">
              <w:rPr>
                <w:rFonts w:ascii="Times New Roman" w:hAnsi="Times New Roman" w:cs="Times New Roman"/>
              </w:rPr>
              <w:t>229 (54, 784)</w:t>
            </w:r>
          </w:p>
        </w:tc>
      </w:tr>
      <w:tr w:rsidR="002B6645" w:rsidRPr="001A2B3B" w14:paraId="05787EC8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5A265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EA1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82F52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C5B1F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48307154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61427924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A47B45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Medicare Advantage plan 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A0440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1303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1662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21BA3A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694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181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1753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F23F00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2240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2189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1867CD7A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1483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(558, </w:t>
            </w:r>
            <w:r w:rsidRPr="001A2B3B">
              <w:rPr>
                <w:rFonts w:ascii="Times New Roman" w:hAnsi="Times New Roman" w:cs="Times New Roman"/>
              </w:rPr>
              <w:t>3428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B6645" w:rsidRPr="001A2B3B" w14:paraId="4AE5B920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2E4048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DAB4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70F58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488A5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4B7B0E70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6CF8BEAA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FBE3AE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Medicaid only 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A68FE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151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1014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7ACFD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14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(0, </w:t>
            </w:r>
            <w:r w:rsidRPr="001A2B3B">
              <w:rPr>
                <w:rFonts w:ascii="Times New Roman" w:hAnsi="Times New Roman" w:cs="Times New Roman"/>
              </w:rPr>
              <w:t>54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8500D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416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6170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5D7F053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16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(0, 60)</w:t>
            </w:r>
          </w:p>
        </w:tc>
      </w:tr>
      <w:tr w:rsidR="002B6645" w:rsidRPr="001A2B3B" w14:paraId="33A39D93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760DE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BE7B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A6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6E741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02A29E68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563FE798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E0E72C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>Medicaid + Medicare (Duals)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115A81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300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787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C9C05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 xml:space="preserve">5 (0, </w:t>
            </w:r>
            <w:r w:rsidRPr="001A2B3B">
              <w:rPr>
                <w:rFonts w:ascii="Times New Roman" w:hAnsi="Times New Roman" w:cs="Times New Roman"/>
              </w:rPr>
              <w:t>90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E462E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191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695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78" w:type="pct"/>
            <w:vAlign w:val="bottom"/>
            <w:hideMark/>
          </w:tcPr>
          <w:p w14:paraId="77B42D6F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 (0, 23)</w:t>
            </w:r>
          </w:p>
        </w:tc>
      </w:tr>
      <w:tr w:rsidR="002B6645" w:rsidRPr="001A2B3B" w14:paraId="3DDC5A8C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49E30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58DD4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B132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080F7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3C705E3F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4A94FCB1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8A8786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>Private (N=17,563)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DF146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E0338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E2755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27678CE5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380FA2B6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AEE16D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Medical only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0AE53E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2309 (7802)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0962C7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258 (0, 2735)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1F2B50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2336 (3982)</w:t>
            </w:r>
          </w:p>
        </w:tc>
        <w:tc>
          <w:tcPr>
            <w:tcW w:w="778" w:type="pct"/>
            <w:vAlign w:val="bottom"/>
            <w:hideMark/>
          </w:tcPr>
          <w:p w14:paraId="22CD4653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262 (0, 3404)</w:t>
            </w:r>
          </w:p>
        </w:tc>
      </w:tr>
      <w:tr w:rsidR="002B6645" w:rsidRPr="001A2B3B" w14:paraId="5ECB342F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201AC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Medical and pharmacy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7105B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3722 (6563)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EB49FA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2648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(981, </w:t>
            </w:r>
            <w:r w:rsidRPr="001A2B3B">
              <w:rPr>
                <w:rFonts w:ascii="Times New Roman" w:hAnsi="Times New Roman" w:cs="Times New Roman"/>
              </w:rPr>
              <w:t>5064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81CA46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5502 (11945)</w:t>
            </w:r>
          </w:p>
        </w:tc>
        <w:tc>
          <w:tcPr>
            <w:tcW w:w="778" w:type="pct"/>
            <w:vAlign w:val="bottom"/>
            <w:hideMark/>
          </w:tcPr>
          <w:p w14:paraId="0A3999BA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3606 (1313, 6300)</w:t>
            </w:r>
          </w:p>
        </w:tc>
      </w:tr>
      <w:tr w:rsidR="002B6645" w:rsidRPr="001A2B3B" w14:paraId="3F914A71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9DD115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Pharmacy only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6ADC96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207 (509)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9D24B0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30 (0, 167)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951E46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99 (87)</w:t>
            </w:r>
          </w:p>
        </w:tc>
        <w:tc>
          <w:tcPr>
            <w:tcW w:w="778" w:type="pct"/>
            <w:vAlign w:val="bottom"/>
            <w:hideMark/>
          </w:tcPr>
          <w:p w14:paraId="65B72EF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133 (0, 163)</w:t>
            </w:r>
          </w:p>
        </w:tc>
      </w:tr>
      <w:tr w:rsidR="002B6645" w:rsidRPr="001A2B3B" w14:paraId="6CAE7AC0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197EF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E7F38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678D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86EC1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78DDB67B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29FBFF84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A81181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Single private plan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B48882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3500 (6797)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E5CCC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2317 (650, 4882)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EEABB1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4802 (10808)</w:t>
            </w:r>
          </w:p>
        </w:tc>
        <w:tc>
          <w:tcPr>
            <w:tcW w:w="778" w:type="pct"/>
            <w:vAlign w:val="bottom"/>
            <w:hideMark/>
          </w:tcPr>
          <w:p w14:paraId="173D6943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3068 (628, 5961)</w:t>
            </w:r>
          </w:p>
        </w:tc>
      </w:tr>
      <w:tr w:rsidR="002B6645" w:rsidRPr="001A2B3B" w14:paraId="745679CF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862C11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Two or more private plans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555C19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2556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(3161)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BAEF58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1804 (340, 3399)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47CC8A8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5184 (4381)</w:t>
            </w:r>
          </w:p>
        </w:tc>
        <w:tc>
          <w:tcPr>
            <w:tcW w:w="778" w:type="pct"/>
            <w:vAlign w:val="bottom"/>
            <w:hideMark/>
          </w:tcPr>
          <w:p w14:paraId="422A85A9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2787 (2525, 10240)</w:t>
            </w:r>
          </w:p>
        </w:tc>
      </w:tr>
      <w:tr w:rsidR="002B6645" w:rsidRPr="001A2B3B" w14:paraId="39677E25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BFD1A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8E81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F6AE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048F3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" w:type="pct"/>
            <w:vAlign w:val="center"/>
          </w:tcPr>
          <w:p w14:paraId="72AB8703" w14:textId="77777777" w:rsidR="002B6645" w:rsidRPr="001A2B3B" w:rsidRDefault="002B6645" w:rsidP="005A76BF">
            <w:pPr>
              <w:spacing w:line="240" w:lineRule="auto"/>
              <w:ind w:right="-105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645" w:rsidRPr="001A2B3B" w14:paraId="10BF102C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5F1540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Fee-for-service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F20DA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4475 (</w:t>
            </w:r>
            <w:r w:rsidRPr="001A2B3B">
              <w:rPr>
                <w:rFonts w:ascii="Times New Roman" w:hAnsi="Times New Roman" w:cs="Times New Roman"/>
              </w:rPr>
              <w:t>7234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5C148D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3352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1322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A2B3B">
              <w:rPr>
                <w:rFonts w:ascii="Times New Roman" w:hAnsi="Times New Roman" w:cs="Times New Roman"/>
              </w:rPr>
              <w:t>5807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8D386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5990 (13901)</w:t>
            </w:r>
          </w:p>
        </w:tc>
        <w:tc>
          <w:tcPr>
            <w:tcW w:w="778" w:type="pct"/>
            <w:vAlign w:val="bottom"/>
            <w:hideMark/>
          </w:tcPr>
          <w:p w14:paraId="5AB945FE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3705 (1300, 6244)</w:t>
            </w:r>
          </w:p>
        </w:tc>
      </w:tr>
      <w:tr w:rsidR="002B6645" w:rsidRPr="001A2B3B" w14:paraId="149F7360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DC14DF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Managed care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195AEB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</w:rPr>
              <w:t>2764</w:t>
            </w:r>
            <w:r w:rsidRPr="001A2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A2B3B">
              <w:rPr>
                <w:rFonts w:ascii="Times New Roman" w:hAnsi="Times New Roman" w:cs="Times New Roman"/>
              </w:rPr>
              <w:t>2813</w:t>
            </w:r>
            <w:r w:rsidRPr="001A2B3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C1D425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1865 (720, 3960)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F46324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4294 (3626)</w:t>
            </w:r>
          </w:p>
        </w:tc>
        <w:tc>
          <w:tcPr>
            <w:tcW w:w="778" w:type="pct"/>
            <w:vAlign w:val="bottom"/>
            <w:hideMark/>
          </w:tcPr>
          <w:p w14:paraId="218C0B6F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3625 (1290, 6510)</w:t>
            </w:r>
          </w:p>
        </w:tc>
      </w:tr>
      <w:tr w:rsidR="002B6645" w:rsidRPr="001A2B3B" w14:paraId="37DEFF28" w14:textId="77777777" w:rsidTr="005A76BF">
        <w:trPr>
          <w:trHeight w:val="20"/>
        </w:trPr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9D961" w14:textId="77777777" w:rsidR="002B6645" w:rsidRPr="001A2B3B" w:rsidRDefault="002B6645" w:rsidP="005A76BF">
            <w:pPr>
              <w:spacing w:line="240" w:lineRule="auto"/>
              <w:ind w:right="-112" w:firstLine="0"/>
              <w:rPr>
                <w:rFonts w:ascii="Times New Roman" w:eastAsia="Times New Roman" w:hAnsi="Times New Roman" w:cs="Times New Roman"/>
              </w:rPr>
            </w:pPr>
            <w:r w:rsidRPr="001A2B3B">
              <w:rPr>
                <w:rFonts w:ascii="Times New Roman" w:eastAsia="Times New Roman" w:hAnsi="Times New Roman" w:cs="Times New Roman"/>
              </w:rPr>
              <w:t xml:space="preserve">  Self-funded or unknown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B53E39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2631 (10258)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0DE54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699 (0, 3390)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FE439C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2684 (3824)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74A4B2" w14:textId="77777777" w:rsidR="002B6645" w:rsidRPr="001A2B3B" w:rsidRDefault="002B6645" w:rsidP="005A76B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2B3B">
              <w:rPr>
                <w:rFonts w:ascii="Times New Roman" w:hAnsi="Times New Roman" w:cs="Times New Roman"/>
                <w:color w:val="000000"/>
              </w:rPr>
              <w:t>1030 (0, 4051)</w:t>
            </w:r>
          </w:p>
        </w:tc>
      </w:tr>
    </w:tbl>
    <w:p w14:paraId="5403A4D6" w14:textId="7B6B9F10" w:rsidR="0078690D" w:rsidRPr="002B6645" w:rsidRDefault="002B6645" w:rsidP="002B6645">
      <w:pPr>
        <w:spacing w:line="240" w:lineRule="auto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Notes: Data presented as dollars. All patients were continuously enrolled in the same plan for 6 months including the month of diagnosis. Abbreviations: APCD, all-payer claims database; SD, standard deviation; IQR, Interquartile range; APCD is considered the gold standard for assessing insurance characteristics. Out-of-pocket costs defined as deductibles, co-pays, and coinsurance. </w:t>
      </w:r>
    </w:p>
    <w:sectPr w:rsidR="0078690D" w:rsidRPr="002B6645" w:rsidSect="002B6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5"/>
    <w:rsid w:val="000076E0"/>
    <w:rsid w:val="000C48F6"/>
    <w:rsid w:val="000E06E3"/>
    <w:rsid w:val="00164AF2"/>
    <w:rsid w:val="001B2476"/>
    <w:rsid w:val="001B7F9C"/>
    <w:rsid w:val="001C78EB"/>
    <w:rsid w:val="00255B15"/>
    <w:rsid w:val="002B6645"/>
    <w:rsid w:val="00321B24"/>
    <w:rsid w:val="004407F8"/>
    <w:rsid w:val="00444D59"/>
    <w:rsid w:val="004609A1"/>
    <w:rsid w:val="004B3108"/>
    <w:rsid w:val="004E26DB"/>
    <w:rsid w:val="00512ADE"/>
    <w:rsid w:val="00515681"/>
    <w:rsid w:val="00542A48"/>
    <w:rsid w:val="005D1967"/>
    <w:rsid w:val="00605F81"/>
    <w:rsid w:val="0061411E"/>
    <w:rsid w:val="006948F4"/>
    <w:rsid w:val="006A136C"/>
    <w:rsid w:val="00717D93"/>
    <w:rsid w:val="0078690D"/>
    <w:rsid w:val="00790E74"/>
    <w:rsid w:val="00822C7D"/>
    <w:rsid w:val="00832640"/>
    <w:rsid w:val="008B1A48"/>
    <w:rsid w:val="00970376"/>
    <w:rsid w:val="009C7D9A"/>
    <w:rsid w:val="00A017D1"/>
    <w:rsid w:val="00A13F58"/>
    <w:rsid w:val="00A140B9"/>
    <w:rsid w:val="00A862AD"/>
    <w:rsid w:val="00B0719D"/>
    <w:rsid w:val="00B6254F"/>
    <w:rsid w:val="00BF6D51"/>
    <w:rsid w:val="00D45D72"/>
    <w:rsid w:val="00DF1942"/>
    <w:rsid w:val="00E11D9E"/>
    <w:rsid w:val="00E32616"/>
    <w:rsid w:val="00EF0FC7"/>
    <w:rsid w:val="00EF7B9A"/>
    <w:rsid w:val="00F25B98"/>
    <w:rsid w:val="00F87061"/>
    <w:rsid w:val="00F96BBB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C63D1"/>
  <w15:chartTrackingRefBased/>
  <w15:docId w15:val="{EB3D60EB-7775-B24A-8D7B-5A4BCE3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45"/>
    <w:pPr>
      <w:spacing w:line="360" w:lineRule="auto"/>
      <w:ind w:firstLine="720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B6645"/>
    <w:rPr>
      <w:rFonts w:eastAsia="SimSun"/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Kitchen</dc:creator>
  <cp:keywords/>
  <dc:description/>
  <cp:lastModifiedBy>Sara Kitchen</cp:lastModifiedBy>
  <cp:revision>1</cp:revision>
  <dcterms:created xsi:type="dcterms:W3CDTF">2023-06-16T17:53:00Z</dcterms:created>
  <dcterms:modified xsi:type="dcterms:W3CDTF">2023-06-16T17:54:00Z</dcterms:modified>
</cp:coreProperties>
</file>