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C" w:rsidRPr="00AB7464" w:rsidRDefault="00F6791D" w:rsidP="00CB656C">
      <w:pPr>
        <w:pStyle w:val="Kop1"/>
        <w:spacing w:before="0" w:beforeAutospacing="0" w:after="0" w:afterAutospacing="0" w:line="480" w:lineRule="auto"/>
        <w:ind w:left="-900"/>
        <w:rPr>
          <w:bCs w:val="0"/>
          <w:sz w:val="24"/>
          <w:szCs w:val="24"/>
          <w:lang w:val="en-GB"/>
        </w:rPr>
      </w:pPr>
      <w:r>
        <w:rPr>
          <w:bCs w:val="0"/>
          <w:sz w:val="24"/>
          <w:szCs w:val="24"/>
          <w:lang w:val="en-GB"/>
        </w:rPr>
        <w:t>Supplemental Table 2</w:t>
      </w:r>
      <w:r w:rsidR="00CB656C" w:rsidRPr="00AB7464">
        <w:rPr>
          <w:bCs w:val="0"/>
          <w:sz w:val="24"/>
          <w:szCs w:val="24"/>
          <w:lang w:val="en-GB"/>
        </w:rPr>
        <w:t>. Study Characteristics and Results</w:t>
      </w:r>
      <w:r w:rsidR="00305763" w:rsidRPr="00AB7464">
        <w:rPr>
          <w:bCs w:val="0"/>
          <w:sz w:val="24"/>
          <w:szCs w:val="24"/>
          <w:lang w:val="en-GB"/>
        </w:rPr>
        <w:t xml:space="preserve"> (</w:t>
      </w:r>
      <w:r w:rsidR="007F568A" w:rsidRPr="00AB7464">
        <w:rPr>
          <w:bCs w:val="0"/>
          <w:i/>
          <w:sz w:val="24"/>
          <w:szCs w:val="24"/>
          <w:lang w:val="en-GB"/>
        </w:rPr>
        <w:t>complete data of all included studies</w:t>
      </w:r>
      <w:r w:rsidR="00305763" w:rsidRPr="00AB7464">
        <w:rPr>
          <w:bCs w:val="0"/>
          <w:sz w:val="24"/>
          <w:szCs w:val="24"/>
          <w:lang w:val="en-GB"/>
        </w:rPr>
        <w:t>)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1418"/>
        <w:gridCol w:w="3402"/>
        <w:gridCol w:w="2551"/>
        <w:gridCol w:w="1843"/>
        <w:gridCol w:w="2693"/>
        <w:gridCol w:w="1701"/>
      </w:tblGrid>
      <w:tr w:rsidR="00CB656C" w:rsidRPr="00F6791D" w:rsidTr="00AC07BA"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883" w:type="dxa"/>
            <w:gridSpan w:val="7"/>
          </w:tcPr>
          <w:p w:rsidR="00CB656C" w:rsidRPr="00AB7464" w:rsidRDefault="00CB656C" w:rsidP="00E432F6">
            <w:pPr>
              <w:rPr>
                <w:b/>
                <w:i/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b/>
                <w:i/>
                <w:sz w:val="18"/>
                <w:szCs w:val="18"/>
                <w:lang w:val="en-GB"/>
              </w:rPr>
            </w:pPr>
            <w:r w:rsidRPr="00F6791D">
              <w:rPr>
                <w:b/>
                <w:i/>
                <w:sz w:val="18"/>
                <w:szCs w:val="18"/>
                <w:lang w:val="en-GB"/>
              </w:rPr>
              <w:t>Study characteristics</w:t>
            </w:r>
          </w:p>
          <w:p w:rsidR="00CB656C" w:rsidRPr="00F6791D" w:rsidRDefault="00CB656C" w:rsidP="00E432F6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</w:tr>
      <w:tr w:rsidR="00CB656C" w:rsidRPr="00AB7464" w:rsidTr="00DC1604">
        <w:tc>
          <w:tcPr>
            <w:tcW w:w="1419" w:type="dxa"/>
          </w:tcPr>
          <w:p w:rsidR="00CB656C" w:rsidRPr="00F6791D" w:rsidRDefault="00CB656C" w:rsidP="00E432F6">
            <w:pPr>
              <w:rPr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F6791D">
              <w:rPr>
                <w:b/>
                <w:sz w:val="18"/>
                <w:szCs w:val="18"/>
                <w:lang w:val="en-GB"/>
              </w:rPr>
              <w:t>Study design</w:t>
            </w:r>
          </w:p>
        </w:tc>
        <w:tc>
          <w:tcPr>
            <w:tcW w:w="1418" w:type="dxa"/>
          </w:tcPr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F6791D">
              <w:rPr>
                <w:b/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3402" w:type="dxa"/>
          </w:tcPr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F6791D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F6791D">
              <w:rPr>
                <w:b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Definition of constipation / FI / (F)NRFI</w:t>
            </w: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  <w:r w:rsidRPr="00F6791D">
              <w:rPr>
                <w:b/>
                <w:sz w:val="18"/>
                <w:szCs w:val="18"/>
                <w:lang w:val="en-GB"/>
              </w:rPr>
              <w:t>Outcome measur</w:t>
            </w:r>
            <w:r w:rsidRPr="00AB7464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Population of children with functional defecation disorders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Control group</w:t>
            </w:r>
          </w:p>
        </w:tc>
      </w:tr>
      <w:tr w:rsidR="00CB656C" w:rsidRPr="00A42A9E" w:rsidTr="00DC1604"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Rajindrajith et al. (2010)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40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</w:p>
          <w:p w:rsidR="00CB656C" w:rsidRPr="00AB7464" w:rsidRDefault="00CB656C" w:rsidP="00E432F6">
            <w:pPr>
              <w:ind w:right="354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</w:rPr>
            </w:pPr>
            <w:r w:rsidRPr="00AB7464">
              <w:rPr>
                <w:sz w:val="18"/>
                <w:szCs w:val="18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2686 children aged 10-16 y (13.2</w:t>
            </w:r>
            <w:r w:rsidRPr="00AB7464">
              <w:rPr>
                <w:sz w:val="18"/>
                <w:szCs w:val="18"/>
              </w:rPr>
              <w:t>±1.7)</w:t>
            </w:r>
          </w:p>
          <w:p w:rsidR="00CB656C" w:rsidRPr="00AB7464" w:rsidRDefault="00CB656C" w:rsidP="00E432F6">
            <w:pPr>
              <w:rPr>
                <w:sz w:val="18"/>
                <w:szCs w:val="18"/>
              </w:rPr>
            </w:pPr>
            <w:r w:rsidRPr="00AB7464">
              <w:rPr>
                <w:sz w:val="18"/>
                <w:szCs w:val="18"/>
                <w:lang w:val="en-GB"/>
              </w:rPr>
              <w:t>50.7% male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School-based, island-wide study in Sri Lanka. </w:t>
            </w:r>
            <w:r w:rsidR="00065256" w:rsidRPr="00AB7464">
              <w:rPr>
                <w:sz w:val="18"/>
                <w:szCs w:val="18"/>
                <w:lang w:val="en-GB"/>
              </w:rPr>
              <w:t xml:space="preserve">Random selection of provinces, schools and classes. </w:t>
            </w:r>
            <w:r w:rsidRPr="00AB7464">
              <w:rPr>
                <w:sz w:val="18"/>
                <w:szCs w:val="18"/>
                <w:lang w:val="en-GB"/>
              </w:rPr>
              <w:t>Validated, self-administered questionnaire. No (rectal) examinations performed.</w:t>
            </w:r>
          </w:p>
          <w:p w:rsidR="00862E4E" w:rsidRPr="00AB7464" w:rsidRDefault="00862E4E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Data were analysed using </w:t>
            </w:r>
            <w:r w:rsidR="00065256" w:rsidRPr="00AB7464">
              <w:rPr>
                <w:sz w:val="18"/>
                <w:szCs w:val="18"/>
                <w:lang w:val="en-GB"/>
              </w:rPr>
              <w:t>chi</w:t>
            </w:r>
            <w:r w:rsidR="00065256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065256" w:rsidRPr="00AB7464">
              <w:rPr>
                <w:sz w:val="18"/>
                <w:szCs w:val="18"/>
                <w:lang w:val="en-GB"/>
              </w:rPr>
              <w:t xml:space="preserve"> and Fisher</w:t>
            </w:r>
            <w:r w:rsidR="00BF7CCB" w:rsidRPr="00AB7464">
              <w:rPr>
                <w:sz w:val="18"/>
                <w:szCs w:val="18"/>
                <w:lang w:val="en-GB"/>
              </w:rPr>
              <w:t>’s</w:t>
            </w:r>
            <w:r w:rsidR="00065256" w:rsidRPr="00AB7464">
              <w:rPr>
                <w:sz w:val="18"/>
                <w:szCs w:val="18"/>
                <w:lang w:val="en-GB"/>
              </w:rPr>
              <w:t xml:space="preserve"> exact test</w:t>
            </w:r>
            <w:r w:rsidR="009F399B" w:rsidRPr="00AB7464">
              <w:rPr>
                <w:sz w:val="18"/>
                <w:szCs w:val="18"/>
                <w:lang w:val="en-GB"/>
              </w:rPr>
              <w:t>s</w:t>
            </w:r>
            <w:r w:rsidR="00065256" w:rsidRPr="00AB7464">
              <w:rPr>
                <w:sz w:val="18"/>
                <w:szCs w:val="18"/>
                <w:lang w:val="en-GB"/>
              </w:rPr>
              <w:t>. Multiple logistic regression analysis was performed on variables that were found to have significant association.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pt-BR"/>
              </w:rPr>
            </w:pPr>
            <w:r w:rsidRPr="00AB7464">
              <w:rPr>
                <w:sz w:val="18"/>
                <w:szCs w:val="18"/>
                <w:lang w:val="pt-BR"/>
              </w:rPr>
              <w:t>ROME III criteria / Defecation into places inappropriate to the social context, at least once per month, for a minimum period of 2 months / ROME III criteria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Prevalence of constipation associated and non retentive fecal incontinence and associated factors.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US"/>
              </w:rPr>
              <w:t>55 children with FI (11.96</w:t>
            </w:r>
            <w:r w:rsidRPr="00AB7464">
              <w:rPr>
                <w:sz w:val="18"/>
                <w:szCs w:val="18"/>
                <w:lang w:val="en-GB"/>
              </w:rPr>
              <w:t>±1.59y) 78.2% male.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81.8% of children with constipation-associated FI, 18.2% with non-retentive FI. 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2631 children without FI, mean age not presented, 50.1% male</w:t>
            </w:r>
          </w:p>
        </w:tc>
      </w:tr>
      <w:tr w:rsidR="00CB656C" w:rsidRPr="00A42A9E" w:rsidTr="00DC1604"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Devanarayana et al. (2010)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41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2699 children aged 10-16 y (13.17±1.72) 50.6% male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School-based, island-wide study in Sri Lanka. </w:t>
            </w:r>
            <w:r w:rsidR="00861844" w:rsidRPr="00AB7464">
              <w:rPr>
                <w:sz w:val="18"/>
                <w:szCs w:val="18"/>
                <w:lang w:val="en-GB"/>
              </w:rPr>
              <w:t>Random selection of pro</w:t>
            </w:r>
            <w:r w:rsidR="00065256" w:rsidRPr="00AB7464">
              <w:rPr>
                <w:sz w:val="18"/>
                <w:szCs w:val="18"/>
                <w:lang w:val="en-GB"/>
              </w:rPr>
              <w:t xml:space="preserve">vinces and schools. </w:t>
            </w:r>
            <w:r w:rsidRPr="00AB7464">
              <w:rPr>
                <w:sz w:val="18"/>
                <w:szCs w:val="18"/>
                <w:lang w:val="en-GB"/>
              </w:rPr>
              <w:t>Validated, self-administered questionnaire. No physical examination performed.</w:t>
            </w:r>
          </w:p>
          <w:p w:rsidR="00065256" w:rsidRPr="00AB7464" w:rsidRDefault="00065256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Data were analysed using chi</w:t>
            </w:r>
            <w:r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Pr="00AB7464">
              <w:rPr>
                <w:sz w:val="18"/>
                <w:szCs w:val="18"/>
                <w:lang w:val="en-GB"/>
              </w:rPr>
              <w:t xml:space="preserve"> and Fisher</w:t>
            </w:r>
            <w:r w:rsidR="00BF7CCB" w:rsidRPr="00AB7464">
              <w:rPr>
                <w:sz w:val="18"/>
                <w:szCs w:val="18"/>
                <w:lang w:val="en-GB"/>
              </w:rPr>
              <w:t>’s</w:t>
            </w:r>
            <w:r w:rsidRPr="00AB7464">
              <w:rPr>
                <w:sz w:val="18"/>
                <w:szCs w:val="18"/>
                <w:lang w:val="en-GB"/>
              </w:rPr>
              <w:t xml:space="preserve"> exact test</w:t>
            </w:r>
            <w:r w:rsidR="009F399B" w:rsidRPr="00AB7464">
              <w:rPr>
                <w:sz w:val="18"/>
                <w:szCs w:val="18"/>
                <w:lang w:val="en-GB"/>
              </w:rPr>
              <w:t>s</w:t>
            </w:r>
            <w:r w:rsidRPr="00AB7464">
              <w:rPr>
                <w:sz w:val="18"/>
                <w:szCs w:val="18"/>
                <w:lang w:val="en-GB"/>
              </w:rPr>
              <w:t>. Multiple logistic regression analysis was performed on variables that were found to have significant association.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</w:rPr>
            </w:pPr>
            <w:r w:rsidRPr="00AB7464">
              <w:rPr>
                <w:sz w:val="18"/>
                <w:szCs w:val="18"/>
                <w:lang w:val="en-GB"/>
              </w:rPr>
              <w:t>ROME III criteria / - / 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Association between constipation and stressful life events.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US"/>
              </w:rPr>
              <w:t>416 children with constipation (12.74</w:t>
            </w:r>
            <w:r w:rsidRPr="00AB7464">
              <w:rPr>
                <w:sz w:val="18"/>
                <w:szCs w:val="18"/>
                <w:lang w:val="en-GB"/>
              </w:rPr>
              <w:t>±1.72y) 55.3% male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2283 children without constipation (13.2</w:t>
            </w:r>
            <w:r w:rsidRPr="00AB7464">
              <w:rPr>
                <w:sz w:val="18"/>
                <w:szCs w:val="18"/>
                <w:lang w:val="en-GB"/>
              </w:rPr>
              <w:t>±1.7y) 49.8% male</w:t>
            </w:r>
          </w:p>
        </w:tc>
      </w:tr>
      <w:tr w:rsidR="00CB656C" w:rsidRPr="00A42A9E" w:rsidTr="00DC1604"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 xml:space="preserve">Inan et al. </w:t>
            </w:r>
            <w:r w:rsidRPr="00AB7464">
              <w:rPr>
                <w:b/>
                <w:sz w:val="18"/>
                <w:szCs w:val="18"/>
              </w:rPr>
              <w:t>(2007)</w:t>
            </w:r>
            <w:r w:rsidR="00237BE2" w:rsidRPr="00AB7464">
              <w:rPr>
                <w:b/>
                <w:sz w:val="18"/>
                <w:szCs w:val="18"/>
              </w:rPr>
              <w:t>(</w:t>
            </w:r>
            <w:r w:rsidR="00E33EBE">
              <w:rPr>
                <w:b/>
                <w:sz w:val="18"/>
                <w:szCs w:val="18"/>
              </w:rPr>
              <w:t>39</w:t>
            </w:r>
            <w:r w:rsidR="00237BE2" w:rsidRPr="00AB746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1689 children aged 7-12 y (9.23±1.2) 50.8% male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School-based population in Edirne, Turkey. Randomly selected from class lists. Self-administered questionnaire by parents and children. No physical examination performed. </w:t>
            </w:r>
            <w:r w:rsidR="00BF7CCB" w:rsidRPr="00AB7464">
              <w:rPr>
                <w:sz w:val="18"/>
                <w:szCs w:val="18"/>
                <w:lang w:val="en-GB"/>
              </w:rPr>
              <w:t>Data were analysed using chi</w:t>
            </w:r>
            <w:r w:rsidR="00BF7CCB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BF7CCB" w:rsidRPr="00AB7464">
              <w:rPr>
                <w:sz w:val="18"/>
                <w:szCs w:val="18"/>
                <w:lang w:val="en-GB"/>
              </w:rPr>
              <w:t xml:space="preserve"> and Fisher’s exact test</w:t>
            </w:r>
            <w:r w:rsidR="009F399B" w:rsidRPr="00AB7464">
              <w:rPr>
                <w:sz w:val="18"/>
                <w:szCs w:val="18"/>
                <w:lang w:val="en-GB"/>
              </w:rPr>
              <w:t>s</w:t>
            </w:r>
            <w:r w:rsidR="00AC07BA" w:rsidRPr="00AB7464">
              <w:rPr>
                <w:sz w:val="18"/>
                <w:szCs w:val="18"/>
                <w:lang w:val="en-GB"/>
              </w:rPr>
              <w:t xml:space="preserve">. To determine the potential risk factors of constipation, a logistic regression model was built. 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NASPGHAN criteria / - / 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Prevalence of constipation and associated factors.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122 children with constipation, mean age not presented, 50.8% male 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1567 children without constipation, mean age not presented, 48.8% male</w:t>
            </w:r>
          </w:p>
        </w:tc>
      </w:tr>
      <w:tr w:rsidR="00CB656C" w:rsidRPr="00A42A9E" w:rsidTr="00DC1604">
        <w:trPr>
          <w:trHeight w:val="566"/>
        </w:trPr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Joinson et al. (2006)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43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</w:tcPr>
          <w:p w:rsidR="00CB656C" w:rsidRPr="00AB7464" w:rsidRDefault="00C17ABB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8238 children aged 7y7m, mean age and boy-girl ratio not presented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The Avon Longitudinal Study of Parents and Children (ALSPAC) population-based cohort. Interviews and questionnaires. No physical examination performed. </w:t>
            </w:r>
            <w:r w:rsidR="00225F2F" w:rsidRPr="00AB7464">
              <w:rPr>
                <w:sz w:val="18"/>
                <w:szCs w:val="18"/>
                <w:lang w:val="en-GB"/>
              </w:rPr>
              <w:t>Data were analysed using chi</w:t>
            </w:r>
            <w:r w:rsidR="00225F2F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225F2F" w:rsidRPr="00AB7464">
              <w:rPr>
                <w:sz w:val="18"/>
                <w:szCs w:val="18"/>
                <w:lang w:val="en-GB"/>
              </w:rPr>
              <w:t xml:space="preserve"> test</w:t>
            </w:r>
            <w:r w:rsidR="009F399B" w:rsidRPr="00AB7464">
              <w:rPr>
                <w:sz w:val="18"/>
                <w:szCs w:val="18"/>
                <w:lang w:val="en-GB"/>
              </w:rPr>
              <w:t>s</w:t>
            </w:r>
            <w:r w:rsidR="003E102B" w:rsidRPr="00AB7464">
              <w:rPr>
                <w:sz w:val="18"/>
                <w:szCs w:val="18"/>
                <w:lang w:val="en-GB"/>
              </w:rPr>
              <w:t xml:space="preserve">. </w:t>
            </w:r>
            <w:r w:rsidR="009F399B" w:rsidRPr="00AB7464">
              <w:rPr>
                <w:sz w:val="18"/>
                <w:szCs w:val="18"/>
                <w:lang w:val="en-GB"/>
              </w:rPr>
              <w:t xml:space="preserve">A multivariable analysis was performed to determine which emotional and behaviour problems were </w:t>
            </w:r>
            <w:r w:rsidR="009F399B" w:rsidRPr="00AB7464">
              <w:rPr>
                <w:sz w:val="18"/>
                <w:szCs w:val="18"/>
                <w:lang w:val="en-GB"/>
              </w:rPr>
              <w:lastRenderedPageBreak/>
              <w:t xml:space="preserve">associated with soiling. Adjustments were made for the effect of confounding variables, including developmental delay, gender, stressful life events, and family sociodemographic background. </w:t>
            </w:r>
            <w:r w:rsidR="00027CDB" w:rsidRPr="00AB7464">
              <w:rPr>
                <w:sz w:val="18"/>
                <w:szCs w:val="18"/>
                <w:lang w:val="en-GB"/>
              </w:rPr>
              <w:t xml:space="preserve">Missing data were excluded from the multivariable models. In the final adjusted estimates, a missing data imputation technique was used known as “ice” to correct for any bias caused by dropout. 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lastRenderedPageBreak/>
              <w:t xml:space="preserve">-/ Repeated passage of feces in inappropriate places, with a frequency of at least once a month for 3 months in children aged ≥4 years and in the absence of a physical cause / - 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Prevalence of psychological, emotional and behavioral problems, self-esteem, bullying and friendships in children who soil </w:t>
            </w:r>
            <w:r w:rsidRPr="00AB7464">
              <w:rPr>
                <w:sz w:val="18"/>
                <w:szCs w:val="18"/>
                <w:lang w:val="en-US"/>
              </w:rPr>
              <w:lastRenderedPageBreak/>
              <w:t xml:space="preserve">compared with children who do not soil.  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lastRenderedPageBreak/>
              <w:t xml:space="preserve">565 children with FI , mean age and boy-girl ratio not presented. 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117 children with frequent FI (≥1/week), mean age not presented, 69% male. 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448 children with less frequent FI (&lt;1/week), mean age not </w:t>
            </w:r>
            <w:r w:rsidRPr="00AB7464">
              <w:rPr>
                <w:sz w:val="18"/>
                <w:szCs w:val="18"/>
                <w:lang w:val="en-US"/>
              </w:rPr>
              <w:lastRenderedPageBreak/>
              <w:t xml:space="preserve">presented, 64% male 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Constipation during the last 12 months in 46.4% of children soiling ≥2/week, 31.3% of those soiling 1/week, and 19.4% of those soiling &lt;1/week. 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lastRenderedPageBreak/>
              <w:t>7673 children without FI, mean age not presented, 50% male</w:t>
            </w:r>
          </w:p>
        </w:tc>
      </w:tr>
      <w:tr w:rsidR="00CB656C" w:rsidRPr="00AB7464" w:rsidTr="00DC1604">
        <w:trPr>
          <w:trHeight w:val="141"/>
        </w:trPr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</w:rPr>
            </w:pPr>
            <w:r w:rsidRPr="00AB7464">
              <w:rPr>
                <w:b/>
                <w:sz w:val="18"/>
                <w:szCs w:val="18"/>
              </w:rPr>
              <w:lastRenderedPageBreak/>
              <w:t>Van der Wal et al. (2005)</w:t>
            </w:r>
            <w:r w:rsidR="00237BE2" w:rsidRPr="00AB7464">
              <w:rPr>
                <w:b/>
                <w:sz w:val="18"/>
                <w:szCs w:val="18"/>
              </w:rPr>
              <w:t>(</w:t>
            </w:r>
            <w:r w:rsidR="00E33EBE">
              <w:rPr>
                <w:b/>
                <w:sz w:val="18"/>
                <w:szCs w:val="18"/>
              </w:rPr>
              <w:t>46</w:t>
            </w:r>
            <w:r w:rsidR="00237BE2" w:rsidRPr="00AB746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18456 children aged 5-6 y, 16293 children aged 11-12 y, mean age and boy-girl ratio not presented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i/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Children attended school health care centres for routine medical checks in Amsterdam, The Netherlands. Parent questionnaire filled out by school doctors, child health care findings and action register.</w:t>
            </w:r>
            <w:r w:rsidR="009F399B" w:rsidRPr="00AB7464">
              <w:rPr>
                <w:sz w:val="18"/>
                <w:szCs w:val="18"/>
                <w:lang w:val="en-GB"/>
              </w:rPr>
              <w:t xml:space="preserve"> Data were analysed using chi</w:t>
            </w:r>
            <w:r w:rsidR="009F399B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9F399B" w:rsidRPr="00AB7464">
              <w:rPr>
                <w:sz w:val="18"/>
                <w:szCs w:val="18"/>
                <w:lang w:val="en-GB"/>
              </w:rPr>
              <w:t xml:space="preserve"> tests. A logistical regression was performed to determine the association of each sociodemographic characteristic to the prevalence of encopresis. </w:t>
            </w:r>
            <w:r w:rsidR="00AB747D" w:rsidRPr="00AB7464">
              <w:rPr>
                <w:sz w:val="18"/>
                <w:szCs w:val="18"/>
                <w:lang w:val="en-GB"/>
              </w:rPr>
              <w:t>Adjustments were made for the effect of confounding variables, including</w:t>
            </w:r>
            <w:r w:rsidR="00AB747D" w:rsidRPr="00AB7464">
              <w:rPr>
                <w:sz w:val="18"/>
                <w:szCs w:val="18"/>
                <w:lang w:val="en-US"/>
              </w:rPr>
              <w:t xml:space="preserve"> child’s age, gender, the number of children living at home, ethnic origin of the family, and the postal code.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-/ Involuntary loss of feces in the underwear once a month or more. / - 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Prevalence of encopresis and associated psychosocial problems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4.1% of children aged 5-6 y with FI, accurate numbers, mean age and boy-girl ratio not presented.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1.6% of children aged 11-12 y with FI, accurate numbers, mean age and boy-girl ratio not presented.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Overall, FI was found in 3.7% of boys and in 2.4% of girls.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Unknown</w:t>
            </w:r>
          </w:p>
        </w:tc>
      </w:tr>
      <w:tr w:rsidR="00CB656C" w:rsidRPr="00AB7464" w:rsidTr="00DC1604">
        <w:trPr>
          <w:trHeight w:val="1842"/>
        </w:trPr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Fishman et al. (2002)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45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</w:tcPr>
          <w:p w:rsidR="00CB656C" w:rsidRPr="00AB7464" w:rsidRDefault="00A42A9E" w:rsidP="00E432F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411 children aged 4-17 y (8.75±3.5) boy-girl ratio not presented</w:t>
            </w:r>
          </w:p>
        </w:tc>
        <w:tc>
          <w:tcPr>
            <w:tcW w:w="3402" w:type="dxa"/>
          </w:tcPr>
          <w:p w:rsidR="00CB656C" w:rsidRPr="00AB7464" w:rsidRDefault="00CB656C" w:rsidP="00C86943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Children referred to the Pains and Incontinence Program at Children’s Hospital in Boston. Detailed parent questionnaire. Full medical history and physical examination performed. </w:t>
            </w:r>
            <w:r w:rsidR="00AB747D" w:rsidRPr="00AB7464">
              <w:rPr>
                <w:sz w:val="18"/>
                <w:szCs w:val="18"/>
                <w:lang w:val="en-GB"/>
              </w:rPr>
              <w:t>Parametric variables were compared using the t-test, and categorical variables were compared using chi</w:t>
            </w:r>
            <w:r w:rsidR="00AB747D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AB747D" w:rsidRPr="00AB7464">
              <w:rPr>
                <w:sz w:val="18"/>
                <w:szCs w:val="18"/>
                <w:lang w:val="en-GB"/>
              </w:rPr>
              <w:t xml:space="preserve"> tests.</w:t>
            </w:r>
          </w:p>
        </w:tc>
        <w:tc>
          <w:tcPr>
            <w:tcW w:w="2551" w:type="dxa"/>
          </w:tcPr>
          <w:p w:rsidR="00CB656C" w:rsidRPr="00AB7464" w:rsidRDefault="00CB656C" w:rsidP="00861844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Hard stools or difficulty in defecation sufficient to cause significant distress according to the parents’ perception / Repeated passage of feces into inappropriate places (such as </w:t>
            </w:r>
            <w:r w:rsidR="00861844" w:rsidRPr="00AB7464">
              <w:rPr>
                <w:sz w:val="18"/>
                <w:szCs w:val="18"/>
                <w:lang w:val="en-US"/>
              </w:rPr>
              <w:t>underwear</w:t>
            </w:r>
            <w:r w:rsidRPr="00AB7464">
              <w:rPr>
                <w:sz w:val="18"/>
                <w:szCs w:val="18"/>
                <w:lang w:val="en-US"/>
              </w:rPr>
              <w:t xml:space="preserve"> or pajamas), whether involuntary or intentional, after the age of 4 years / 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Prevalence of predisposing factors that occurred in the first 2 years of life and around toilet training associated with childhood encopresis. 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US"/>
              </w:rPr>
              <w:t>411 children with FI (8.75</w:t>
            </w:r>
            <w:r w:rsidRPr="00AB7464">
              <w:rPr>
                <w:sz w:val="18"/>
                <w:szCs w:val="18"/>
                <w:lang w:val="en-GB"/>
              </w:rPr>
              <w:t xml:space="preserve">±3.5y) boy-girl ratio not presented. 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192 children with primary FI (8.42±3.33y) 72.4% male.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177 children with secondary FI (9.17±3.08y) 78.5% male.</w:t>
            </w:r>
            <w:r w:rsidRPr="00AB7464">
              <w:rPr>
                <w:sz w:val="18"/>
                <w:szCs w:val="18"/>
                <w:lang w:val="en-US"/>
              </w:rPr>
              <w:t xml:space="preserve"> Number of constipation-associated FI not given. 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42A9E" w:rsidTr="00DC1604">
        <w:trPr>
          <w:trHeight w:val="1132"/>
        </w:trPr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Roma-Giannikou et al. (1999)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42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Cross-sectional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1932 children aged 2-14 y, mean age and boy-girl ratio not presented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A random stratified sample from 3 counties of Greece. Interviews from parents and children. Physical examination of constipated children, including anal and rectal examination.</w:t>
            </w:r>
            <w:r w:rsidR="000A1C00" w:rsidRPr="00AB7464">
              <w:rPr>
                <w:sz w:val="18"/>
                <w:szCs w:val="18"/>
                <w:lang w:val="en-GB"/>
              </w:rPr>
              <w:t xml:space="preserve"> Data were analysed using chi</w:t>
            </w:r>
            <w:r w:rsidR="000A1C00" w:rsidRPr="00AB7464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="000A1C00" w:rsidRPr="00AB7464">
              <w:rPr>
                <w:sz w:val="18"/>
                <w:szCs w:val="18"/>
                <w:lang w:val="en-GB"/>
              </w:rPr>
              <w:t xml:space="preserve"> tests.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3 or less bowel movements per week, or hard stools with painful defecation (even with more than 3 bowel movements per week) at least for the last 2 months / - / 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Prevalence of constipation, the relations to socioeconomic factors and clinical presentation.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116 children with constipation (7.5±3.17y), 52% male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1816 children without constipation, mean age and boy-girl ratio not presented</w:t>
            </w:r>
          </w:p>
        </w:tc>
      </w:tr>
      <w:tr w:rsidR="00CB656C" w:rsidRPr="00AB7464" w:rsidTr="00DC1604">
        <w:trPr>
          <w:trHeight w:val="1362"/>
        </w:trPr>
        <w:tc>
          <w:tcPr>
            <w:tcW w:w="1419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lastRenderedPageBreak/>
              <w:t>Levine (1975)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44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</w:p>
          <w:p w:rsidR="00CB656C" w:rsidRPr="00AB7464" w:rsidRDefault="00CB656C" w:rsidP="00E432F6">
            <w:pPr>
              <w:rPr>
                <w:sz w:val="18"/>
                <w:szCs w:val="18"/>
              </w:rPr>
            </w:pPr>
          </w:p>
          <w:p w:rsidR="00CB656C" w:rsidRPr="00AB7464" w:rsidRDefault="00CB656C" w:rsidP="00E432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656C" w:rsidRPr="00AB7464" w:rsidRDefault="00A42A9E" w:rsidP="00E4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Cross-sectional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102 children aged 4-13 y (7.33, SD n/a) 85.3% male</w:t>
            </w:r>
          </w:p>
        </w:tc>
        <w:tc>
          <w:tcPr>
            <w:tcW w:w="34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Pediatric outpatient clinic in Boston, USA. Interviews and questionnaires. Physical including rectal examination performed.</w:t>
            </w:r>
            <w:r w:rsidR="000A1C00" w:rsidRPr="00AB7464">
              <w:rPr>
                <w:sz w:val="18"/>
                <w:szCs w:val="18"/>
                <w:lang w:val="en-GB"/>
              </w:rPr>
              <w:t xml:space="preserve"> </w:t>
            </w:r>
          </w:p>
          <w:p w:rsidR="00C86943" w:rsidRPr="00AB7464" w:rsidRDefault="00C86943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No statistical analysis performed.</w:t>
            </w:r>
          </w:p>
        </w:tc>
        <w:tc>
          <w:tcPr>
            <w:tcW w:w="255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-/ </w:t>
            </w:r>
            <w:r w:rsidRPr="00AB7464">
              <w:rPr>
                <w:sz w:val="18"/>
                <w:szCs w:val="18"/>
                <w:lang w:val="en-GB"/>
              </w:rPr>
              <w:t>Any child over 4 years of age who regularly passed (semi)formed or liquid stools into his underwear or pyjamas with no apparent primary organic etiology/ 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Encopresis associated clusters of demographic, social, and training factors.</w:t>
            </w:r>
          </w:p>
        </w:tc>
        <w:tc>
          <w:tcPr>
            <w:tcW w:w="269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102 children with FI (7.33, SD n/a), 85.3% male.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US"/>
              </w:rPr>
              <w:t>40 children with primary FI (6.25y</w:t>
            </w:r>
            <w:r w:rsidRPr="00AB7464">
              <w:rPr>
                <w:sz w:val="18"/>
                <w:szCs w:val="18"/>
                <w:lang w:val="en-GB"/>
              </w:rPr>
              <w:t>, SD n/a) 85.1% male.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62 children with secondary FI (8.0y</w:t>
            </w:r>
            <w:r w:rsidRPr="00AB7464">
              <w:rPr>
                <w:sz w:val="18"/>
                <w:szCs w:val="18"/>
                <w:lang w:val="en-GB"/>
              </w:rPr>
              <w:t>, SD n/a</w:t>
            </w:r>
            <w:r w:rsidRPr="00AB7464">
              <w:rPr>
                <w:sz w:val="18"/>
                <w:szCs w:val="18"/>
                <w:lang w:val="en-US"/>
              </w:rPr>
              <w:t>) 85.5% male. 79.4% stool impaction at first visit.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CB656C" w:rsidRPr="00AB7464" w:rsidRDefault="00CB656C" w:rsidP="00CB656C">
      <w:pPr>
        <w:rPr>
          <w:i/>
          <w:sz w:val="18"/>
          <w:szCs w:val="18"/>
          <w:lang w:val="en-US"/>
        </w:rPr>
      </w:pPr>
    </w:p>
    <w:p w:rsidR="00CB656C" w:rsidRPr="00AB7464" w:rsidRDefault="00CB656C" w:rsidP="00CB656C">
      <w:pPr>
        <w:rPr>
          <w:i/>
          <w:sz w:val="18"/>
          <w:szCs w:val="18"/>
          <w:lang w:val="en-US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843"/>
        <w:gridCol w:w="1276"/>
        <w:gridCol w:w="1417"/>
        <w:gridCol w:w="1418"/>
        <w:gridCol w:w="1417"/>
        <w:gridCol w:w="1276"/>
        <w:gridCol w:w="1417"/>
        <w:gridCol w:w="1418"/>
        <w:gridCol w:w="1417"/>
      </w:tblGrid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00" w:type="dxa"/>
            <w:gridSpan w:val="10"/>
          </w:tcPr>
          <w:p w:rsidR="00CB656C" w:rsidRPr="00AB7464" w:rsidRDefault="00CB656C" w:rsidP="00E432F6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:rsidR="00CB656C" w:rsidRPr="00AB7464" w:rsidRDefault="00CB656C" w:rsidP="00E432F6">
            <w:pPr>
              <w:rPr>
                <w:b/>
                <w:i/>
                <w:sz w:val="18"/>
                <w:szCs w:val="18"/>
                <w:lang w:val="en-US"/>
              </w:rPr>
            </w:pPr>
            <w:r w:rsidRPr="00AB7464">
              <w:rPr>
                <w:b/>
                <w:i/>
                <w:sz w:val="18"/>
                <w:szCs w:val="18"/>
                <w:lang w:val="en-US"/>
              </w:rPr>
              <w:t>Results</w:t>
            </w:r>
          </w:p>
          <w:p w:rsidR="00CB656C" w:rsidRPr="00AB7464" w:rsidRDefault="00CB656C" w:rsidP="00E432F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CB656C" w:rsidRPr="00A42A9E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Overall prevalence of abuse</w:t>
            </w: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Overall prevalence of stressful life events</w:t>
            </w:r>
          </w:p>
        </w:tc>
        <w:tc>
          <w:tcPr>
            <w:tcW w:w="11056" w:type="dxa"/>
            <w:gridSpan w:val="8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Prevalence of different types of stressful life events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GB"/>
              </w:rPr>
              <w:t>Change in school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GB"/>
              </w:rPr>
              <w:t>Suspension from school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GB"/>
              </w:rPr>
              <w:t>Frequent punishment in school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i/>
                <w:sz w:val="18"/>
                <w:szCs w:val="18"/>
                <w:u w:val="single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Failure in examination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Separation from best friend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 xml:space="preserve">Being bullied (victim) 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i/>
                <w:sz w:val="18"/>
                <w:szCs w:val="18"/>
                <w:u w:val="single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Overt bully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i/>
                <w:sz w:val="18"/>
                <w:szCs w:val="18"/>
                <w:u w:val="single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Relational victim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sz w:val="18"/>
                <w:szCs w:val="18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Rajindrajith et al. (2010)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40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CB656C" w:rsidRPr="00AB7464" w:rsidRDefault="00CB656C" w:rsidP="00B443ED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90.9% (adjusted OR 4.94, 95% CI 1.76-13.88,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=0.002)</w:t>
            </w:r>
            <w:r w:rsidR="00B443ED" w:rsidRPr="00AB7464">
              <w:rPr>
                <w:sz w:val="18"/>
                <w:szCs w:val="18"/>
                <w:lang w:val="en-US"/>
              </w:rPr>
              <w:t xml:space="preserve"> during the previous 3 months***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N=13 (23.6%)*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N=2 (3.6%)*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N=14 (25.5%)*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N=15 (27.3%)*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N=18 (32.7%)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N=18 (32.7%) (adjusted OR 2.57, 95% CI 1.19-5.52,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=0.016)***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33EBE">
            <w:pPr>
              <w:rPr>
                <w:sz w:val="18"/>
                <w:szCs w:val="18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Devanarayana et al. (2010)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8448E9" w:rsidRPr="00AB7464">
              <w:rPr>
                <w:b/>
                <w:sz w:val="18"/>
                <w:szCs w:val="18"/>
                <w:lang w:val="en-GB"/>
              </w:rPr>
              <w:t>4</w:t>
            </w:r>
            <w:r w:rsidR="00E33EBE">
              <w:rPr>
                <w:b/>
                <w:sz w:val="18"/>
                <w:szCs w:val="18"/>
                <w:lang w:val="en-GB"/>
              </w:rPr>
              <w:t>1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CB656C" w:rsidRPr="00AB7464" w:rsidRDefault="00CB656C" w:rsidP="00B443ED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82.2% (OR 2.52 95% CI 1.92-3.31,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=&lt;0.001)</w:t>
            </w:r>
            <w:r w:rsidR="00B443ED" w:rsidRPr="00AB7464">
              <w:rPr>
                <w:sz w:val="18"/>
                <w:szCs w:val="18"/>
                <w:lang w:val="en-US"/>
              </w:rPr>
              <w:t xml:space="preserve"> during the previous 3 months* 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N=59 (1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4.2%)*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N=4 (1%)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N=53 (12.7%)*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N=82 (19.7%) (adjusted OR 1.43,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=0.03)***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N=133 (32%) (adjusted OR 1.35,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=0.017)***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N=54 (13%) (OR 2.51, 95% CI 1.77-3.56,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&lt;0.00001)*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33EBE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Inan et al. (2007)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8448E9" w:rsidRPr="00AB7464">
              <w:rPr>
                <w:b/>
                <w:sz w:val="18"/>
                <w:szCs w:val="18"/>
                <w:lang w:val="en-GB"/>
              </w:rPr>
              <w:t>3</w:t>
            </w:r>
            <w:r w:rsidR="00E33EBE">
              <w:rPr>
                <w:b/>
                <w:sz w:val="18"/>
                <w:szCs w:val="18"/>
                <w:lang w:val="en-GB"/>
              </w:rPr>
              <w:t>9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CB656C" w:rsidRPr="00AB7464" w:rsidRDefault="00CB656C" w:rsidP="00237BE2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i/>
                <w:sz w:val="18"/>
                <w:szCs w:val="18"/>
                <w:lang w:val="en-US"/>
              </w:rPr>
              <w:t>Physical or psychological trauma</w:t>
            </w:r>
            <w:r w:rsidRPr="00AB7464">
              <w:rPr>
                <w:sz w:val="18"/>
                <w:szCs w:val="18"/>
                <w:lang w:val="en-US"/>
              </w:rPr>
              <w:t xml:space="preserve"> in 38.8% (logistic regression analysis: OR 1.9 95% CI 1.13-3.42,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=0.016)**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7D5872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42A9E" w:rsidTr="00E432F6">
        <w:tc>
          <w:tcPr>
            <w:tcW w:w="1702" w:type="dxa"/>
          </w:tcPr>
          <w:p w:rsidR="00CB656C" w:rsidRPr="00AB7464" w:rsidRDefault="00CB656C" w:rsidP="00E33EBE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Joinson et al. (2006)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8448E9" w:rsidRPr="00AB7464">
              <w:rPr>
                <w:b/>
                <w:sz w:val="18"/>
                <w:szCs w:val="18"/>
                <w:lang w:val="en-GB"/>
              </w:rPr>
              <w:t>4</w:t>
            </w:r>
            <w:r w:rsidR="00E33EBE">
              <w:rPr>
                <w:b/>
                <w:sz w:val="18"/>
                <w:szCs w:val="18"/>
                <w:lang w:val="en-GB"/>
              </w:rPr>
              <w:t>3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7D5872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237BE2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N=29 (42.0%) of children who soil ≥1/week (unadjusted OR 1.43, 95% CI 0.88-2.31, adjusted OR1 1.39, 95% CI </w:t>
            </w:r>
            <w:r w:rsidRPr="00AB7464">
              <w:rPr>
                <w:sz w:val="18"/>
                <w:szCs w:val="18"/>
                <w:lang w:val="en-US"/>
              </w:rPr>
              <w:lastRenderedPageBreak/>
              <w:t>0.86-2.25, adjusted OR2 1.20, 95% CI 0.73-1.97), N=124 (40.1%) of children who soil &lt;1/week (unadjusted OR 1.32, 95% CI 1.04-1.67, adjusted OR1 1.31, 95% CI 1.04-1.66, adjusted OR2 1.26, 95% CI 0.99-1.59)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8" w:type="dxa"/>
          </w:tcPr>
          <w:p w:rsidR="00CB656C" w:rsidRPr="00AB7464" w:rsidRDefault="00CB656C" w:rsidP="00237BE2">
            <w:pPr>
              <w:rPr>
                <w:i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sz w:val="18"/>
                <w:szCs w:val="18"/>
                <w:lang w:val="en-US"/>
              </w:rPr>
              <w:lastRenderedPageBreak/>
              <w:t xml:space="preserve">N=9 (18.4%) of children who soil ≥1/week (unadjusted OR 2.39, 95% CI 1.15-4.97, adjusted OR1 2.39, 95% CI </w:t>
            </w:r>
            <w:r w:rsidRPr="00AB7464">
              <w:rPr>
                <w:sz w:val="18"/>
                <w:szCs w:val="18"/>
                <w:lang w:val="en-US"/>
              </w:rPr>
              <w:lastRenderedPageBreak/>
              <w:t>1.15-4.96, adjusted OR2 1.75, 95% CI 0.82-3.77), N=35 (15.9%) of children who soil &lt;1/week (unadjusted OR 2.01, 95% CI 1.38-2.93, adjusted OR1 2.01, 95% CI 1.37-2.93, adjusted OR2 1.86, 95% CI 1.26-2.75)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</w:tcPr>
          <w:p w:rsidR="00CB656C" w:rsidRPr="00AB7464" w:rsidRDefault="00CB656C" w:rsidP="00237BE2">
            <w:pPr>
              <w:rPr>
                <w:i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lastRenderedPageBreak/>
              <w:t xml:space="preserve">N=15 (21.1%) of children who soil ≥1/week (unadjusted OR 1.46, 95% CI 0.82-2.59, adjusted OR1 1.44, 95% CI </w:t>
            </w:r>
            <w:r w:rsidRPr="00AB7464">
              <w:rPr>
                <w:sz w:val="18"/>
                <w:szCs w:val="18"/>
                <w:lang w:val="en-GB"/>
              </w:rPr>
              <w:lastRenderedPageBreak/>
              <w:t>0.81-2.56, adjusted OR2 1.48, 95% CI 0.83-2.64), N=61 (19.9%) of children who soil &lt;1/week (unadjusted OR 1.35, 95% CI 1.01-1.80, adjusted OR1 1.34, 95% CI 1.01-1.80, adjusted OR2 1.39, 95% CI 1.04-1.86)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</w:rPr>
              <w:lastRenderedPageBreak/>
              <w:t xml:space="preserve">Van der Wal et al. </w:t>
            </w:r>
            <w:r w:rsidRPr="00AB7464">
              <w:rPr>
                <w:b/>
                <w:sz w:val="18"/>
                <w:szCs w:val="18"/>
                <w:lang w:val="en-GB"/>
              </w:rPr>
              <w:t>(2005)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46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0.7% (adjusted OR 4.32, 95% CI 1.68-11.1,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&lt;0.01)****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Fishman et al. (2002)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45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7D5872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41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Roma- Giannikou et al. (1999)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42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i/>
                <w:sz w:val="18"/>
                <w:szCs w:val="18"/>
                <w:lang w:val="en-US"/>
              </w:rPr>
              <w:t>Life events correlated with the onset of constipation in 1.6% of the cases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7D5872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  <w:tcBorders>
              <w:bottom w:val="single" w:sz="4" w:space="0" w:color="auto"/>
            </w:tcBorders>
          </w:tcPr>
          <w:p w:rsidR="00CB656C" w:rsidRPr="00AB7464" w:rsidRDefault="00CB656C" w:rsidP="00E33EBE">
            <w:pPr>
              <w:rPr>
                <w:sz w:val="18"/>
                <w:szCs w:val="18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Levine (1975)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(</w:t>
            </w:r>
            <w:r w:rsidR="008448E9" w:rsidRPr="00AB7464">
              <w:rPr>
                <w:b/>
                <w:sz w:val="18"/>
                <w:szCs w:val="18"/>
                <w:lang w:val="en-GB"/>
              </w:rPr>
              <w:t>4</w:t>
            </w:r>
            <w:r w:rsidR="00E33EBE">
              <w:rPr>
                <w:b/>
                <w:sz w:val="18"/>
                <w:szCs w:val="18"/>
                <w:lang w:val="en-GB"/>
              </w:rPr>
              <w:t>4</w:t>
            </w:r>
            <w:r w:rsidR="00237BE2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AB7464">
              <w:rPr>
                <w:i/>
                <w:sz w:val="18"/>
                <w:szCs w:val="18"/>
                <w:lang w:val="en-US"/>
              </w:rPr>
              <w:t>Onset of the child’s secondary fecal</w:t>
            </w:r>
            <w:r w:rsidRPr="00AB7464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B7464">
              <w:rPr>
                <w:i/>
                <w:sz w:val="18"/>
                <w:szCs w:val="18"/>
                <w:lang w:val="en-US"/>
              </w:rPr>
              <w:t>incontinence coincided with a disruptive occurrence</w:t>
            </w:r>
            <w:r w:rsidRPr="00AB7464">
              <w:rPr>
                <w:sz w:val="18"/>
                <w:szCs w:val="18"/>
                <w:lang w:val="en-US"/>
              </w:rPr>
              <w:t xml:space="preserve"> </w:t>
            </w:r>
            <w:r w:rsidRPr="00AB7464">
              <w:rPr>
                <w:i/>
                <w:sz w:val="18"/>
                <w:szCs w:val="18"/>
                <w:lang w:val="en-US"/>
              </w:rPr>
              <w:t>in</w:t>
            </w:r>
            <w:r w:rsidRPr="00AB7464">
              <w:rPr>
                <w:sz w:val="18"/>
                <w:szCs w:val="18"/>
                <w:lang w:val="en-US"/>
              </w:rPr>
              <w:t xml:space="preserve"> 44%</w:t>
            </w:r>
            <w:r w:rsidR="00237BE2" w:rsidRPr="00AB7464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7D5872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42A9E" w:rsidTr="00E432F6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br/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Prevalence of different types of stressful life events</w:t>
            </w:r>
          </w:p>
          <w:p w:rsidR="00CB656C" w:rsidRPr="00AB7464" w:rsidRDefault="00CB656C" w:rsidP="00E432F6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elraster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43"/>
        <w:gridCol w:w="1267"/>
        <w:gridCol w:w="1276"/>
        <w:gridCol w:w="1275"/>
        <w:gridCol w:w="1276"/>
        <w:gridCol w:w="1134"/>
        <w:gridCol w:w="1276"/>
        <w:gridCol w:w="1006"/>
        <w:gridCol w:w="1120"/>
        <w:gridCol w:w="1134"/>
        <w:gridCol w:w="1418"/>
        <w:gridCol w:w="1275"/>
      </w:tblGrid>
      <w:tr w:rsidR="00CB656C" w:rsidRPr="00A42A9E" w:rsidTr="00E432F6">
        <w:tc>
          <w:tcPr>
            <w:tcW w:w="1702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</w:p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i/>
                <w:sz w:val="18"/>
                <w:szCs w:val="18"/>
                <w:u w:val="single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Severe illness in a close family member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Death of a close family member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Loss of job by parent or unemployment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i/>
                <w:sz w:val="18"/>
                <w:szCs w:val="18"/>
                <w:u w:val="single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Interruption of toilet training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Birth of a sibling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Frequent domestic fights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Frequent punishment by the parents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Father’s alcoholism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Divorce or separation of parents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Remarriage of a parent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Hospitalization of the child for other illness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i/>
                <w:sz w:val="18"/>
                <w:szCs w:val="18"/>
                <w:u w:val="single"/>
                <w:lang w:val="en-US"/>
              </w:rPr>
              <w:t>Living in a war affected area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Rajindrajith et al. (2010)</w:t>
            </w:r>
            <w:r w:rsidR="00A94F0E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40</w:t>
            </w:r>
            <w:r w:rsidR="00A94F0E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N=20 (36.3%)*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N=8 (14.5)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N=5 (9.1%)*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N=13 (23.6%)*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N=7 (12.7%)*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N=14 (25.5%)*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N=7 (12.7%)*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N=3 (5.5%)*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N=21 (38.1%) (adjusted OR 2.74, 95% CI 1.32-5.69,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=0.007)***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sz w:val="18"/>
                <w:szCs w:val="18"/>
                <w:vertAlign w:val="superscript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lastRenderedPageBreak/>
              <w:t>Devanarayana et al. (2010)</w:t>
            </w:r>
            <w:r w:rsidR="00A94F0E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41</w:t>
            </w:r>
            <w:r w:rsidR="00A94F0E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N=106 (25.5%) (adjusted OR 1.64,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=0.001)***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N=58 (13.9%)*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N=30 (7.2%) (adjusted OR 1.84,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=0.016)***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N=57 (13.7%)*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N=20 (4.8%)*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N=65 (15.6%) (adjusted OR 1.77,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=0.003)***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N=31 (7.5%)*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N=8 (1.9%)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N=8 (1.9%)*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N=74 (17.8%)*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 xml:space="preserve">N=195 (46.8%) (adjusted OR 1.48, </w:t>
            </w:r>
            <w:r w:rsidRPr="00AB7464">
              <w:rPr>
                <w:i/>
                <w:sz w:val="18"/>
                <w:szCs w:val="18"/>
                <w:lang w:val="en-US"/>
              </w:rPr>
              <w:t>p</w:t>
            </w:r>
            <w:r w:rsidRPr="00AB7464">
              <w:rPr>
                <w:sz w:val="18"/>
                <w:szCs w:val="18"/>
                <w:lang w:val="en-US"/>
              </w:rPr>
              <w:t>=0.001)***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Inan et al. (2007)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39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Joinson et al. (2006)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43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</w:rPr>
              <w:t xml:space="preserve">Van der Wal et al. </w:t>
            </w:r>
            <w:r w:rsidRPr="00AB7464">
              <w:rPr>
                <w:b/>
                <w:sz w:val="18"/>
                <w:szCs w:val="18"/>
                <w:lang w:val="en-GB"/>
              </w:rPr>
              <w:t>(2005)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46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Fishman et al (2002)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45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N=136 (38%) of all children. N=87 (50%) of 192 children with primary FI and N=38 (24%) of 177 with secondary FI, </w:t>
            </w:r>
            <w:r w:rsidRPr="00AB7464">
              <w:rPr>
                <w:i/>
                <w:sz w:val="18"/>
                <w:szCs w:val="18"/>
                <w:lang w:val="en-GB"/>
              </w:rPr>
              <w:t>p</w:t>
            </w:r>
            <w:r w:rsidRPr="00AB7464">
              <w:rPr>
                <w:sz w:val="18"/>
                <w:szCs w:val="18"/>
                <w:lang w:val="en-GB"/>
              </w:rPr>
              <w:t>=0.0001*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(during toilet training) N=109 (28%) of all children. N=54 (29%) of 192 children with primary FI and N=46 (27%) of 177 with secondary FI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(during toilet training) N=142 (38%) of all children. N=95 (52%) of 192 children with primary FI and N=41 (25%) of 177 with secondary FI, </w:t>
            </w:r>
            <w:r w:rsidRPr="00AB7464">
              <w:rPr>
                <w:i/>
                <w:sz w:val="18"/>
                <w:szCs w:val="18"/>
                <w:lang w:val="en-GB"/>
              </w:rPr>
              <w:t>p</w:t>
            </w:r>
            <w:r w:rsidRPr="00AB7464">
              <w:rPr>
                <w:sz w:val="18"/>
                <w:szCs w:val="18"/>
                <w:lang w:val="en-GB"/>
              </w:rPr>
              <w:t>=0.0001*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432F6">
            <w:pPr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Roma- Giannikou et al. (1999)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E33EBE">
              <w:rPr>
                <w:b/>
                <w:sz w:val="18"/>
                <w:szCs w:val="18"/>
                <w:lang w:val="en-GB"/>
              </w:rPr>
              <w:t>42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  <w:tr w:rsidR="00CB656C" w:rsidRPr="00AB7464" w:rsidTr="00E432F6">
        <w:tc>
          <w:tcPr>
            <w:tcW w:w="1702" w:type="dxa"/>
          </w:tcPr>
          <w:p w:rsidR="00CB656C" w:rsidRPr="00AB7464" w:rsidRDefault="00CB656C" w:rsidP="00E33EBE">
            <w:pPr>
              <w:rPr>
                <w:sz w:val="18"/>
                <w:szCs w:val="18"/>
                <w:vertAlign w:val="superscript"/>
                <w:lang w:val="en-GB"/>
              </w:rPr>
            </w:pPr>
            <w:r w:rsidRPr="00AB7464">
              <w:rPr>
                <w:b/>
                <w:sz w:val="18"/>
                <w:szCs w:val="18"/>
                <w:lang w:val="en-GB"/>
              </w:rPr>
              <w:t>Levine (1975)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(</w:t>
            </w:r>
            <w:r w:rsidR="008448E9" w:rsidRPr="00AB7464">
              <w:rPr>
                <w:b/>
                <w:sz w:val="18"/>
                <w:szCs w:val="18"/>
                <w:lang w:val="en-GB"/>
              </w:rPr>
              <w:t>4</w:t>
            </w:r>
            <w:r w:rsidR="00E33EBE">
              <w:rPr>
                <w:b/>
                <w:sz w:val="18"/>
                <w:szCs w:val="18"/>
                <w:lang w:val="en-GB"/>
              </w:rPr>
              <w:t>4</w:t>
            </w:r>
            <w:r w:rsidR="002412CB" w:rsidRPr="00AB7464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143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67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N=14 (35%) of children with secondary FI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N=23 (22.5%) families on welfare or principal wage earner unemployed 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 xml:space="preserve">Primary FI: </w:t>
            </w:r>
            <w:r w:rsidRPr="00AB7464">
              <w:rPr>
                <w:sz w:val="18"/>
                <w:szCs w:val="18"/>
                <w:lang w:val="en-US"/>
              </w:rPr>
              <w:t>N=2 (5%)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Secondary FI: N=21 (34%)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GB"/>
              </w:rPr>
            </w:pPr>
            <w:r w:rsidRPr="00AB7464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N=4 (10%) of children with secondary FI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6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20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GB"/>
              </w:rPr>
              <w:t>N=34 (33.3%)</w:t>
            </w:r>
            <w:r w:rsidRPr="00AB7464">
              <w:rPr>
                <w:sz w:val="18"/>
                <w:szCs w:val="18"/>
                <w:lang w:val="en-GB"/>
              </w:rPr>
              <w:br/>
              <w:t xml:space="preserve">Primary FI: </w:t>
            </w:r>
            <w:r w:rsidRPr="00AB7464">
              <w:rPr>
                <w:sz w:val="18"/>
                <w:szCs w:val="18"/>
                <w:lang w:val="en-US"/>
              </w:rPr>
              <w:t>N=10 (25%)</w:t>
            </w:r>
          </w:p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Secondary FI: N=24 (39%)</w:t>
            </w:r>
          </w:p>
        </w:tc>
        <w:tc>
          <w:tcPr>
            <w:tcW w:w="1134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CB656C" w:rsidRPr="00AB7464" w:rsidRDefault="00CB656C" w:rsidP="00E432F6">
            <w:pPr>
              <w:rPr>
                <w:sz w:val="18"/>
                <w:szCs w:val="18"/>
                <w:lang w:val="en-US"/>
              </w:rPr>
            </w:pPr>
            <w:r w:rsidRPr="00AB7464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CB656C" w:rsidRPr="00AB7464" w:rsidRDefault="00CB656C" w:rsidP="00CB656C">
      <w:pPr>
        <w:rPr>
          <w:i/>
          <w:sz w:val="18"/>
          <w:szCs w:val="18"/>
          <w:lang w:val="en-US"/>
        </w:rPr>
      </w:pPr>
    </w:p>
    <w:p w:rsidR="00CB656C" w:rsidRPr="00AB7464" w:rsidRDefault="00CB656C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lang w:val="en-US"/>
        </w:rPr>
        <w:t>* statistically significant (p-value &lt;.05)</w:t>
      </w:r>
    </w:p>
    <w:p w:rsidR="00CB656C" w:rsidRPr="00AB7464" w:rsidRDefault="00CB656C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lang w:val="en-US"/>
        </w:rPr>
        <w:t>** remained significant after logistic regression analysis</w:t>
      </w:r>
    </w:p>
    <w:p w:rsidR="00CB656C" w:rsidRPr="00AB7464" w:rsidRDefault="00CB656C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lang w:val="en-US"/>
        </w:rPr>
        <w:t>*** remained significant after multiple logistic regression analysis</w:t>
      </w:r>
    </w:p>
    <w:p w:rsidR="00B30103" w:rsidRPr="00AB7464" w:rsidRDefault="00CB656C" w:rsidP="00CB656C">
      <w:pPr>
        <w:rPr>
          <w:i/>
          <w:sz w:val="18"/>
          <w:szCs w:val="18"/>
          <w:vertAlign w:val="superscript"/>
          <w:lang w:val="en-US"/>
        </w:rPr>
      </w:pPr>
      <w:r w:rsidRPr="00AB7464">
        <w:rPr>
          <w:i/>
          <w:sz w:val="18"/>
          <w:szCs w:val="18"/>
          <w:lang w:val="en-US"/>
        </w:rPr>
        <w:t>**** remained significant after logistic regression analysis with correction for the child’s age, gender, the number of children living at home, ethnic origin of the family, and the postal code</w:t>
      </w:r>
    </w:p>
    <w:p w:rsidR="00B443ED" w:rsidRPr="00AB7464" w:rsidRDefault="00B30103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lastRenderedPageBreak/>
        <w:t>1</w:t>
      </w:r>
      <w:r w:rsidR="00B443ED" w:rsidRPr="00AB7464">
        <w:rPr>
          <w:i/>
          <w:sz w:val="18"/>
          <w:szCs w:val="18"/>
          <w:lang w:val="en-US"/>
        </w:rPr>
        <w:t>This comprises change i</w:t>
      </w:r>
      <w:r w:rsidR="00237BE2" w:rsidRPr="00AB7464">
        <w:rPr>
          <w:i/>
          <w:sz w:val="18"/>
          <w:szCs w:val="18"/>
          <w:lang w:val="en-US"/>
        </w:rPr>
        <w:t>n school, suspension from school,</w:t>
      </w:r>
      <w:r w:rsidR="00B443ED" w:rsidRPr="00AB7464">
        <w:rPr>
          <w:i/>
          <w:sz w:val="18"/>
          <w:szCs w:val="18"/>
          <w:lang w:val="en-US"/>
        </w:rPr>
        <w:t xml:space="preserve"> </w:t>
      </w:r>
      <w:r w:rsidR="00237BE2" w:rsidRPr="00AB7464">
        <w:rPr>
          <w:i/>
          <w:sz w:val="18"/>
          <w:szCs w:val="18"/>
          <w:lang w:val="en-US"/>
        </w:rPr>
        <w:t>f</w:t>
      </w:r>
      <w:r w:rsidR="00B443ED" w:rsidRPr="00AB7464">
        <w:rPr>
          <w:i/>
          <w:sz w:val="18"/>
          <w:szCs w:val="18"/>
          <w:lang w:val="en-US"/>
        </w:rPr>
        <w:t>requent punishment in school, separation from best friend, sitting in government examination, failure in examination, being bullied at school, severe illness in a close family member, death of a close family member, loss of job by parent, birth of a sibling, frequent domestic fights, frequent punishment by the parents, father’s alcoholism, divorce or separation of parents, and hospitalization of the child</w:t>
      </w:r>
    </w:p>
    <w:p w:rsidR="00237BE2" w:rsidRPr="00AB7464" w:rsidRDefault="00237BE2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t>2</w:t>
      </w:r>
      <w:r w:rsidRPr="00AB7464">
        <w:rPr>
          <w:i/>
          <w:sz w:val="18"/>
          <w:szCs w:val="18"/>
          <w:lang w:val="en-US"/>
        </w:rPr>
        <w:t xml:space="preserve"> This covers all stressful life events given at †, supplemented by remarriage of parent and living in a war affected area</w:t>
      </w:r>
    </w:p>
    <w:p w:rsidR="00CB656C" w:rsidRPr="00AB7464" w:rsidRDefault="00237BE2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t>3</w:t>
      </w:r>
      <w:r w:rsidR="00CB656C" w:rsidRPr="00AB7464">
        <w:rPr>
          <w:i/>
          <w:sz w:val="18"/>
          <w:szCs w:val="18"/>
          <w:lang w:val="en-US"/>
        </w:rPr>
        <w:t xml:space="preserve"> This covers experiences of traffic accident, major trauma, earthquake, flood, fire, dea</w:t>
      </w:r>
      <w:r w:rsidR="00B443ED" w:rsidRPr="00AB7464">
        <w:rPr>
          <w:i/>
          <w:sz w:val="18"/>
          <w:szCs w:val="18"/>
          <w:lang w:val="en-US"/>
        </w:rPr>
        <w:t>th of</w:t>
      </w:r>
      <w:r w:rsidR="00CB656C" w:rsidRPr="00AB7464">
        <w:rPr>
          <w:i/>
          <w:sz w:val="18"/>
          <w:szCs w:val="18"/>
          <w:lang w:val="en-US"/>
        </w:rPr>
        <w:t>relatives, and change in school or teacher</w:t>
      </w:r>
    </w:p>
    <w:p w:rsidR="00CB656C" w:rsidRPr="00AB7464" w:rsidRDefault="00237BE2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t>4</w:t>
      </w:r>
      <w:r w:rsidR="00CB656C" w:rsidRPr="00AB7464">
        <w:rPr>
          <w:i/>
          <w:sz w:val="18"/>
          <w:szCs w:val="18"/>
          <w:lang w:val="en-US"/>
        </w:rPr>
        <w:t>Adjusted OR1</w:t>
      </w:r>
      <w:r w:rsidR="00E95A62" w:rsidRPr="00AB7464">
        <w:rPr>
          <w:i/>
          <w:sz w:val="18"/>
          <w:szCs w:val="18"/>
          <w:lang w:val="en-US"/>
        </w:rPr>
        <w:t xml:space="preserve"> is</w:t>
      </w:r>
      <w:r w:rsidR="00CB656C" w:rsidRPr="00AB7464">
        <w:rPr>
          <w:i/>
          <w:sz w:val="18"/>
          <w:szCs w:val="18"/>
          <w:lang w:val="en-US"/>
        </w:rPr>
        <w:t xml:space="preserve"> adjusted for developmental delay, adjusted OR2 </w:t>
      </w:r>
      <w:r w:rsidR="00E95A62" w:rsidRPr="00AB7464">
        <w:rPr>
          <w:i/>
          <w:sz w:val="18"/>
          <w:szCs w:val="18"/>
          <w:lang w:val="en-US"/>
        </w:rPr>
        <w:t xml:space="preserve">is </w:t>
      </w:r>
      <w:r w:rsidR="00CB656C" w:rsidRPr="00AB7464">
        <w:rPr>
          <w:i/>
          <w:sz w:val="18"/>
          <w:szCs w:val="18"/>
          <w:lang w:val="en-US"/>
        </w:rPr>
        <w:t>adjusted for developmental delay, gender, sociodemographic background (home ownership, car ownership, crowding, mother’s education, mother’s age, parity, and marital status) and stressful life events</w:t>
      </w:r>
    </w:p>
    <w:p w:rsidR="00CB656C" w:rsidRPr="00AB7464" w:rsidRDefault="00237BE2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t>5</w:t>
      </w:r>
      <w:r w:rsidR="00CB656C" w:rsidRPr="00AB7464">
        <w:rPr>
          <w:i/>
          <w:sz w:val="18"/>
          <w:szCs w:val="18"/>
          <w:lang w:val="en-US"/>
        </w:rPr>
        <w:t>This covers experiences of death or separation from a family member</w:t>
      </w:r>
    </w:p>
    <w:p w:rsidR="00CB656C" w:rsidRPr="00CB656C" w:rsidRDefault="00237BE2" w:rsidP="00CB656C">
      <w:pPr>
        <w:rPr>
          <w:i/>
          <w:sz w:val="18"/>
          <w:szCs w:val="18"/>
          <w:lang w:val="en-US"/>
        </w:rPr>
      </w:pPr>
      <w:r w:rsidRPr="00AB7464">
        <w:rPr>
          <w:i/>
          <w:sz w:val="18"/>
          <w:szCs w:val="18"/>
          <w:vertAlign w:val="superscript"/>
          <w:lang w:val="en-US"/>
        </w:rPr>
        <w:t>6</w:t>
      </w:r>
      <w:r w:rsidR="00CB656C" w:rsidRPr="00AB7464">
        <w:rPr>
          <w:i/>
          <w:sz w:val="18"/>
          <w:szCs w:val="18"/>
          <w:lang w:val="en-US"/>
        </w:rPr>
        <w:t>Associated events: loss of a parent N=14 (23%), traumatic entry into school N=9 (15%) or birth of a younger sibling N=4 (6%)</w:t>
      </w:r>
    </w:p>
    <w:sectPr w:rsidR="00CB656C" w:rsidRPr="00CB656C" w:rsidSect="00CB6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5E2"/>
    <w:multiLevelType w:val="hybridMultilevel"/>
    <w:tmpl w:val="7B84F6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6C"/>
    <w:rsid w:val="00027CDB"/>
    <w:rsid w:val="00065256"/>
    <w:rsid w:val="000A1C00"/>
    <w:rsid w:val="00224683"/>
    <w:rsid w:val="00225F2F"/>
    <w:rsid w:val="00237BE2"/>
    <w:rsid w:val="002412CB"/>
    <w:rsid w:val="00305763"/>
    <w:rsid w:val="003B056C"/>
    <w:rsid w:val="003D3E9E"/>
    <w:rsid w:val="003E102B"/>
    <w:rsid w:val="007D5872"/>
    <w:rsid w:val="007F568A"/>
    <w:rsid w:val="008448E9"/>
    <w:rsid w:val="00861844"/>
    <w:rsid w:val="00862E4E"/>
    <w:rsid w:val="00982529"/>
    <w:rsid w:val="009F399B"/>
    <w:rsid w:val="00A42A9E"/>
    <w:rsid w:val="00A50C6C"/>
    <w:rsid w:val="00A94F0E"/>
    <w:rsid w:val="00AB7464"/>
    <w:rsid w:val="00AB747D"/>
    <w:rsid w:val="00AC07BA"/>
    <w:rsid w:val="00B30103"/>
    <w:rsid w:val="00B443ED"/>
    <w:rsid w:val="00BF7CCB"/>
    <w:rsid w:val="00C17ABB"/>
    <w:rsid w:val="00C86943"/>
    <w:rsid w:val="00CB656C"/>
    <w:rsid w:val="00CB67B9"/>
    <w:rsid w:val="00DA4494"/>
    <w:rsid w:val="00DC1604"/>
    <w:rsid w:val="00E33EBE"/>
    <w:rsid w:val="00E35B6B"/>
    <w:rsid w:val="00E95A62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CB6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B65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99"/>
    <w:qFormat/>
    <w:rsid w:val="00CB656C"/>
    <w:pPr>
      <w:ind w:left="720"/>
    </w:pPr>
  </w:style>
  <w:style w:type="table" w:styleId="Tabelraster">
    <w:name w:val="Table Grid"/>
    <w:basedOn w:val="Standaardtabel"/>
    <w:uiPriority w:val="59"/>
    <w:rsid w:val="00C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52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256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7A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7A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7AB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7A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7AB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CB6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B65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99"/>
    <w:qFormat/>
    <w:rsid w:val="00CB656C"/>
    <w:pPr>
      <w:ind w:left="720"/>
    </w:pPr>
  </w:style>
  <w:style w:type="table" w:styleId="Tabelraster">
    <w:name w:val="Table Grid"/>
    <w:basedOn w:val="Standaardtabel"/>
    <w:uiPriority w:val="59"/>
    <w:rsid w:val="00C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52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256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7A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7A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7AB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7A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7AB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2065</Words>
  <Characters>11362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Philips</dc:creator>
  <cp:lastModifiedBy>Elise Philips</cp:lastModifiedBy>
  <cp:revision>3</cp:revision>
  <dcterms:created xsi:type="dcterms:W3CDTF">2015-05-19T08:31:00Z</dcterms:created>
  <dcterms:modified xsi:type="dcterms:W3CDTF">2015-05-19T09:09:00Z</dcterms:modified>
</cp:coreProperties>
</file>