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12B" w:rsidRPr="00737C96" w:rsidRDefault="0093312B" w:rsidP="0093312B">
      <w:pPr>
        <w:spacing w:line="480" w:lineRule="auto"/>
        <w:jc w:val="both"/>
        <w:rPr>
          <w:rFonts w:ascii="Times New Roman" w:hAnsi="Times New Roman"/>
          <w:b/>
          <w:sz w:val="24"/>
          <w:szCs w:val="24"/>
          <w:lang w:val="en-GB"/>
        </w:rPr>
      </w:pPr>
      <w:r>
        <w:rPr>
          <w:rFonts w:ascii="Times New Roman" w:hAnsi="Times New Roman"/>
          <w:b/>
          <w:sz w:val="24"/>
          <w:szCs w:val="24"/>
          <w:lang w:val="en-GB"/>
        </w:rPr>
        <w:t xml:space="preserve">Materials and </w:t>
      </w:r>
      <w:r w:rsidRPr="00737C96">
        <w:rPr>
          <w:rFonts w:ascii="Times New Roman" w:hAnsi="Times New Roman"/>
          <w:b/>
          <w:sz w:val="24"/>
          <w:szCs w:val="24"/>
          <w:lang w:val="en-GB"/>
        </w:rPr>
        <w:t>Methods</w:t>
      </w:r>
    </w:p>
    <w:p w:rsidR="0093312B" w:rsidRPr="00737C96" w:rsidRDefault="0093312B" w:rsidP="0093312B">
      <w:pPr>
        <w:spacing w:line="480" w:lineRule="auto"/>
        <w:jc w:val="both"/>
        <w:rPr>
          <w:rFonts w:ascii="Times New Roman" w:hAnsi="Times New Roman"/>
          <w:b/>
          <w:sz w:val="24"/>
          <w:szCs w:val="24"/>
          <w:lang w:val="en-GB"/>
        </w:rPr>
      </w:pPr>
      <w:r>
        <w:rPr>
          <w:rFonts w:ascii="Times New Roman" w:hAnsi="Times New Roman"/>
          <w:b/>
          <w:sz w:val="24"/>
          <w:szCs w:val="24"/>
          <w:lang w:val="en-GB"/>
        </w:rPr>
        <w:t>Study population and sample collection</w:t>
      </w:r>
    </w:p>
    <w:p w:rsidR="0093312B" w:rsidRDefault="0093312B" w:rsidP="0093312B">
      <w:pPr>
        <w:spacing w:line="480" w:lineRule="auto"/>
        <w:jc w:val="both"/>
        <w:rPr>
          <w:rFonts w:ascii="Times New Roman" w:hAnsi="Times New Roman"/>
          <w:sz w:val="24"/>
          <w:szCs w:val="24"/>
          <w:lang w:val="en-GB"/>
        </w:rPr>
      </w:pPr>
      <w:r>
        <w:rPr>
          <w:rFonts w:ascii="Times New Roman" w:hAnsi="Times New Roman"/>
          <w:sz w:val="24"/>
          <w:szCs w:val="24"/>
          <w:lang w:val="en-GB"/>
        </w:rPr>
        <w:t xml:space="preserve">This study was conducted in collaboration with Children’s Hospital Zagreb, </w:t>
      </w:r>
      <w:r w:rsidRPr="00737C96">
        <w:rPr>
          <w:rFonts w:ascii="Times New Roman" w:hAnsi="Times New Roman" w:cs="Times New Roman"/>
          <w:sz w:val="24"/>
          <w:szCs w:val="24"/>
          <w:lang w:val="en-GB"/>
        </w:rPr>
        <w:t xml:space="preserve">University </w:t>
      </w:r>
      <w:r>
        <w:rPr>
          <w:rFonts w:ascii="Times New Roman" w:hAnsi="Times New Roman" w:cs="Times New Roman"/>
          <w:sz w:val="24"/>
          <w:szCs w:val="24"/>
          <w:lang w:val="en-GB"/>
        </w:rPr>
        <w:t xml:space="preserve">Hospital Centre </w:t>
      </w:r>
      <w:r w:rsidRPr="00737C96">
        <w:rPr>
          <w:rFonts w:ascii="Times New Roman" w:hAnsi="Times New Roman" w:cs="Times New Roman"/>
          <w:sz w:val="24"/>
          <w:szCs w:val="24"/>
          <w:lang w:val="en-GB"/>
        </w:rPr>
        <w:t>“Sisters of</w:t>
      </w:r>
      <w:r>
        <w:rPr>
          <w:rFonts w:ascii="Times New Roman" w:hAnsi="Times New Roman" w:cs="Times New Roman"/>
          <w:sz w:val="24"/>
          <w:szCs w:val="24"/>
          <w:lang w:val="en-GB"/>
        </w:rPr>
        <w:t xml:space="preserve"> Mercy</w:t>
      </w:r>
      <w:r w:rsidRPr="00737C96">
        <w:rPr>
          <w:rFonts w:ascii="Times New Roman" w:hAnsi="Times New Roman" w:cs="Times New Roman"/>
          <w:sz w:val="24"/>
          <w:szCs w:val="24"/>
          <w:lang w:val="en-GB"/>
        </w:rPr>
        <w:t xml:space="preserve">” and </w:t>
      </w:r>
      <w:r>
        <w:rPr>
          <w:rFonts w:ascii="Times New Roman" w:hAnsi="Times New Roman" w:cs="Times New Roman"/>
          <w:sz w:val="24"/>
          <w:szCs w:val="24"/>
          <w:lang w:val="en-GB"/>
        </w:rPr>
        <w:t xml:space="preserve">University Hospital </w:t>
      </w:r>
      <w:r w:rsidRPr="00737C96">
        <w:rPr>
          <w:rFonts w:ascii="Times New Roman" w:hAnsi="Times New Roman" w:cs="Times New Roman"/>
          <w:sz w:val="24"/>
          <w:szCs w:val="24"/>
          <w:lang w:val="en-GB"/>
        </w:rPr>
        <w:t>“</w:t>
      </w:r>
      <w:proofErr w:type="spellStart"/>
      <w:r w:rsidRPr="00737C96">
        <w:rPr>
          <w:rFonts w:ascii="Times New Roman" w:hAnsi="Times New Roman" w:cs="Times New Roman"/>
          <w:sz w:val="24"/>
          <w:szCs w:val="24"/>
          <w:lang w:val="en-GB"/>
        </w:rPr>
        <w:t>Dubrava</w:t>
      </w:r>
      <w:proofErr w:type="spellEnd"/>
      <w:r w:rsidRPr="00737C96">
        <w:rPr>
          <w:rFonts w:ascii="Times New Roman" w:hAnsi="Times New Roman" w:cs="Times New Roman"/>
          <w:sz w:val="24"/>
          <w:szCs w:val="24"/>
          <w:lang w:val="en-GB"/>
        </w:rPr>
        <w:t>”, Zagreb, Croatia</w:t>
      </w:r>
      <w:r>
        <w:rPr>
          <w:rFonts w:ascii="Times New Roman" w:hAnsi="Times New Roman" w:cs="Times New Roman"/>
          <w:sz w:val="24"/>
          <w:szCs w:val="24"/>
          <w:lang w:val="en-GB"/>
        </w:rPr>
        <w:t>.</w:t>
      </w:r>
      <w:r>
        <w:rPr>
          <w:rFonts w:ascii="Times New Roman" w:hAnsi="Times New Roman"/>
          <w:sz w:val="24"/>
          <w:szCs w:val="24"/>
          <w:lang w:val="en-GB"/>
        </w:rPr>
        <w:t xml:space="preserve"> </w:t>
      </w:r>
      <w:r w:rsidRPr="00737C96">
        <w:rPr>
          <w:rFonts w:ascii="Times New Roman" w:hAnsi="Times New Roman"/>
          <w:sz w:val="24"/>
          <w:szCs w:val="24"/>
          <w:lang w:val="en-GB"/>
        </w:rPr>
        <w:t xml:space="preserve">The informed consent was obtained from all participants </w:t>
      </w:r>
      <w:r>
        <w:rPr>
          <w:rFonts w:ascii="Times New Roman" w:hAnsi="Times New Roman"/>
          <w:sz w:val="24"/>
          <w:szCs w:val="24"/>
          <w:lang w:val="en-GB"/>
        </w:rPr>
        <w:t xml:space="preserve">of legal age or their parents/legal guardians </w:t>
      </w:r>
      <w:r w:rsidRPr="00737C96">
        <w:rPr>
          <w:rFonts w:ascii="Times New Roman" w:hAnsi="Times New Roman"/>
          <w:sz w:val="24"/>
          <w:szCs w:val="24"/>
          <w:lang w:val="en-GB"/>
        </w:rPr>
        <w:t xml:space="preserve">prior to inclusion </w:t>
      </w:r>
      <w:r>
        <w:rPr>
          <w:rFonts w:ascii="Times New Roman" w:hAnsi="Times New Roman"/>
          <w:sz w:val="24"/>
          <w:szCs w:val="24"/>
          <w:lang w:val="en-GB"/>
        </w:rPr>
        <w:t xml:space="preserve">into the study </w:t>
      </w:r>
      <w:r w:rsidRPr="00737C96">
        <w:rPr>
          <w:rFonts w:ascii="Times New Roman" w:hAnsi="Times New Roman"/>
          <w:sz w:val="24"/>
          <w:szCs w:val="24"/>
          <w:lang w:val="en-GB"/>
        </w:rPr>
        <w:t>and the protocol was ap</w:t>
      </w:r>
      <w:r>
        <w:rPr>
          <w:rFonts w:ascii="Times New Roman" w:hAnsi="Times New Roman"/>
          <w:sz w:val="24"/>
          <w:szCs w:val="24"/>
          <w:lang w:val="en-GB"/>
        </w:rPr>
        <w:t xml:space="preserve">proved by the Ethical Committees of collaborating hospitals. Thirteen </w:t>
      </w:r>
      <w:proofErr w:type="spellStart"/>
      <w:r>
        <w:rPr>
          <w:rFonts w:ascii="Times New Roman" w:hAnsi="Times New Roman"/>
          <w:sz w:val="24"/>
          <w:szCs w:val="24"/>
          <w:lang w:val="en-GB"/>
        </w:rPr>
        <w:t>pediatric</w:t>
      </w:r>
      <w:proofErr w:type="spellEnd"/>
      <w:r>
        <w:rPr>
          <w:rFonts w:ascii="Times New Roman" w:hAnsi="Times New Roman"/>
          <w:sz w:val="24"/>
          <w:szCs w:val="24"/>
          <w:lang w:val="en-GB"/>
        </w:rPr>
        <w:t xml:space="preserve"> patients (9 newly diagnosed, untreated (UC-New) and 4 in remission (UC-Remission)) and 17 adults (9 newly diagnosed, untreated (UC-New) and 8 in remission (UC-Remission)) with UC as well as 15 </w:t>
      </w:r>
      <w:proofErr w:type="spellStart"/>
      <w:r>
        <w:rPr>
          <w:rFonts w:ascii="Times New Roman" w:hAnsi="Times New Roman"/>
          <w:sz w:val="24"/>
          <w:szCs w:val="24"/>
          <w:lang w:val="en-GB"/>
        </w:rPr>
        <w:t>pediatric</w:t>
      </w:r>
      <w:proofErr w:type="spellEnd"/>
      <w:r>
        <w:rPr>
          <w:rFonts w:ascii="Times New Roman" w:hAnsi="Times New Roman"/>
          <w:sz w:val="24"/>
          <w:szCs w:val="24"/>
          <w:lang w:val="en-GB"/>
        </w:rPr>
        <w:t xml:space="preserve"> and 10 adult age-matched controls were enrolled in the study.</w:t>
      </w:r>
      <w:r w:rsidRPr="005C74F9">
        <w:rPr>
          <w:rFonts w:ascii="Times New Roman" w:hAnsi="Times New Roman"/>
          <w:sz w:val="24"/>
          <w:szCs w:val="24"/>
          <w:lang w:val="en-GB"/>
        </w:rPr>
        <w:t xml:space="preserve"> </w:t>
      </w:r>
      <w:r>
        <w:rPr>
          <w:rFonts w:ascii="Times New Roman" w:hAnsi="Times New Roman"/>
          <w:sz w:val="24"/>
          <w:szCs w:val="24"/>
          <w:lang w:val="en-GB"/>
        </w:rPr>
        <w:t xml:space="preserve">Tissue samples from </w:t>
      </w:r>
      <w:proofErr w:type="spellStart"/>
      <w:r>
        <w:rPr>
          <w:rFonts w:ascii="Times New Roman" w:hAnsi="Times New Roman"/>
          <w:sz w:val="24"/>
          <w:szCs w:val="24"/>
          <w:lang w:val="en-GB"/>
        </w:rPr>
        <w:t>pediatric</w:t>
      </w:r>
      <w:proofErr w:type="spellEnd"/>
      <w:r>
        <w:rPr>
          <w:rFonts w:ascii="Times New Roman" w:hAnsi="Times New Roman"/>
          <w:sz w:val="24"/>
          <w:szCs w:val="24"/>
          <w:lang w:val="en-GB"/>
        </w:rPr>
        <w:t xml:space="preserve"> patients were collected from descending colon and terminal ileum whereas from adults the samples were taken from sigmoid colon and terminal ileum. Healthy control samples were obtained from </w:t>
      </w:r>
      <w:r w:rsidRPr="00737C96">
        <w:rPr>
          <w:rFonts w:ascii="Times New Roman" w:hAnsi="Times New Roman"/>
          <w:sz w:val="24"/>
          <w:szCs w:val="24"/>
          <w:lang w:val="en-GB"/>
        </w:rPr>
        <w:t xml:space="preserve">non-IBD patients who </w:t>
      </w:r>
      <w:r>
        <w:rPr>
          <w:rFonts w:ascii="Times New Roman" w:hAnsi="Times New Roman"/>
          <w:sz w:val="24"/>
          <w:szCs w:val="24"/>
          <w:lang w:val="en-GB"/>
        </w:rPr>
        <w:t xml:space="preserve">underwent </w:t>
      </w:r>
      <w:proofErr w:type="spellStart"/>
      <w:r>
        <w:rPr>
          <w:rFonts w:ascii="Times New Roman" w:hAnsi="Times New Roman"/>
          <w:sz w:val="24"/>
          <w:szCs w:val="24"/>
          <w:lang w:val="en-GB"/>
        </w:rPr>
        <w:t>ileo</w:t>
      </w:r>
      <w:r w:rsidRPr="00737C96">
        <w:rPr>
          <w:rFonts w:ascii="Times New Roman" w:hAnsi="Times New Roman"/>
          <w:sz w:val="24"/>
          <w:szCs w:val="24"/>
          <w:lang w:val="en-GB"/>
        </w:rPr>
        <w:t>colonoscopy</w:t>
      </w:r>
      <w:proofErr w:type="spellEnd"/>
      <w:r w:rsidRPr="00737C96">
        <w:rPr>
          <w:rFonts w:ascii="Times New Roman" w:hAnsi="Times New Roman"/>
          <w:sz w:val="24"/>
          <w:szCs w:val="24"/>
          <w:lang w:val="en-GB"/>
        </w:rPr>
        <w:t xml:space="preserve"> for clinical investigation of rectal bleeding, anaemia or </w:t>
      </w:r>
      <w:r>
        <w:rPr>
          <w:rFonts w:ascii="Times New Roman" w:hAnsi="Times New Roman"/>
          <w:sz w:val="24"/>
          <w:szCs w:val="24"/>
          <w:lang w:val="en-GB"/>
        </w:rPr>
        <w:t xml:space="preserve">diarrhoea. Colon samples from UC-New patients were taken from inflamed areas whereas tissue samples from patients in UC-Remission were collected from similar locations but without inflammation, confirmed by endoscopy and </w:t>
      </w:r>
      <w:proofErr w:type="spellStart"/>
      <w:r>
        <w:rPr>
          <w:rFonts w:ascii="Times New Roman" w:hAnsi="Times New Roman"/>
          <w:sz w:val="24"/>
          <w:szCs w:val="24"/>
          <w:lang w:val="en-GB"/>
        </w:rPr>
        <w:t>pathohistological</w:t>
      </w:r>
      <w:proofErr w:type="spellEnd"/>
      <w:r>
        <w:rPr>
          <w:rFonts w:ascii="Times New Roman" w:hAnsi="Times New Roman"/>
          <w:sz w:val="24"/>
          <w:szCs w:val="24"/>
          <w:lang w:val="en-GB"/>
        </w:rPr>
        <w:t xml:space="preserve"> screening. All intestinal samples from heathy controls and terminal ileum samples from UC patients were non-inflamed (macroscopic and histological findings)</w:t>
      </w:r>
      <w:r w:rsidRPr="00737C96">
        <w:rPr>
          <w:rFonts w:ascii="Times New Roman" w:hAnsi="Times New Roman"/>
          <w:sz w:val="24"/>
          <w:szCs w:val="24"/>
          <w:lang w:val="en-GB"/>
        </w:rPr>
        <w:t>.</w:t>
      </w:r>
      <w:r>
        <w:rPr>
          <w:rFonts w:ascii="Times New Roman" w:hAnsi="Times New Roman"/>
          <w:sz w:val="24"/>
          <w:szCs w:val="24"/>
          <w:lang w:val="en-GB"/>
        </w:rPr>
        <w:t xml:space="preserve"> </w:t>
      </w:r>
      <w:r w:rsidRPr="001E13D2">
        <w:rPr>
          <w:rFonts w:ascii="Times New Roman" w:hAnsi="Times New Roman"/>
          <w:sz w:val="24"/>
          <w:szCs w:val="24"/>
          <w:lang w:val="en-GB"/>
        </w:rPr>
        <w:t xml:space="preserve">The diagnosis </w:t>
      </w:r>
      <w:r>
        <w:rPr>
          <w:rFonts w:ascii="Times New Roman" w:hAnsi="Times New Roman"/>
          <w:sz w:val="24"/>
          <w:szCs w:val="24"/>
          <w:lang w:val="en-GB"/>
        </w:rPr>
        <w:t xml:space="preserve">of </w:t>
      </w:r>
      <w:proofErr w:type="spellStart"/>
      <w:r>
        <w:rPr>
          <w:rFonts w:ascii="Times New Roman" w:hAnsi="Times New Roman"/>
          <w:sz w:val="24"/>
          <w:szCs w:val="24"/>
          <w:lang w:val="en-GB"/>
        </w:rPr>
        <w:t>pediatric</w:t>
      </w:r>
      <w:proofErr w:type="spellEnd"/>
      <w:r>
        <w:rPr>
          <w:rFonts w:ascii="Times New Roman" w:hAnsi="Times New Roman"/>
          <w:sz w:val="24"/>
          <w:szCs w:val="24"/>
          <w:lang w:val="en-GB"/>
        </w:rPr>
        <w:t xml:space="preserve"> UC </w:t>
      </w:r>
      <w:r w:rsidRPr="001E13D2">
        <w:rPr>
          <w:rFonts w:ascii="Times New Roman" w:hAnsi="Times New Roman"/>
          <w:sz w:val="24"/>
          <w:szCs w:val="24"/>
          <w:lang w:val="en-GB"/>
        </w:rPr>
        <w:t xml:space="preserve">was based on </w:t>
      </w:r>
      <w:r>
        <w:rPr>
          <w:rFonts w:ascii="Times New Roman" w:hAnsi="Times New Roman"/>
          <w:sz w:val="24"/>
          <w:szCs w:val="24"/>
          <w:lang w:val="en-GB"/>
        </w:rPr>
        <w:t xml:space="preserve">modified Porto diagnostic criteria </w:t>
      </w:r>
      <w:r>
        <w:rPr>
          <w:rFonts w:ascii="Times New Roman" w:hAnsi="Times New Roman"/>
          <w:sz w:val="24"/>
          <w:szCs w:val="24"/>
          <w:lang w:val="en-GB"/>
        </w:rPr>
        <w:fldChar w:fldCharType="begin" w:fldLock="1"/>
      </w:r>
      <w:r w:rsidR="00A5091A">
        <w:rPr>
          <w:rFonts w:ascii="Times New Roman" w:hAnsi="Times New Roman"/>
          <w:sz w:val="24"/>
          <w:szCs w:val="24"/>
          <w:lang w:val="en-GB"/>
        </w:rPr>
        <w:instrText>ADDIN CSL_CITATION { "citationItems" : [ { "id" : "ITEM-1", "itemData" : { "DOI" : "10.1097/MPG.0000000000000239", "ISBN" : "0000000000000", "ISSN" : "1536-4801", "PMID" : "24231644", "abstract" : "BACKGROUND: The diagnosis of pediatric-onset inflammatory bowel disease (PIBD) can be challenging in choosing the most informative diagnostic tests and correctly classifying PIBD into its different subtypes. Recent advances in our understanding of the natural history and phenotype of PIBD, increasing availability of serological and fecal biomarkers, and the emergence of novel endoscopic and imaging technologies taken together have made the previous Porto criteria for the diagnosis of PIBD obsolete.\n\nMETHODS: We aimed to revise the original Porto criteria using an evidence-based approach and consensus process to yield specific practice recommendations for the diagnosis of PIBD. These revised criteria are based on the Paris classification of PIBD and the original Porto criteria while incorporating novel data, such as for serum and fecal biomarkers. A consensus of at least 80% of participants was achieved for all recommendations and the summary algorithm.\n\nRESULTS: The revised criteria depart from existing criteria by defining 2 categories of ulcerative colitis (UC, typical and atypical); atypical phenotypes of UC should be treated as UC. A novel approach based on multiple criteria for diagnosing IBD-unclassified (IBD-U) is proposed. Specifically, these revised criteria recommend upper gastrointestinal endoscopy and ileocolonscopy for all suspected patients with PIBD, with small bowel imaging (unless typical UC after endoscopy and histology) by magnetic resonance enterography or wireless capsule endoscopy.\n\nCONCLUSIONS: These revised Porto criteria for the diagnosis of PIBD have been developed to meet present challenges and developments in PIBD and provide up-to-date guidelines for the definition and diagnosis of the IBD spectrum.", "author" : [ { "dropping-particle" : "", "family" : "Levine", "given" : "Arie", "non-dropping-particle" : "", "parse-names" : false, "suffix" : "" }, { "dropping-particle" : "", "family" : "Koletzko", "given" : "Sibylle", "non-dropping-particle" : "", "parse-names" : false, "suffix" : "" }, { "dropping-particle" : "", "family" : "Turner", "given" : "Dan", "non-dropping-particle" : "", "parse-names" : false, "suffix" : "" }, { "dropping-particle" : "", "family" : "Escher", "given" : "Johanna C", "non-dropping-particle" : "", "parse-names" : false, "suffix" : "" }, { "dropping-particle" : "", "family" : "Cucchiara", "given" : "Salvatore", "non-dropping-particle" : "", "parse-names" : false, "suffix" : "" }, { "dropping-particle" : "", "family" : "Ridder", "given" : "Lissy", "non-dropping-particle" : "de", "parse-names" : false, "suffix" : "" }, { "dropping-particle" : "", "family" : "Kolho", "given" : "Kaija-Leena", "non-dropping-particle" : "", "parse-names" : false, "suffix" : "" }, { "dropping-particle" : "", "family" : "Veres", "given" : "Gabor", "non-dropping-particle" : "", "parse-names" : false, "suffix" : "" }, { "dropping-particle" : "", "family" : "Russell", "given" : "Richard K", "non-dropping-particle" : "", "parse-names" : false, "suffix" : "" }, { "dropping-particle" : "", "family" : "Paerregaard", "given" : "Anders", "non-dropping-particle" : "", "parse-names" : false, "suffix" : "" }, { "dropping-particle" : "", "family" : "Buderus", "given" : "Stephan", "non-dropping-particle" : "", "parse-names" : false, "suffix" : "" }, { "dropping-particle" : "", "family" : "Greer", "given" : "Mary-Louise C", "non-dropping-particle" : "", "parse-names" : false, "suffix" : "" }, { "dropping-particle" : "", "family" : "Dias", "given" : "Jorge a", "non-dropping-particle" : "", "parse-names" : false, "suffix" : "" }, { "dropping-particle" : "", "family" : "Veereman-Wauters", "given" : "Gigi", "non-dropping-particle" : "", "parse-names" : false, "suffix" : "" }, { "dropping-particle" : "", "family" : "Lionetti", "given" : "Paolo", "non-dropping-particle" : "", "parse-names" : false, "suffix" : "" }, { "dropping-particle" : "", "family" : "Sladek", "given" : "Malgorzata", "non-dropping-particle" : "", "parse-names" : false, "suffix" : "" }, { "dropping-particle" : "", "family" : "Martin de Carpi", "given" : "Javier", "non-dropping-particle" : "", "parse-names" : false, "suffix" : "" }, { "dropping-particle" : "", "family" : "Staiano", "given" : "Annamaria", "non-dropping-particle" : "", "parse-names" : false, "suffix" : "" }, { "dropping-particle" : "", "family" : "Ruemmele", "given" : "Frank M", "non-dropping-particle" : "", "parse-names" : false, "suffix" : "" }, { "dropping-particle" : "", "family" : "Wilson", "given" : "David C", "non-dropping-particle" : "", "parse-names" : false, "suffix" : "" } ], "container-title" : "Journal of pediatric gastroenterology and nutrition", "id" : "ITEM-1", "issue" : "6", "issued" : { "date-parts" : [ [ "2014", "6" ] ] }, "page" : "795-806", "title" : "ESPGHAN revised porto criteria for the diagnosis of inflammatory bowel disease in children and adolescents.", "type" : "article-journal", "volume" : "58" }, "uris" : [ "http://www.mendeley.com/documents/?uuid=164e8200-ea8a-4475-88de-fc24c804d7e0" ] } ], "mendeley" : { "formattedCitation" : "[1]", "plainTextFormattedCitation" : "[1]", "previouslyFormattedCitation" : "(Levine et al. 2014)" }, "properties" : { "noteIndex" : 0 }, "schema" : "https://github.com/citation-style-language/schema/raw/master/csl-citation.json" }</w:instrText>
      </w:r>
      <w:r>
        <w:rPr>
          <w:rFonts w:ascii="Times New Roman" w:hAnsi="Times New Roman"/>
          <w:sz w:val="24"/>
          <w:szCs w:val="24"/>
          <w:lang w:val="en-GB"/>
        </w:rPr>
        <w:fldChar w:fldCharType="separate"/>
      </w:r>
      <w:r w:rsidR="00A5091A" w:rsidRPr="00A5091A">
        <w:rPr>
          <w:rFonts w:ascii="Times New Roman" w:hAnsi="Times New Roman"/>
          <w:noProof/>
          <w:sz w:val="24"/>
          <w:szCs w:val="24"/>
          <w:lang w:val="en-GB"/>
        </w:rPr>
        <w:t>[1]</w:t>
      </w:r>
      <w:r>
        <w:rPr>
          <w:rFonts w:ascii="Times New Roman" w:hAnsi="Times New Roman"/>
          <w:sz w:val="24"/>
          <w:szCs w:val="24"/>
          <w:lang w:val="en-GB"/>
        </w:rPr>
        <w:fldChar w:fldCharType="end"/>
      </w:r>
      <w:r>
        <w:rPr>
          <w:rFonts w:ascii="Times New Roman" w:hAnsi="Times New Roman"/>
          <w:sz w:val="24"/>
          <w:szCs w:val="24"/>
          <w:lang w:val="en-GB"/>
        </w:rPr>
        <w:t xml:space="preserve"> and in adults on established clinical, en</w:t>
      </w:r>
      <w:r w:rsidRPr="00195074">
        <w:rPr>
          <w:rFonts w:ascii="Times New Roman" w:hAnsi="Times New Roman"/>
          <w:sz w:val="24"/>
          <w:szCs w:val="24"/>
          <w:lang w:val="en-GB"/>
        </w:rPr>
        <w:t>doscopic, and histologic criteria</w:t>
      </w:r>
      <w:r>
        <w:rPr>
          <w:rFonts w:ascii="Times New Roman" w:hAnsi="Times New Roman"/>
          <w:sz w:val="24"/>
          <w:szCs w:val="24"/>
          <w:lang w:val="en-GB"/>
        </w:rPr>
        <w:t xml:space="preserve"> </w:t>
      </w:r>
      <w:r>
        <w:rPr>
          <w:rFonts w:ascii="Times New Roman" w:hAnsi="Times New Roman"/>
          <w:sz w:val="24"/>
          <w:szCs w:val="24"/>
          <w:lang w:val="en-GB"/>
        </w:rPr>
        <w:fldChar w:fldCharType="begin" w:fldLock="1"/>
      </w:r>
      <w:r w:rsidR="00A5091A">
        <w:rPr>
          <w:rFonts w:ascii="Times New Roman" w:hAnsi="Times New Roman"/>
          <w:sz w:val="24"/>
          <w:szCs w:val="24"/>
          <w:lang w:val="en-GB"/>
        </w:rPr>
        <w:instrText>ADDIN CSL_CITATION { "citationItems" : [ { "id" : "ITEM-1", "itemData" : { "author" : [ { "dropping-particle" : "", "family" : "Sands", "given" : "BE", "non-dropping-particle" : "", "parse-names" : false, "suffix" : "" } ], "container-title" : "Gastroenterology", "id" : "ITEM-1", "issued" : { "date-parts" : [ [ "2004" ] ] }, "page" : "1518-1532", "title" : "From symptom to diagnosis: clinical distinctions among various forms of intestinal inflammation.", "type" : "article-journal", "volume" : "126" }, "uris" : [ "http://www.mendeley.com/documents/?uuid=fbabfece-3ced-4441-8fc8-587a297c9ac5" ] } ], "mendeley" : { "formattedCitation" : "[2]", "plainTextFormattedCitation" : "[2]", "previouslyFormattedCitation" : "(Sands 2004)" }, "properties" : { "noteIndex" : 0 }, "schema" : "https://github.com/citation-style-language/schema/raw/master/csl-citation.json" }</w:instrText>
      </w:r>
      <w:r>
        <w:rPr>
          <w:rFonts w:ascii="Times New Roman" w:hAnsi="Times New Roman"/>
          <w:sz w:val="24"/>
          <w:szCs w:val="24"/>
          <w:lang w:val="en-GB"/>
        </w:rPr>
        <w:fldChar w:fldCharType="separate"/>
      </w:r>
      <w:r w:rsidR="00A5091A" w:rsidRPr="00A5091A">
        <w:rPr>
          <w:rFonts w:ascii="Times New Roman" w:hAnsi="Times New Roman"/>
          <w:noProof/>
          <w:sz w:val="24"/>
          <w:szCs w:val="24"/>
          <w:lang w:val="en-GB"/>
        </w:rPr>
        <w:t>[2]</w:t>
      </w:r>
      <w:r>
        <w:rPr>
          <w:rFonts w:ascii="Times New Roman" w:hAnsi="Times New Roman"/>
          <w:sz w:val="24"/>
          <w:szCs w:val="24"/>
          <w:lang w:val="en-GB"/>
        </w:rPr>
        <w:fldChar w:fldCharType="end"/>
      </w:r>
      <w:r>
        <w:rPr>
          <w:rFonts w:ascii="Times New Roman" w:hAnsi="Times New Roman"/>
          <w:sz w:val="24"/>
          <w:szCs w:val="24"/>
          <w:lang w:val="en-GB"/>
        </w:rPr>
        <w:t xml:space="preserve">. Disease activity in children was assessed by </w:t>
      </w:r>
      <w:r>
        <w:rPr>
          <w:rFonts w:ascii="Times New Roman" w:hAnsi="Times New Roman"/>
          <w:sz w:val="24"/>
          <w:szCs w:val="24"/>
        </w:rPr>
        <w:t xml:space="preserve">Pediatric Ulcerative Colitis Activity Index (PUCAI) </w:t>
      </w:r>
      <w:r>
        <w:rPr>
          <w:rFonts w:ascii="Times New Roman" w:hAnsi="Times New Roman"/>
          <w:sz w:val="24"/>
          <w:szCs w:val="24"/>
        </w:rPr>
        <w:fldChar w:fldCharType="begin" w:fldLock="1"/>
      </w:r>
      <w:r w:rsidR="00A5091A">
        <w:rPr>
          <w:rFonts w:ascii="Times New Roman" w:hAnsi="Times New Roman"/>
          <w:sz w:val="24"/>
          <w:szCs w:val="24"/>
        </w:rPr>
        <w:instrText>ADDIN CSL_CITATION { "citationItems" : [ { "id" : "ITEM-1", "itemData" : { "DOI" : "10.1002/ibd.20867", "ISSN" : "1536-4844", "PMID" : "19161178", "abstract" : "BACKGROUND: We evaluated the psychometric performance of the Pediatric Ulcerative Colitis Activity Index (PUCAI) in a real-life cohort from the Pediatric IBD Collaborative Research Group.\n\nMETHODS: Two consecutive visits of 215 children with ulcerative colitis (UC) were included (mean age 11.2 +/- 3.6 years; 112 (52%) males; 63 (29%) newly diagnosed and the others after disease duration of 24 +/- 15.6 months). Validity was assessed using several constructs of disease activity. Distributional and anchor-based strategies were used to assess the responsiveness of the PUCAI to change over time following treatment.\n\nRESULTS: Reflecting feasibility, 97.6% of 770 eligible registry visits had a completed PUCAI score versus only 47.6% for a contemporaneously collected Pediatric Crohn's Disease Activity Index (odds ratio = 45.8, 95% confidence interval [CI] 28.6-73.5) obtained for children with Crohn's disease accessioned into the same database. The PUCAI score was significantly higher in patients requiring escalation of medical therapy (45 points [interquartile range, IQR, 30-60]) versus those who did not, (0 points [IQR 0-10]; P &lt; 0.001), and was highly correlated with physician's global assessment of disease activity (r = 0.9, P &lt; 0.001). The best cutoff to differentiate remission from active disease was 10 points (area under receiver operating characteristic curve [AUC] 0.94; 95% CI 0.90-0.97). Test-retest reliability was excellent (intraclass correlation coefficient = 0.89; 95% CI 0.84-0.92, P &lt; 0.001) as well as responsiveness to change (AUC 0.96 [0.92-0.99]; standardized response mean 2.66).\n\nCONCLUSION: This study on real-life, prospectively obtained data confirms that the PUCAI is highly feasible by virtue of the noninvasiveness, valid, and responsive index. The PUCAI can be used as a primary outcome measure to reflect disease activity in pediatric UC.", "author" : [ { "dropping-particle" : "", "family" : "Turner", "given" : "Dan", "non-dropping-particle" : "", "parse-names" : false, "suffix" : "" }, { "dropping-particle" : "", "family" : "Hyams", "given" : "Jeffrey", "non-dropping-particle" : "", "parse-names" : false, "suffix" : "" }, { "dropping-particle" : "", "family" : "Markowitz", "given" : "James", "non-dropping-particle" : "", "parse-names" : false, "suffix" : "" }, { "dropping-particle" : "", "family" : "Lerer", "given" : "Trudy", "non-dropping-particle" : "", "parse-names" : false, "suffix" : "" }, { "dropping-particle" : "", "family" : "Mack", "given" : "David R", "non-dropping-particle" : "", "parse-names" : false, "suffix" : "" }, { "dropping-particle" : "", "family" : "Evans", "given" : "Jonathan", "non-dropping-particle" : "", "parse-names" : false, "suffix" : "" }, { "dropping-particle" : "", "family" : "Pfefferkorn", "given" : "Marian", "non-dropping-particle" : "", "parse-names" : false, "suffix" : "" }, { "dropping-particle" : "", "family" : "Rosh", "given" : "Joel", "non-dropping-particle" : "", "parse-names" : false, "suffix" : "" }, { "dropping-particle" : "", "family" : "Kay", "given" : "Marsha", "non-dropping-particle" : "", "parse-names" : false, "suffix" : "" }, { "dropping-particle" : "", "family" : "Crandall", "given" : "Wallace", "non-dropping-particle" : "", "parse-names" : false, "suffix" : "" }, { "dropping-particle" : "", "family" : "Keljo", "given" : "David", "non-dropping-particle" : "", "parse-names" : false, "suffix" : "" }, { "dropping-particle" : "", "family" : "Otley", "given" : "Anthony R", "non-dropping-particle" : "", "parse-names" : false, "suffix" : "" }, { "dropping-particle" : "", "family" : "Kugathasan", "given" : "Subra", "non-dropping-particle" : "", "parse-names" : false, "suffix" : "" }, { "dropping-particle" : "", "family" : "Carvalho", "given" : "Ryan", "non-dropping-particle" : "", "parse-names" : false, "suffix" : "" }, { "dropping-particle" : "", "family" : "Oliva-Hemker", "given" : "Maria", "non-dropping-particle" : "", "parse-names" : false, "suffix" : "" }, { "dropping-particle" : "", "family" : "Langton", "given" : "Christine", "non-dropping-particle" : "", "parse-names" : false, "suffix" : "" }, { "dropping-particle" : "", "family" : "Mamula", "given" : "Petar", "non-dropping-particle" : "", "parse-names" : false, "suffix" : "" }, { "dropping-particle" : "", "family" : "Bousvaros", "given" : "Athos", "non-dropping-particle" : "", "parse-names" : false, "suffix" : "" }, { "dropping-particle" : "", "family" : "LeLeiko", "given" : "Neal", "non-dropping-particle" : "", "parse-names" : false, "suffix" : "" }, { "dropping-particle" : "", "family" : "Griffiths", "given" : "Anne M", "non-dropping-particle" : "", "parse-names" : false, "suffix" : "" } ], "container-title" : "Inflammatory bowel diseases", "id" : "ITEM-1", "issue" : "8", "issued" : { "date-parts" : [ [ "2009", "8" ] ] }, "page" : "1218-23", "title" : "Appraisal of the pediatric ulcerative colitis activity index (PUCAI).", "type" : "article-journal", "volume" : "15" }, "uris" : [ "http://www.mendeley.com/documents/?uuid=833f0540-6323-4ee0-ac84-c8586aa586ec" ] } ], "mendeley" : { "formattedCitation" : "[3]", "plainTextFormattedCitation" : "[3]", "previouslyFormattedCitation" : "(Turner et al. 2009)" }, "properties" : { "noteIndex" : 0 }, "schema" : "https://github.com/citation-style-language/schema/raw/master/csl-citation.json" }</w:instrText>
      </w:r>
      <w:r>
        <w:rPr>
          <w:rFonts w:ascii="Times New Roman" w:hAnsi="Times New Roman"/>
          <w:sz w:val="24"/>
          <w:szCs w:val="24"/>
        </w:rPr>
        <w:fldChar w:fldCharType="separate"/>
      </w:r>
      <w:r w:rsidR="00A5091A" w:rsidRPr="00A5091A">
        <w:rPr>
          <w:rFonts w:ascii="Times New Roman" w:hAnsi="Times New Roman"/>
          <w:noProof/>
          <w:sz w:val="24"/>
          <w:szCs w:val="24"/>
        </w:rPr>
        <w:t>[3]</w:t>
      </w:r>
      <w:r>
        <w:rPr>
          <w:rFonts w:ascii="Times New Roman" w:hAnsi="Times New Roman"/>
          <w:sz w:val="24"/>
          <w:szCs w:val="24"/>
        </w:rPr>
        <w:fldChar w:fldCharType="end"/>
      </w:r>
      <w:r>
        <w:rPr>
          <w:rFonts w:ascii="Times New Roman" w:hAnsi="Times New Roman"/>
          <w:sz w:val="24"/>
          <w:szCs w:val="24"/>
        </w:rPr>
        <w:t xml:space="preserve"> whereas in adults </w:t>
      </w:r>
      <w:r>
        <w:rPr>
          <w:rFonts w:ascii="Times New Roman" w:hAnsi="Times New Roman" w:cs="Times New Roman"/>
          <w:color w:val="000000"/>
          <w:sz w:val="24"/>
          <w:szCs w:val="24"/>
          <w:shd w:val="clear" w:color="auto" w:fill="FFFFFF"/>
        </w:rPr>
        <w:t xml:space="preserve">the Truelove and </w:t>
      </w:r>
      <w:proofErr w:type="spellStart"/>
      <w:r>
        <w:rPr>
          <w:rFonts w:ascii="Times New Roman" w:hAnsi="Times New Roman" w:cs="Times New Roman"/>
          <w:color w:val="000000"/>
          <w:sz w:val="24"/>
          <w:szCs w:val="24"/>
          <w:shd w:val="clear" w:color="auto" w:fill="FFFFFF"/>
        </w:rPr>
        <w:t>Witts</w:t>
      </w:r>
      <w:proofErr w:type="spellEnd"/>
      <w:r>
        <w:rPr>
          <w:rFonts w:ascii="Times New Roman" w:hAnsi="Times New Roman" w:cs="Times New Roman"/>
          <w:color w:val="000000"/>
          <w:sz w:val="24"/>
          <w:szCs w:val="24"/>
          <w:shd w:val="clear" w:color="auto" w:fill="FFFFFF"/>
        </w:rPr>
        <w:t xml:space="preserve">’ severity index was used </w:t>
      </w:r>
      <w:r>
        <w:rPr>
          <w:rFonts w:ascii="Times New Roman" w:hAnsi="Times New Roman" w:cs="Times New Roman"/>
          <w:color w:val="000000"/>
          <w:sz w:val="24"/>
          <w:szCs w:val="24"/>
          <w:shd w:val="clear" w:color="auto" w:fill="FFFFFF"/>
        </w:rPr>
        <w:fldChar w:fldCharType="begin" w:fldLock="1"/>
      </w:r>
      <w:r w:rsidR="00A5091A">
        <w:rPr>
          <w:rFonts w:ascii="Times New Roman" w:hAnsi="Times New Roman" w:cs="Times New Roman"/>
          <w:color w:val="000000"/>
          <w:sz w:val="24"/>
          <w:szCs w:val="24"/>
          <w:shd w:val="clear" w:color="auto" w:fill="FFFFFF"/>
        </w:rPr>
        <w:instrText>ADDIN CSL_CITATION { "citationItems" : [ { "id" : "ITEM-1", "itemData" : { "DOI" : "10.1136/bmj.2.4884.375", "ISBN" : "0140-6736", "ISSN" : "0959-8138", "author" : [ { "dropping-particle" : "", "family" : "Truelove", "given" : "S C", "non-dropping-particle" : "", "parse-names" : false, "suffix" : "" }, { "dropping-particle" : "", "family" : "Witts", "given" : "L J", "non-dropping-particle" : "", "parse-names" : false, "suffix" : "" } ], "container-title" : "British medical journal", "id" : "ITEM-1", "issue" : "4947", "issued" : { "date-parts" : [ [ "1955" ] ] }, "page" : "1041 - 1048", "title" : "Cortisone in ulcerative colitis.", "type" : "article-journal", "volume" : "2" }, "uris" : [ "http://www.mendeley.com/documents/?uuid=14528d8b-dd7c-4e50-96e0-9f0f5a079dab" ] } ], "mendeley" : { "formattedCitation" : "[4]", "plainTextFormattedCitation" : "[4]", "previouslyFormattedCitation" : "(Truelove &amp; Witts 1955)" }, "properties" : { "noteIndex" : 0 }, "schema" : "https://github.com/citation-style-language/schema/raw/master/csl-citation.json" }</w:instrText>
      </w:r>
      <w:r>
        <w:rPr>
          <w:rFonts w:ascii="Times New Roman" w:hAnsi="Times New Roman" w:cs="Times New Roman"/>
          <w:color w:val="000000"/>
          <w:sz w:val="24"/>
          <w:szCs w:val="24"/>
          <w:shd w:val="clear" w:color="auto" w:fill="FFFFFF"/>
        </w:rPr>
        <w:fldChar w:fldCharType="separate"/>
      </w:r>
      <w:r w:rsidR="00A5091A" w:rsidRPr="00A5091A">
        <w:rPr>
          <w:rFonts w:ascii="Times New Roman" w:hAnsi="Times New Roman" w:cs="Times New Roman"/>
          <w:noProof/>
          <w:color w:val="000000"/>
          <w:sz w:val="24"/>
          <w:szCs w:val="24"/>
          <w:shd w:val="clear" w:color="auto" w:fill="FFFFFF"/>
        </w:rPr>
        <w:t>[4]</w:t>
      </w:r>
      <w:r>
        <w:rPr>
          <w:rFonts w:ascii="Times New Roman" w:hAnsi="Times New Roman" w:cs="Times New Roman"/>
          <w:color w:val="000000"/>
          <w:sz w:val="24"/>
          <w:szCs w:val="24"/>
          <w:shd w:val="clear" w:color="auto" w:fill="FFFFFF"/>
        </w:rPr>
        <w:fldChar w:fldCharType="end"/>
      </w:r>
      <w:r w:rsidRPr="00101E2B">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sz w:val="24"/>
          <w:szCs w:val="24"/>
        </w:rPr>
        <w:t xml:space="preserve">Active disease in children was defined as disease with PUCAI &gt;10 and presence of mucosal lesions on </w:t>
      </w:r>
      <w:proofErr w:type="spellStart"/>
      <w:r>
        <w:rPr>
          <w:rFonts w:ascii="Times New Roman" w:hAnsi="Times New Roman"/>
          <w:sz w:val="24"/>
          <w:szCs w:val="24"/>
        </w:rPr>
        <w:t>ileocolonoscopy</w:t>
      </w:r>
      <w:proofErr w:type="spellEnd"/>
      <w:r>
        <w:rPr>
          <w:rFonts w:ascii="Times New Roman" w:hAnsi="Times New Roman"/>
          <w:sz w:val="24"/>
          <w:szCs w:val="24"/>
        </w:rPr>
        <w:t xml:space="preserve"> and histology and in adults by the presence of </w:t>
      </w:r>
      <w:r w:rsidRPr="009F157D">
        <w:rPr>
          <w:rFonts w:ascii="Times New Roman" w:hAnsi="Times New Roman"/>
          <w:sz w:val="24"/>
          <w:szCs w:val="24"/>
        </w:rPr>
        <w:t xml:space="preserve">clinical symptoms (at least 2–4 soft stools/day and blood in the feces), </w:t>
      </w:r>
      <w:r w:rsidRPr="009F157D">
        <w:rPr>
          <w:rFonts w:ascii="Times New Roman" w:hAnsi="Times New Roman"/>
          <w:sz w:val="24"/>
          <w:szCs w:val="24"/>
        </w:rPr>
        <w:lastRenderedPageBreak/>
        <w:t>endoscopic signs of inflammation (granularity, fri</w:t>
      </w:r>
      <w:r>
        <w:rPr>
          <w:rFonts w:ascii="Times New Roman" w:hAnsi="Times New Roman"/>
          <w:sz w:val="24"/>
          <w:szCs w:val="24"/>
        </w:rPr>
        <w:t>ability, pus, blood, and/or ul</w:t>
      </w:r>
      <w:r w:rsidRPr="009F157D">
        <w:rPr>
          <w:rFonts w:ascii="Times New Roman" w:hAnsi="Times New Roman"/>
          <w:sz w:val="24"/>
          <w:szCs w:val="24"/>
        </w:rPr>
        <w:t>cers), and a histologic picture of active inflammation</w:t>
      </w:r>
      <w:r>
        <w:rPr>
          <w:rFonts w:ascii="Times New Roman" w:hAnsi="Times New Roman"/>
          <w:sz w:val="24"/>
          <w:szCs w:val="24"/>
        </w:rPr>
        <w:t>.</w:t>
      </w:r>
      <w:r w:rsidRPr="00737C96">
        <w:rPr>
          <w:rFonts w:ascii="Times New Roman" w:hAnsi="Times New Roman"/>
          <w:sz w:val="24"/>
          <w:szCs w:val="24"/>
          <w:lang w:val="en-GB"/>
        </w:rPr>
        <w:t xml:space="preserve"> </w:t>
      </w:r>
      <w:r w:rsidRPr="0028583D">
        <w:rPr>
          <w:rFonts w:asciiTheme="majorBidi" w:eastAsia="Times New Roman" w:hAnsiTheme="majorBidi" w:cstheme="majorBidi"/>
          <w:color w:val="000000" w:themeColor="text1"/>
          <w:sz w:val="24"/>
          <w:szCs w:val="24"/>
        </w:rPr>
        <w:t xml:space="preserve">Disease extension was based on macroscopic findings based on Paris and Montreal classification of the </w:t>
      </w:r>
      <w:r w:rsidRPr="00BA2680">
        <w:rPr>
          <w:rFonts w:ascii="Times New Roman" w:eastAsia="Times New Roman" w:hAnsi="Times New Roman" w:cs="Times New Roman"/>
          <w:sz w:val="24"/>
          <w:szCs w:val="24"/>
        </w:rPr>
        <w:t>disease</w:t>
      </w:r>
      <w:r w:rsidR="00BA2680" w:rsidRPr="00BA2680">
        <w:rPr>
          <w:rFonts w:ascii="Times New Roman" w:eastAsia="Times New Roman" w:hAnsi="Times New Roman" w:cs="Times New Roman"/>
          <w:sz w:val="24"/>
          <w:szCs w:val="24"/>
        </w:rPr>
        <w:t xml:space="preserve"> for pediatric a</w:t>
      </w:r>
      <w:r w:rsidR="00BA2680">
        <w:rPr>
          <w:rFonts w:ascii="Times New Roman" w:eastAsia="Times New Roman" w:hAnsi="Times New Roman" w:cs="Times New Roman"/>
          <w:sz w:val="24"/>
          <w:szCs w:val="24"/>
        </w:rPr>
        <w:t>nd adult patients, respectively</w:t>
      </w:r>
      <w:r w:rsidRPr="00BA2680">
        <w:rPr>
          <w:rFonts w:ascii="Times New Roman" w:eastAsia="Times New Roman" w:hAnsi="Times New Roman" w:cs="Times New Roman"/>
          <w:sz w:val="24"/>
          <w:szCs w:val="24"/>
        </w:rPr>
        <w:t>.</w:t>
      </w:r>
      <w:r w:rsidRPr="00BA2680">
        <w:rPr>
          <w:rFonts w:asciiTheme="majorBidi" w:eastAsia="Times New Roman" w:hAnsiTheme="majorBidi" w:cstheme="majorBidi"/>
          <w:sz w:val="24"/>
          <w:szCs w:val="24"/>
        </w:rPr>
        <w:t xml:space="preserve"> </w:t>
      </w:r>
      <w:r w:rsidRPr="0059621E">
        <w:rPr>
          <w:rFonts w:ascii="Times New Roman" w:hAnsi="Times New Roman"/>
          <w:sz w:val="24"/>
          <w:szCs w:val="24"/>
          <w:lang w:val="en-GB"/>
        </w:rPr>
        <w:t>Immediately after collection, the samples were</w:t>
      </w:r>
      <w:r>
        <w:rPr>
          <w:rFonts w:ascii="Times New Roman" w:hAnsi="Times New Roman"/>
          <w:sz w:val="24"/>
          <w:szCs w:val="24"/>
          <w:lang w:val="en-GB"/>
        </w:rPr>
        <w:t xml:space="preserve"> </w:t>
      </w:r>
      <w:r w:rsidRPr="00737C96">
        <w:rPr>
          <w:rFonts w:ascii="Times New Roman" w:hAnsi="Times New Roman"/>
          <w:sz w:val="24"/>
          <w:szCs w:val="24"/>
          <w:lang w:val="en-GB"/>
        </w:rPr>
        <w:t xml:space="preserve">immerged into </w:t>
      </w:r>
      <w:proofErr w:type="spellStart"/>
      <w:r w:rsidRPr="00737C96">
        <w:rPr>
          <w:rFonts w:ascii="Times New Roman" w:hAnsi="Times New Roman"/>
          <w:sz w:val="24"/>
          <w:szCs w:val="24"/>
          <w:lang w:val="en-GB"/>
        </w:rPr>
        <w:t>RNAlater</w:t>
      </w:r>
      <w:proofErr w:type="spellEnd"/>
      <w:r w:rsidRPr="00737C96">
        <w:rPr>
          <w:rFonts w:ascii="Times New Roman" w:hAnsi="Times New Roman"/>
          <w:sz w:val="24"/>
          <w:szCs w:val="24"/>
          <w:lang w:val="en-GB"/>
        </w:rPr>
        <w:t xml:space="preserve"> solution (</w:t>
      </w:r>
      <w:proofErr w:type="spellStart"/>
      <w:r w:rsidRPr="00737C96">
        <w:rPr>
          <w:rFonts w:ascii="Times New Roman" w:hAnsi="Times New Roman"/>
          <w:sz w:val="24"/>
          <w:szCs w:val="24"/>
          <w:lang w:val="en-GB"/>
        </w:rPr>
        <w:t>Ambion</w:t>
      </w:r>
      <w:proofErr w:type="spellEnd"/>
      <w:r w:rsidRPr="00737C96">
        <w:rPr>
          <w:rFonts w:ascii="Times New Roman" w:hAnsi="Times New Roman"/>
          <w:sz w:val="24"/>
          <w:szCs w:val="24"/>
          <w:lang w:val="en-GB"/>
        </w:rPr>
        <w:t>, Foster City, United States)</w:t>
      </w:r>
      <w:r>
        <w:rPr>
          <w:rFonts w:ascii="Times New Roman" w:hAnsi="Times New Roman"/>
          <w:sz w:val="24"/>
          <w:szCs w:val="24"/>
          <w:lang w:val="en-GB"/>
        </w:rPr>
        <w:t>.</w:t>
      </w:r>
      <w:r w:rsidRPr="00737C96">
        <w:rPr>
          <w:rFonts w:ascii="Times New Roman" w:hAnsi="Times New Roman"/>
          <w:sz w:val="24"/>
          <w:szCs w:val="24"/>
          <w:lang w:val="en-GB"/>
        </w:rPr>
        <w:t xml:space="preserve"> </w:t>
      </w:r>
    </w:p>
    <w:p w:rsidR="0093312B" w:rsidRDefault="0093312B" w:rsidP="0093312B">
      <w:pPr>
        <w:spacing w:line="480" w:lineRule="auto"/>
        <w:jc w:val="both"/>
        <w:rPr>
          <w:rFonts w:ascii="Times New Roman" w:hAnsi="Times New Roman"/>
          <w:b/>
          <w:sz w:val="24"/>
          <w:szCs w:val="24"/>
          <w:lang w:val="en-GB"/>
        </w:rPr>
      </w:pPr>
      <w:r>
        <w:rPr>
          <w:rFonts w:ascii="Times New Roman" w:hAnsi="Times New Roman"/>
          <w:b/>
          <w:sz w:val="24"/>
          <w:szCs w:val="24"/>
          <w:lang w:val="en-GB"/>
        </w:rPr>
        <w:t>Quantitative Polymerase Chain Reaction</w:t>
      </w:r>
    </w:p>
    <w:p w:rsidR="0093312B" w:rsidRDefault="0093312B" w:rsidP="0093312B">
      <w:pPr>
        <w:spacing w:line="480" w:lineRule="auto"/>
        <w:jc w:val="both"/>
        <w:rPr>
          <w:rFonts w:ascii="Times New Roman" w:hAnsi="Times New Roman"/>
          <w:sz w:val="24"/>
          <w:szCs w:val="24"/>
          <w:lang w:val="en-GB"/>
        </w:rPr>
      </w:pPr>
      <w:r>
        <w:rPr>
          <w:rFonts w:ascii="Times New Roman" w:hAnsi="Times New Roman"/>
          <w:sz w:val="24"/>
          <w:szCs w:val="24"/>
          <w:lang w:val="en-GB"/>
        </w:rPr>
        <w:t>Real-time</w:t>
      </w:r>
      <w:r w:rsidRPr="00FB2D31">
        <w:rPr>
          <w:rFonts w:ascii="Times New Roman" w:hAnsi="Times New Roman"/>
          <w:sz w:val="24"/>
          <w:szCs w:val="24"/>
          <w:lang w:val="en-GB"/>
        </w:rPr>
        <w:t xml:space="preserve"> polymerase chain reaction</w:t>
      </w:r>
      <w:r>
        <w:rPr>
          <w:rFonts w:ascii="Times New Roman" w:hAnsi="Times New Roman"/>
          <w:sz w:val="24"/>
          <w:szCs w:val="24"/>
          <w:lang w:val="en-GB"/>
        </w:rPr>
        <w:t xml:space="preserve"> </w:t>
      </w:r>
      <w:r w:rsidRPr="00FB2D31">
        <w:rPr>
          <w:rFonts w:ascii="Times New Roman" w:hAnsi="Times New Roman"/>
          <w:sz w:val="24"/>
          <w:szCs w:val="24"/>
          <w:lang w:val="en-GB"/>
        </w:rPr>
        <w:t>(qPCR) was used to analyse the target gene expression.</w:t>
      </w:r>
      <w:r>
        <w:rPr>
          <w:rFonts w:ascii="Times New Roman" w:hAnsi="Times New Roman"/>
          <w:sz w:val="24"/>
          <w:szCs w:val="24"/>
          <w:lang w:val="en-GB"/>
        </w:rPr>
        <w:t xml:space="preserve"> Biopsies</w:t>
      </w:r>
      <w:r w:rsidRPr="00737C96">
        <w:rPr>
          <w:rFonts w:ascii="Times New Roman" w:hAnsi="Times New Roman"/>
          <w:sz w:val="24"/>
          <w:szCs w:val="24"/>
          <w:lang w:val="en-GB"/>
        </w:rPr>
        <w:t xml:space="preserve"> were homogenised in </w:t>
      </w:r>
      <w:r>
        <w:rPr>
          <w:rFonts w:ascii="Times New Roman" w:hAnsi="Times New Roman"/>
          <w:sz w:val="24"/>
          <w:szCs w:val="24"/>
          <w:lang w:val="en-GB"/>
        </w:rPr>
        <w:t xml:space="preserve">lysis buffer </w:t>
      </w:r>
      <w:r w:rsidRPr="00737C96">
        <w:rPr>
          <w:rFonts w:ascii="Times New Roman" w:hAnsi="Times New Roman"/>
          <w:sz w:val="24"/>
          <w:szCs w:val="24"/>
          <w:lang w:val="en-GB"/>
        </w:rPr>
        <w:t>RLT</w:t>
      </w:r>
      <w:r>
        <w:rPr>
          <w:rFonts w:ascii="Times New Roman" w:hAnsi="Times New Roman"/>
          <w:sz w:val="24"/>
          <w:szCs w:val="24"/>
          <w:lang w:val="en-GB"/>
        </w:rPr>
        <w:t>, a part of the isolation kit,</w:t>
      </w:r>
      <w:r w:rsidRPr="00737C96">
        <w:rPr>
          <w:rFonts w:ascii="Times New Roman" w:hAnsi="Times New Roman"/>
          <w:sz w:val="24"/>
          <w:szCs w:val="24"/>
          <w:lang w:val="en-GB"/>
        </w:rPr>
        <w:t xml:space="preserve"> (T25basic, IKA </w:t>
      </w:r>
      <w:proofErr w:type="spellStart"/>
      <w:r w:rsidRPr="00737C96">
        <w:rPr>
          <w:rFonts w:ascii="Times New Roman" w:hAnsi="Times New Roman"/>
          <w:sz w:val="24"/>
          <w:szCs w:val="24"/>
          <w:lang w:val="en-GB"/>
        </w:rPr>
        <w:t>Labortechnik</w:t>
      </w:r>
      <w:proofErr w:type="spellEnd"/>
      <w:r w:rsidRPr="00737C96">
        <w:rPr>
          <w:rFonts w:ascii="Times New Roman" w:hAnsi="Times New Roman"/>
          <w:sz w:val="24"/>
          <w:szCs w:val="24"/>
          <w:lang w:val="en-GB"/>
        </w:rPr>
        <w:t>, Germany) and total RNA was isolated using RNeas</w:t>
      </w:r>
      <w:r>
        <w:rPr>
          <w:rFonts w:ascii="Times New Roman" w:hAnsi="Times New Roman"/>
          <w:sz w:val="24"/>
          <w:szCs w:val="24"/>
          <w:lang w:val="en-GB"/>
        </w:rPr>
        <w:t>y Kit (</w:t>
      </w:r>
      <w:proofErr w:type="spellStart"/>
      <w:r>
        <w:rPr>
          <w:rFonts w:ascii="Times New Roman" w:hAnsi="Times New Roman"/>
          <w:sz w:val="24"/>
          <w:szCs w:val="24"/>
          <w:lang w:val="en-GB"/>
        </w:rPr>
        <w:t>Qiagen</w:t>
      </w:r>
      <w:proofErr w:type="spellEnd"/>
      <w:r>
        <w:rPr>
          <w:rFonts w:ascii="Times New Roman" w:hAnsi="Times New Roman"/>
          <w:sz w:val="24"/>
          <w:szCs w:val="24"/>
          <w:lang w:val="en-GB"/>
        </w:rPr>
        <w:t xml:space="preserve">, Hilden, Germany). </w:t>
      </w:r>
      <w:r w:rsidRPr="00737C96">
        <w:rPr>
          <w:rFonts w:ascii="Times New Roman" w:hAnsi="Times New Roman"/>
          <w:sz w:val="24"/>
          <w:szCs w:val="24"/>
          <w:lang w:val="en-GB"/>
        </w:rPr>
        <w:t>The purity and concentration of extracted RNA was determined with Bio Photometer (</w:t>
      </w:r>
      <w:r>
        <w:rPr>
          <w:rFonts w:ascii="Times New Roman" w:hAnsi="Times New Roman"/>
          <w:sz w:val="24"/>
          <w:szCs w:val="24"/>
          <w:lang w:val="en-GB"/>
        </w:rPr>
        <w:t>E</w:t>
      </w:r>
      <w:r w:rsidRPr="00737C96">
        <w:rPr>
          <w:rFonts w:ascii="Times New Roman" w:hAnsi="Times New Roman"/>
          <w:sz w:val="24"/>
          <w:szCs w:val="24"/>
          <w:lang w:val="en-GB"/>
        </w:rPr>
        <w:t>ppendorf, Hamburg, Germany) at A</w:t>
      </w:r>
      <w:r w:rsidRPr="00737C96">
        <w:rPr>
          <w:rFonts w:ascii="Times New Roman" w:hAnsi="Times New Roman"/>
          <w:sz w:val="24"/>
          <w:szCs w:val="24"/>
          <w:vertAlign w:val="subscript"/>
          <w:lang w:val="en-GB"/>
        </w:rPr>
        <w:t>260/280</w:t>
      </w:r>
      <w:r w:rsidRPr="00ED7330">
        <w:rPr>
          <w:rFonts w:ascii="Times New Roman" w:hAnsi="Times New Roman"/>
          <w:sz w:val="24"/>
          <w:szCs w:val="24"/>
          <w:lang w:val="en-GB"/>
        </w:rPr>
        <w:t>.</w:t>
      </w:r>
      <w:r>
        <w:rPr>
          <w:rFonts w:ascii="Times New Roman" w:hAnsi="Times New Roman"/>
          <w:sz w:val="24"/>
          <w:szCs w:val="24"/>
          <w:lang w:val="en-GB"/>
        </w:rPr>
        <w:t xml:space="preserve"> </w:t>
      </w:r>
      <w:r w:rsidRPr="00737C96">
        <w:rPr>
          <w:rFonts w:ascii="Times New Roman" w:hAnsi="Times New Roman"/>
          <w:sz w:val="24"/>
          <w:szCs w:val="24"/>
          <w:lang w:val="en-GB"/>
        </w:rPr>
        <w:t xml:space="preserve">2ug of total RNA was reverse-transcribed using High Capacity cDNA Reverse Transcription Kit with </w:t>
      </w:r>
      <w:proofErr w:type="spellStart"/>
      <w:r w:rsidRPr="00737C96">
        <w:rPr>
          <w:rFonts w:ascii="Times New Roman" w:hAnsi="Times New Roman"/>
          <w:sz w:val="24"/>
          <w:szCs w:val="24"/>
          <w:lang w:val="en-GB"/>
        </w:rPr>
        <w:t>RNAse</w:t>
      </w:r>
      <w:proofErr w:type="spellEnd"/>
      <w:r w:rsidRPr="00737C96">
        <w:rPr>
          <w:rFonts w:ascii="Times New Roman" w:hAnsi="Times New Roman"/>
          <w:sz w:val="24"/>
          <w:szCs w:val="24"/>
          <w:lang w:val="en-GB"/>
        </w:rPr>
        <w:t xml:space="preserve"> inhibitor (Applied Biosyste</w:t>
      </w:r>
      <w:r>
        <w:rPr>
          <w:rFonts w:ascii="Times New Roman" w:hAnsi="Times New Roman"/>
          <w:sz w:val="24"/>
          <w:szCs w:val="24"/>
          <w:lang w:val="en-GB"/>
        </w:rPr>
        <w:t>ms, Foster City, United States) using</w:t>
      </w:r>
      <w:r w:rsidRPr="00737C96">
        <w:rPr>
          <w:rFonts w:ascii="Times New Roman" w:hAnsi="Times New Roman"/>
          <w:sz w:val="24"/>
          <w:szCs w:val="24"/>
          <w:lang w:val="en-GB"/>
        </w:rPr>
        <w:t xml:space="preserve"> random </w:t>
      </w:r>
      <w:r>
        <w:rPr>
          <w:rFonts w:ascii="Times New Roman" w:hAnsi="Times New Roman"/>
          <w:sz w:val="24"/>
          <w:szCs w:val="24"/>
          <w:lang w:val="en-GB"/>
        </w:rPr>
        <w:t>hexamers as primers. Both RNA isolation and reverse transcription were performed</w:t>
      </w:r>
      <w:r w:rsidRPr="00D763E0">
        <w:rPr>
          <w:rFonts w:ascii="Times New Roman" w:hAnsi="Times New Roman"/>
          <w:sz w:val="24"/>
          <w:szCs w:val="24"/>
          <w:lang w:val="en-GB"/>
        </w:rPr>
        <w:t xml:space="preserve"> </w:t>
      </w:r>
      <w:r>
        <w:rPr>
          <w:rFonts w:ascii="Times New Roman" w:hAnsi="Times New Roman"/>
          <w:sz w:val="24"/>
          <w:szCs w:val="24"/>
          <w:lang w:val="en-GB"/>
        </w:rPr>
        <w:t>according to the manufacturer’s protocols.</w:t>
      </w:r>
      <w:r>
        <w:rPr>
          <w:rFonts w:ascii="Times New Roman" w:hAnsi="Times New Roman"/>
          <w:b/>
          <w:sz w:val="24"/>
          <w:szCs w:val="24"/>
          <w:lang w:val="en-GB"/>
        </w:rPr>
        <w:t xml:space="preserve"> </w:t>
      </w:r>
      <w:r w:rsidRPr="00737C96">
        <w:rPr>
          <w:rFonts w:ascii="Times New Roman" w:hAnsi="Times New Roman"/>
          <w:sz w:val="24"/>
          <w:szCs w:val="24"/>
          <w:lang w:val="en-GB"/>
        </w:rPr>
        <w:t>Quantitative PCR was performed on 7500 Real-Time PCR System u</w:t>
      </w:r>
      <w:r>
        <w:rPr>
          <w:rFonts w:ascii="Times New Roman" w:hAnsi="Times New Roman"/>
          <w:sz w:val="24"/>
          <w:szCs w:val="24"/>
          <w:lang w:val="en-GB"/>
        </w:rPr>
        <w:t xml:space="preserve">sing </w:t>
      </w:r>
      <w:proofErr w:type="spellStart"/>
      <w:r w:rsidRPr="00737C96">
        <w:rPr>
          <w:rFonts w:ascii="Times New Roman" w:hAnsi="Times New Roman"/>
          <w:sz w:val="24"/>
          <w:szCs w:val="24"/>
          <w:lang w:val="en-GB"/>
        </w:rPr>
        <w:t>TaqMan</w:t>
      </w:r>
      <w:proofErr w:type="spellEnd"/>
      <w:r w:rsidRPr="00737C96">
        <w:rPr>
          <w:rFonts w:ascii="Times New Roman" w:hAnsi="Times New Roman"/>
          <w:sz w:val="24"/>
          <w:szCs w:val="24"/>
          <w:lang w:val="en-GB"/>
        </w:rPr>
        <w:t xml:space="preserve"> Gene Expression Assays</w:t>
      </w:r>
      <w:r>
        <w:rPr>
          <w:rFonts w:ascii="Times New Roman" w:hAnsi="Times New Roman"/>
          <w:sz w:val="24"/>
          <w:szCs w:val="24"/>
          <w:lang w:val="en-GB"/>
        </w:rPr>
        <w:t xml:space="preserve"> (both Applied Biosystems)</w:t>
      </w:r>
      <w:r w:rsidRPr="00737C96">
        <w:rPr>
          <w:rFonts w:ascii="Times New Roman" w:hAnsi="Times New Roman"/>
          <w:sz w:val="24"/>
          <w:szCs w:val="24"/>
          <w:lang w:val="en-GB"/>
        </w:rPr>
        <w:t xml:space="preserve"> for examined genes (</w:t>
      </w:r>
      <w:r w:rsidRPr="00737C96">
        <w:rPr>
          <w:rFonts w:ascii="Times New Roman" w:eastAsia="Times New Roman" w:hAnsi="Times New Roman"/>
          <w:color w:val="000000"/>
          <w:sz w:val="24"/>
          <w:szCs w:val="24"/>
          <w:lang w:val="en-GB" w:eastAsia="hr-BA"/>
        </w:rPr>
        <w:t>IFN-γ Hs00989291_m1, IL-2 Hs01555413_m1, IL-6 Hs00985641_m1, IL-1β Hs00174383_m1, IL-17</w:t>
      </w:r>
      <w:r>
        <w:rPr>
          <w:rFonts w:ascii="Times New Roman" w:eastAsia="Times New Roman" w:hAnsi="Times New Roman"/>
          <w:color w:val="000000"/>
          <w:sz w:val="24"/>
          <w:szCs w:val="24"/>
          <w:lang w:val="en-GB" w:eastAsia="hr-BA"/>
        </w:rPr>
        <w:t>A</w:t>
      </w:r>
      <w:r w:rsidRPr="00737C96">
        <w:rPr>
          <w:rFonts w:ascii="Times New Roman" w:eastAsia="Times New Roman" w:hAnsi="Times New Roman"/>
          <w:color w:val="000000"/>
          <w:sz w:val="24"/>
          <w:szCs w:val="24"/>
          <w:lang w:val="en-GB" w:eastAsia="hr-BA"/>
        </w:rPr>
        <w:t xml:space="preserve"> Hs00174114_m1, SOCS1 Hs00705</w:t>
      </w:r>
      <w:r>
        <w:rPr>
          <w:rFonts w:ascii="Times New Roman" w:eastAsia="Times New Roman" w:hAnsi="Times New Roman"/>
          <w:color w:val="000000"/>
          <w:sz w:val="24"/>
          <w:szCs w:val="24"/>
          <w:lang w:val="en-GB" w:eastAsia="hr-BA"/>
        </w:rPr>
        <w:t>164_s1, SOCS3 Hs02330328_s1,</w:t>
      </w:r>
      <w:r w:rsidRPr="00B81343">
        <w:rPr>
          <w:rFonts w:ascii="Times New Roman" w:hAnsi="Times New Roman"/>
          <w:sz w:val="24"/>
          <w:szCs w:val="24"/>
          <w:lang w:val="en-GB"/>
        </w:rPr>
        <w:t xml:space="preserve"> </w:t>
      </w:r>
      <w:r>
        <w:rPr>
          <w:rFonts w:ascii="Times New Roman" w:hAnsi="Times New Roman"/>
          <w:sz w:val="24"/>
          <w:szCs w:val="24"/>
          <w:lang w:val="en-GB"/>
        </w:rPr>
        <w:t xml:space="preserve">MDR1 </w:t>
      </w:r>
      <w:r w:rsidRPr="00737C96">
        <w:rPr>
          <w:rFonts w:ascii="Times New Roman" w:eastAsia="Times New Roman" w:hAnsi="Times New Roman"/>
          <w:color w:val="000000"/>
          <w:sz w:val="24"/>
          <w:szCs w:val="24"/>
          <w:lang w:val="en-GB" w:eastAsia="hr-BA"/>
        </w:rPr>
        <w:t>Hs</w:t>
      </w:r>
      <w:r>
        <w:rPr>
          <w:rFonts w:ascii="Times New Roman" w:eastAsia="Times New Roman" w:hAnsi="Times New Roman"/>
          <w:color w:val="000000"/>
          <w:sz w:val="24"/>
          <w:szCs w:val="24"/>
          <w:lang w:val="en-GB" w:eastAsia="hr-BA"/>
        </w:rPr>
        <w:t>00184491_m1, MRP1 Hs00219905_m1 and</w:t>
      </w:r>
      <w:r w:rsidRPr="00737C96">
        <w:rPr>
          <w:rFonts w:ascii="Times New Roman" w:eastAsia="Times New Roman" w:hAnsi="Times New Roman"/>
          <w:color w:val="000000"/>
          <w:sz w:val="24"/>
          <w:szCs w:val="24"/>
          <w:lang w:val="en-GB" w:eastAsia="hr-BA"/>
        </w:rPr>
        <w:t xml:space="preserve"> BCRP Hs00184797_m1</w:t>
      </w:r>
      <w:r>
        <w:rPr>
          <w:rFonts w:ascii="Times New Roman" w:eastAsia="Times New Roman" w:hAnsi="Times New Roman"/>
          <w:color w:val="000000"/>
          <w:sz w:val="24"/>
          <w:szCs w:val="24"/>
          <w:lang w:val="en-GB" w:eastAsia="hr-BA"/>
        </w:rPr>
        <w:t xml:space="preserve">) </w:t>
      </w:r>
      <w:r w:rsidRPr="00D763E0">
        <w:rPr>
          <w:rFonts w:ascii="Times New Roman" w:eastAsia="Times New Roman" w:hAnsi="Times New Roman"/>
          <w:color w:val="000000"/>
          <w:sz w:val="24"/>
          <w:szCs w:val="24"/>
          <w:lang w:val="en-GB" w:eastAsia="hr-BA"/>
        </w:rPr>
        <w:t>according to established standard protocols</w:t>
      </w:r>
      <w:r>
        <w:rPr>
          <w:rFonts w:ascii="Times New Roman" w:eastAsia="Times New Roman" w:hAnsi="Times New Roman"/>
          <w:color w:val="000000"/>
          <w:sz w:val="24"/>
          <w:szCs w:val="24"/>
          <w:lang w:val="en-GB" w:eastAsia="hr-BA"/>
        </w:rPr>
        <w:t xml:space="preserve"> (40 cycles of amplification, denaturation at 95</w:t>
      </w:r>
      <w:r>
        <w:rPr>
          <w:rFonts w:ascii="Times New Roman" w:eastAsia="Times New Roman" w:hAnsi="Times New Roman"/>
          <w:color w:val="000000"/>
          <w:sz w:val="24"/>
          <w:szCs w:val="24"/>
          <w:vertAlign w:val="superscript"/>
          <w:lang w:val="en-GB" w:eastAsia="hr-BA"/>
        </w:rPr>
        <w:t>o</w:t>
      </w:r>
      <w:r>
        <w:rPr>
          <w:rFonts w:ascii="Times New Roman" w:eastAsia="Times New Roman" w:hAnsi="Times New Roman"/>
          <w:color w:val="000000"/>
          <w:sz w:val="24"/>
          <w:szCs w:val="24"/>
          <w:lang w:val="en-GB" w:eastAsia="hr-BA"/>
        </w:rPr>
        <w:t>C for 15 seconds and annealing/extension at 60</w:t>
      </w:r>
      <w:r>
        <w:rPr>
          <w:rFonts w:ascii="Times New Roman" w:eastAsia="Times New Roman" w:hAnsi="Times New Roman"/>
          <w:color w:val="000000"/>
          <w:sz w:val="24"/>
          <w:szCs w:val="24"/>
          <w:vertAlign w:val="superscript"/>
          <w:lang w:val="en-GB" w:eastAsia="hr-BA"/>
        </w:rPr>
        <w:t>o</w:t>
      </w:r>
      <w:r>
        <w:rPr>
          <w:rFonts w:ascii="Times New Roman" w:eastAsia="Times New Roman" w:hAnsi="Times New Roman"/>
          <w:color w:val="000000"/>
          <w:sz w:val="24"/>
          <w:szCs w:val="24"/>
          <w:lang w:val="en-GB" w:eastAsia="hr-BA"/>
        </w:rPr>
        <w:t xml:space="preserve">C for 1 min) . </w:t>
      </w:r>
      <w:r>
        <w:rPr>
          <w:rFonts w:ascii="Times New Roman" w:hAnsi="Times New Roman"/>
          <w:sz w:val="24"/>
          <w:szCs w:val="24"/>
          <w:lang w:val="en-GB"/>
        </w:rPr>
        <w:t xml:space="preserve">GAPDH (Glyceraldehyde 3-phosphate dehydrogenase) </w:t>
      </w:r>
      <w:r w:rsidRPr="00737C96">
        <w:rPr>
          <w:rFonts w:ascii="Times New Roman" w:hAnsi="Times New Roman"/>
          <w:sz w:val="24"/>
          <w:szCs w:val="24"/>
          <w:lang w:val="en-GB"/>
        </w:rPr>
        <w:t xml:space="preserve">served as endogenous control. </w:t>
      </w:r>
      <w:r w:rsidRPr="0059621E">
        <w:rPr>
          <w:rFonts w:ascii="Times New Roman" w:hAnsi="Times New Roman"/>
          <w:sz w:val="24"/>
          <w:szCs w:val="24"/>
          <w:lang w:val="en-GB"/>
        </w:rPr>
        <w:t>The assay for each sample was performed in triplicates using non</w:t>
      </w:r>
      <w:r>
        <w:rPr>
          <w:rFonts w:ascii="Times New Roman" w:hAnsi="Times New Roman"/>
          <w:sz w:val="24"/>
          <w:szCs w:val="24"/>
          <w:lang w:val="en-GB"/>
        </w:rPr>
        <w:t>-</w:t>
      </w:r>
      <w:r w:rsidRPr="0059621E">
        <w:rPr>
          <w:rFonts w:ascii="Times New Roman" w:hAnsi="Times New Roman"/>
          <w:sz w:val="24"/>
          <w:szCs w:val="24"/>
          <w:lang w:val="en-GB"/>
        </w:rPr>
        <w:t xml:space="preserve">template control (NTC) as the negative control for </w:t>
      </w:r>
      <w:r w:rsidRPr="0059621E">
        <w:rPr>
          <w:rFonts w:ascii="Times New Roman" w:hAnsi="Times New Roman"/>
          <w:sz w:val="24"/>
          <w:szCs w:val="24"/>
          <w:lang w:val="en-GB"/>
        </w:rPr>
        <w:lastRenderedPageBreak/>
        <w:t>each gene.</w:t>
      </w:r>
      <w:r>
        <w:rPr>
          <w:rFonts w:ascii="Times New Roman" w:hAnsi="Times New Roman"/>
          <w:sz w:val="24"/>
          <w:szCs w:val="24"/>
          <w:lang w:val="en-GB"/>
        </w:rPr>
        <w:t xml:space="preserve"> </w:t>
      </w:r>
      <w:r w:rsidRPr="00737C96">
        <w:rPr>
          <w:rFonts w:ascii="Times New Roman" w:hAnsi="Times New Roman"/>
          <w:sz w:val="24"/>
          <w:szCs w:val="24"/>
          <w:lang w:val="en-GB"/>
        </w:rPr>
        <w:t>Data were collected and analysed with the 7500 System SDS Software</w:t>
      </w:r>
      <w:r>
        <w:rPr>
          <w:rFonts w:ascii="Times New Roman" w:hAnsi="Times New Roman"/>
          <w:sz w:val="24"/>
          <w:szCs w:val="24"/>
          <w:lang w:val="en-GB"/>
        </w:rPr>
        <w:t xml:space="preserve"> v.1.4.0.25</w:t>
      </w:r>
      <w:r w:rsidRPr="00737C96">
        <w:rPr>
          <w:rFonts w:ascii="Times New Roman" w:hAnsi="Times New Roman"/>
          <w:sz w:val="24"/>
          <w:szCs w:val="24"/>
          <w:lang w:val="en-GB"/>
        </w:rPr>
        <w:t>.</w:t>
      </w:r>
      <w:r>
        <w:rPr>
          <w:rFonts w:ascii="Times New Roman" w:hAnsi="Times New Roman"/>
          <w:sz w:val="24"/>
          <w:szCs w:val="24"/>
          <w:lang w:val="en-GB"/>
        </w:rPr>
        <w:t xml:space="preserve"> </w:t>
      </w:r>
      <w:r w:rsidRPr="0028583D">
        <w:rPr>
          <w:rFonts w:ascii="Times New Roman" w:hAnsi="Times New Roman" w:cs="Times New Roman"/>
          <w:color w:val="000000" w:themeColor="text1"/>
          <w:sz w:val="24"/>
          <w:szCs w:val="24"/>
          <w:shd w:val="clear" w:color="auto" w:fill="FFFFFF"/>
        </w:rPr>
        <w:t>(Applied Biosystems, USA).</w:t>
      </w:r>
    </w:p>
    <w:p w:rsidR="0093312B" w:rsidRDefault="0093312B" w:rsidP="0093312B">
      <w:pPr>
        <w:spacing w:line="480" w:lineRule="auto"/>
        <w:jc w:val="both"/>
        <w:rPr>
          <w:rFonts w:ascii="Times New Roman" w:hAnsi="Times New Roman"/>
          <w:b/>
          <w:sz w:val="24"/>
          <w:szCs w:val="24"/>
          <w:lang w:val="en-GB"/>
        </w:rPr>
      </w:pPr>
      <w:r w:rsidRPr="00737C96">
        <w:rPr>
          <w:rFonts w:ascii="Times New Roman" w:hAnsi="Times New Roman"/>
          <w:b/>
          <w:sz w:val="24"/>
          <w:szCs w:val="24"/>
          <w:lang w:val="en-GB"/>
        </w:rPr>
        <w:t>Statistics</w:t>
      </w:r>
    </w:p>
    <w:p w:rsidR="0093312B" w:rsidRDefault="0093312B" w:rsidP="0093312B">
      <w:pPr>
        <w:spacing w:line="480" w:lineRule="auto"/>
        <w:jc w:val="both"/>
        <w:rPr>
          <w:rFonts w:ascii="Times New Roman" w:hAnsi="Times New Roman"/>
          <w:sz w:val="24"/>
          <w:szCs w:val="24"/>
          <w:shd w:val="clear" w:color="auto" w:fill="FFFFFF"/>
        </w:rPr>
      </w:pPr>
      <w:r w:rsidRPr="00737C96">
        <w:rPr>
          <w:rFonts w:ascii="Times New Roman" w:hAnsi="Times New Roman"/>
          <w:sz w:val="24"/>
          <w:szCs w:val="24"/>
          <w:lang w:val="en-GB"/>
        </w:rPr>
        <w:t>Data were analysed using</w:t>
      </w:r>
      <w:r>
        <w:rPr>
          <w:rFonts w:ascii="Times New Roman" w:hAnsi="Times New Roman"/>
          <w:sz w:val="24"/>
          <w:szCs w:val="24"/>
          <w:lang w:val="en-GB"/>
        </w:rPr>
        <w:t xml:space="preserve"> </w:t>
      </w:r>
      <w:r w:rsidRPr="00737C96">
        <w:rPr>
          <w:rFonts w:ascii="Times New Roman" w:hAnsi="Times New Roman"/>
          <w:sz w:val="24"/>
          <w:szCs w:val="24"/>
          <w:lang w:val="en-GB"/>
        </w:rPr>
        <w:t xml:space="preserve">the comparative Ct method (the </w:t>
      </w:r>
      <w:proofErr w:type="spellStart"/>
      <w:r w:rsidRPr="00737C96">
        <w:rPr>
          <w:rFonts w:ascii="Times New Roman" w:hAnsi="Times New Roman"/>
          <w:sz w:val="24"/>
          <w:szCs w:val="24"/>
          <w:lang w:val="en-GB"/>
        </w:rPr>
        <w:t>ΔΔCt</w:t>
      </w:r>
      <w:proofErr w:type="spellEnd"/>
      <w:r w:rsidRPr="00737C96">
        <w:rPr>
          <w:rFonts w:ascii="Times New Roman" w:hAnsi="Times New Roman"/>
          <w:sz w:val="24"/>
          <w:szCs w:val="24"/>
          <w:lang w:val="en-GB"/>
        </w:rPr>
        <w:t xml:space="preserve"> method)</w:t>
      </w:r>
      <w:r>
        <w:rPr>
          <w:rFonts w:ascii="Times New Roman" w:hAnsi="Times New Roman"/>
          <w:sz w:val="24"/>
          <w:szCs w:val="24"/>
          <w:lang w:val="en-GB"/>
        </w:rPr>
        <w:t xml:space="preserve"> </w:t>
      </w:r>
      <w:r>
        <w:rPr>
          <w:rFonts w:ascii="Times New Roman" w:hAnsi="Times New Roman"/>
          <w:sz w:val="24"/>
          <w:szCs w:val="24"/>
          <w:lang w:val="en-GB"/>
        </w:rPr>
        <w:fldChar w:fldCharType="begin" w:fldLock="1"/>
      </w:r>
      <w:r w:rsidR="00A5091A">
        <w:rPr>
          <w:rFonts w:ascii="Times New Roman" w:hAnsi="Times New Roman"/>
          <w:sz w:val="24"/>
          <w:szCs w:val="24"/>
          <w:lang w:val="en-GB"/>
        </w:rPr>
        <w:instrText>ADDIN CSL_CITATION { "citationItems" : [ { "id" : "ITEM-1", "itemData" : { "DOI" : "10.1006/meth.2001.1262", "ISBN" : "1046-2023", "ISSN" : "1046-2023", "PMID" : "11846609", "abstract" : "The two most commonly used methods to analyze data from real-time, quantitative PCR experiments are absolute quantification and relative quantification. Absolute quantification determines the input copy number, usually by relating the PCR signal to a standard curve. Relative quantification relates the PCR signal of the target transcript in a treatment group to that of another sample such as an untreated control. The 2(-Delta Delta C(T)) method is a convenient way to analyze the relative changes in gene expression from real-time quantitative PCR experiments. The purpose of this report is to present the derivation, assumptions, and applications of the 2(-Delta Delta C(T)) method. In addition, we present the derivation and applications of two variations of the 2(-Delta Delta C(T)) method that may be useful in the analysis of real-time, quantitative PCR data.", "author" : [ { "dropping-particle" : "", "family" : "Livak", "given" : "K J", "non-dropping-particle" : "", "parse-names" : false, "suffix" : "" }, { "dropping-particle" : "", "family" : "Schmittgen", "given" : "T D", "non-dropping-particle" : "", "parse-names" : false, "suffix" : "" } ], "container-title" : "Methods (San Diego, Calif.)", "id" : "ITEM-1", "issue" : "4", "issued" : { "date-parts" : [ [ "2001" ] ] }, "page" : "402-8", "title" : "Analysis of relative gene expression data using real-time quantitative PCR and the 2(-Delta Delta C(T)) Method.", "type" : "article-journal", "volume" : "25" }, "uris" : [ "http://www.mendeley.com/documents/?uuid=9d962c50-0a93-3e7f-b1a8-293797cf8cc6" ] } ], "mendeley" : { "formattedCitation" : "[5]", "plainTextFormattedCitation" : "[5]", "previouslyFormattedCitation" : "(Livak &amp; Schmittgen 2001)" }, "properties" : { "noteIndex" : 0 }, "schema" : "https://github.com/citation-style-language/schema/raw/master/csl-citation.json" }</w:instrText>
      </w:r>
      <w:r>
        <w:rPr>
          <w:rFonts w:ascii="Times New Roman" w:hAnsi="Times New Roman"/>
          <w:sz w:val="24"/>
          <w:szCs w:val="24"/>
          <w:lang w:val="en-GB"/>
        </w:rPr>
        <w:fldChar w:fldCharType="separate"/>
      </w:r>
      <w:r w:rsidR="00A5091A" w:rsidRPr="00A5091A">
        <w:rPr>
          <w:rFonts w:ascii="Times New Roman" w:hAnsi="Times New Roman"/>
          <w:noProof/>
          <w:sz w:val="24"/>
          <w:szCs w:val="24"/>
          <w:lang w:val="en-GB"/>
        </w:rPr>
        <w:t>[5]</w:t>
      </w:r>
      <w:r>
        <w:rPr>
          <w:rFonts w:ascii="Times New Roman" w:hAnsi="Times New Roman"/>
          <w:sz w:val="24"/>
          <w:szCs w:val="24"/>
          <w:lang w:val="en-GB"/>
        </w:rPr>
        <w:fldChar w:fldCharType="end"/>
      </w:r>
      <w:r w:rsidRPr="00737C96">
        <w:rPr>
          <w:rFonts w:ascii="Times New Roman" w:hAnsi="Times New Roman"/>
          <w:sz w:val="24"/>
          <w:szCs w:val="24"/>
          <w:lang w:val="en-GB"/>
        </w:rPr>
        <w:t xml:space="preserve"> and the results are presented as transcript levels relative to levels in controls.</w:t>
      </w:r>
      <w:r>
        <w:rPr>
          <w:rFonts w:ascii="Times New Roman" w:hAnsi="Times New Roman"/>
          <w:sz w:val="24"/>
          <w:szCs w:val="24"/>
          <w:lang w:val="en-GB"/>
        </w:rPr>
        <w:t xml:space="preserve"> After checking for data normality, the comparison of average transcript levels was performed</w:t>
      </w:r>
      <w:r w:rsidRPr="00737C96">
        <w:rPr>
          <w:rFonts w:ascii="Times New Roman" w:hAnsi="Times New Roman"/>
          <w:sz w:val="24"/>
          <w:szCs w:val="24"/>
          <w:lang w:val="en-GB"/>
        </w:rPr>
        <w:t xml:space="preserve"> by </w:t>
      </w:r>
      <w:r>
        <w:rPr>
          <w:rFonts w:ascii="Times New Roman" w:hAnsi="Times New Roman"/>
          <w:sz w:val="24"/>
          <w:szCs w:val="24"/>
          <w:lang w:val="en-GB"/>
        </w:rPr>
        <w:t xml:space="preserve">analysis of variance (ANOVA) and subsequent </w:t>
      </w:r>
      <w:proofErr w:type="spellStart"/>
      <w:r>
        <w:rPr>
          <w:rFonts w:ascii="Times New Roman" w:hAnsi="Times New Roman"/>
          <w:sz w:val="24"/>
          <w:szCs w:val="24"/>
          <w:lang w:val="en-GB"/>
        </w:rPr>
        <w:t>Dunnett’s</w:t>
      </w:r>
      <w:proofErr w:type="spellEnd"/>
      <w:r>
        <w:rPr>
          <w:rFonts w:ascii="Times New Roman" w:hAnsi="Times New Roman"/>
          <w:sz w:val="24"/>
          <w:szCs w:val="24"/>
          <w:lang w:val="en-GB"/>
        </w:rPr>
        <w:t xml:space="preserve"> multi-comparison (controls to each subgroup) and Bonferroni post-test (difference between subgroups and between children and adults) to adjust for the multiple comparisons. The level of significance was set up at P &lt; 0.05. </w:t>
      </w:r>
      <w:r w:rsidRPr="00737C96">
        <w:rPr>
          <w:rFonts w:ascii="Times New Roman" w:hAnsi="Times New Roman"/>
          <w:sz w:val="24"/>
          <w:szCs w:val="24"/>
          <w:lang w:val="en-GB"/>
        </w:rPr>
        <w:t xml:space="preserve">The </w:t>
      </w:r>
      <w:r>
        <w:rPr>
          <w:rFonts w:ascii="Times New Roman" w:hAnsi="Times New Roman"/>
          <w:sz w:val="24"/>
          <w:szCs w:val="24"/>
          <w:lang w:val="en-GB"/>
        </w:rPr>
        <w:t xml:space="preserve">Spearman rank </w:t>
      </w:r>
      <w:r w:rsidRPr="00737C96">
        <w:rPr>
          <w:rFonts w:ascii="Times New Roman" w:hAnsi="Times New Roman"/>
          <w:sz w:val="24"/>
          <w:szCs w:val="24"/>
          <w:lang w:val="en-GB"/>
        </w:rPr>
        <w:t>correlation coefficient</w:t>
      </w:r>
      <w:r>
        <w:rPr>
          <w:rFonts w:ascii="Times New Roman" w:hAnsi="Times New Roman"/>
          <w:sz w:val="24"/>
          <w:szCs w:val="24"/>
          <w:lang w:val="en-GB"/>
        </w:rPr>
        <w:t>s</w:t>
      </w:r>
      <w:r w:rsidRPr="00737C96">
        <w:rPr>
          <w:rFonts w:ascii="Times New Roman" w:hAnsi="Times New Roman"/>
          <w:sz w:val="24"/>
          <w:szCs w:val="24"/>
          <w:lang w:val="en-GB"/>
        </w:rPr>
        <w:t xml:space="preserve"> w</w:t>
      </w:r>
      <w:r>
        <w:rPr>
          <w:rFonts w:ascii="Times New Roman" w:hAnsi="Times New Roman"/>
          <w:sz w:val="24"/>
          <w:szCs w:val="24"/>
          <w:lang w:val="en-GB"/>
        </w:rPr>
        <w:t>ere</w:t>
      </w:r>
      <w:r w:rsidRPr="00737C96">
        <w:rPr>
          <w:rFonts w:ascii="Times New Roman" w:hAnsi="Times New Roman"/>
          <w:sz w:val="24"/>
          <w:szCs w:val="24"/>
          <w:lang w:val="en-GB"/>
        </w:rPr>
        <w:t xml:space="preserve"> calculated to analyse the correlation between mRNA expression of </w:t>
      </w:r>
      <w:r>
        <w:rPr>
          <w:rFonts w:ascii="Times New Roman" w:hAnsi="Times New Roman"/>
          <w:sz w:val="24"/>
          <w:szCs w:val="24"/>
          <w:lang w:val="en-GB"/>
        </w:rPr>
        <w:t>efflux</w:t>
      </w:r>
      <w:r w:rsidRPr="00737C96">
        <w:rPr>
          <w:rFonts w:ascii="Times New Roman" w:hAnsi="Times New Roman"/>
          <w:sz w:val="24"/>
          <w:szCs w:val="24"/>
          <w:lang w:val="en-GB"/>
        </w:rPr>
        <w:t xml:space="preserve"> transporters and that of examined cytokines and SOCS molecules</w:t>
      </w:r>
      <w:r>
        <w:rPr>
          <w:rFonts w:ascii="Times New Roman" w:hAnsi="Times New Roman"/>
          <w:sz w:val="24"/>
          <w:szCs w:val="24"/>
          <w:lang w:val="en-GB"/>
        </w:rPr>
        <w:t>, as well as correlation between efflux transporters/cytokines and disease activity (P &lt; 0.05 was considered statistically significant).</w:t>
      </w:r>
      <w:r w:rsidRPr="00737C96">
        <w:rPr>
          <w:rFonts w:ascii="Times New Roman" w:hAnsi="Times New Roman"/>
          <w:sz w:val="24"/>
          <w:szCs w:val="24"/>
          <w:lang w:val="en-GB"/>
        </w:rPr>
        <w:t xml:space="preserve"> </w:t>
      </w:r>
      <w:r w:rsidR="00BA2680" w:rsidRPr="00BA2680">
        <w:rPr>
          <w:rFonts w:ascii="Times New Roman" w:hAnsi="Times New Roman" w:cs="Times New Roman"/>
          <w:sz w:val="24"/>
          <w:szCs w:val="24"/>
          <w:lang w:val="en-GB"/>
        </w:rPr>
        <w:t xml:space="preserve">All analysis of samples for individual patients were paired. </w:t>
      </w:r>
      <w:r w:rsidR="00BA2680">
        <w:rPr>
          <w:rFonts w:ascii="Times New Roman" w:hAnsi="Times New Roman"/>
          <w:sz w:val="24"/>
          <w:szCs w:val="24"/>
          <w:lang w:val="en-GB"/>
        </w:rPr>
        <w:t>S</w:t>
      </w:r>
      <w:r w:rsidRPr="00737C96">
        <w:rPr>
          <w:rFonts w:ascii="Times New Roman" w:hAnsi="Times New Roman"/>
          <w:sz w:val="24"/>
          <w:szCs w:val="24"/>
          <w:lang w:val="en-GB"/>
        </w:rPr>
        <w:t xml:space="preserve">tatistical analyses were performed using </w:t>
      </w:r>
      <w:proofErr w:type="spellStart"/>
      <w:r>
        <w:rPr>
          <w:rFonts w:ascii="Times New Roman" w:hAnsi="Times New Roman"/>
          <w:sz w:val="24"/>
          <w:szCs w:val="24"/>
          <w:lang w:val="en-GB"/>
        </w:rPr>
        <w:t>GraphPad</w:t>
      </w:r>
      <w:proofErr w:type="spellEnd"/>
      <w:r>
        <w:rPr>
          <w:rFonts w:ascii="Times New Roman" w:hAnsi="Times New Roman"/>
          <w:sz w:val="24"/>
          <w:szCs w:val="24"/>
          <w:lang w:val="en-GB"/>
        </w:rPr>
        <w:t xml:space="preserve"> Prism </w:t>
      </w:r>
      <w:r w:rsidRPr="00CE5925">
        <w:rPr>
          <w:rFonts w:ascii="Times New Roman" w:hAnsi="Times New Roman"/>
          <w:sz w:val="24"/>
          <w:szCs w:val="24"/>
          <w:lang w:val="en-GB"/>
        </w:rPr>
        <w:t>5 (</w:t>
      </w:r>
      <w:proofErr w:type="spellStart"/>
      <w:r w:rsidRPr="00CE5925">
        <w:rPr>
          <w:rFonts w:ascii="Times New Roman" w:hAnsi="Times New Roman"/>
          <w:sz w:val="24"/>
          <w:szCs w:val="24"/>
          <w:shd w:val="clear" w:color="auto" w:fill="FFFFFF"/>
        </w:rPr>
        <w:t>GraphPad</w:t>
      </w:r>
      <w:proofErr w:type="spellEnd"/>
      <w:r w:rsidRPr="00CE5925">
        <w:rPr>
          <w:rFonts w:ascii="Times New Roman" w:hAnsi="Times New Roman"/>
          <w:sz w:val="24"/>
          <w:szCs w:val="24"/>
          <w:shd w:val="clear" w:color="auto" w:fill="FFFFFF"/>
        </w:rPr>
        <w:t xml:space="preserve"> Software</w:t>
      </w:r>
      <w:r>
        <w:rPr>
          <w:rFonts w:ascii="Times New Roman" w:hAnsi="Times New Roman"/>
          <w:sz w:val="24"/>
          <w:szCs w:val="24"/>
          <w:shd w:val="clear" w:color="auto" w:fill="FFFFFF"/>
        </w:rPr>
        <w:t xml:space="preserve"> version 5.03</w:t>
      </w:r>
      <w:r w:rsidRPr="00CE5925">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San Diego, CA).</w:t>
      </w:r>
    </w:p>
    <w:p w:rsidR="00A5091A" w:rsidRPr="00A5091A" w:rsidRDefault="00A5091A" w:rsidP="0093312B">
      <w:pPr>
        <w:spacing w:line="480" w:lineRule="auto"/>
        <w:jc w:val="both"/>
        <w:rPr>
          <w:rFonts w:ascii="Times New Roman" w:hAnsi="Times New Roman"/>
          <w:b/>
          <w:sz w:val="24"/>
          <w:szCs w:val="24"/>
          <w:shd w:val="clear" w:color="auto" w:fill="FFFFFF"/>
        </w:rPr>
      </w:pPr>
      <w:r w:rsidRPr="00A5091A">
        <w:rPr>
          <w:rFonts w:ascii="Times New Roman" w:hAnsi="Times New Roman"/>
          <w:b/>
          <w:sz w:val="24"/>
          <w:szCs w:val="24"/>
          <w:shd w:val="clear" w:color="auto" w:fill="FFFFFF"/>
        </w:rPr>
        <w:t>References</w:t>
      </w:r>
    </w:p>
    <w:p w:rsidR="000617B8" w:rsidRPr="00751FD4" w:rsidRDefault="00A5091A" w:rsidP="000617B8">
      <w:pPr>
        <w:widowControl w:val="0"/>
        <w:autoSpaceDE w:val="0"/>
        <w:autoSpaceDN w:val="0"/>
        <w:adjustRightInd w:val="0"/>
        <w:spacing w:after="140" w:line="480" w:lineRule="auto"/>
        <w:jc w:val="both"/>
        <w:rPr>
          <w:rFonts w:ascii="Times New Roman" w:hAnsi="Times New Roman" w:cs="Times New Roman"/>
          <w:noProof/>
          <w:sz w:val="24"/>
          <w:szCs w:val="24"/>
        </w:rPr>
      </w:pPr>
      <w:r w:rsidRPr="00A5091A">
        <w:rPr>
          <w:rFonts w:ascii="Times New Roman" w:hAnsi="Times New Roman" w:cs="Times New Roman"/>
          <w:sz w:val="24"/>
          <w:szCs w:val="24"/>
        </w:rPr>
        <w:fldChar w:fldCharType="begin" w:fldLock="1"/>
      </w:r>
      <w:r w:rsidRPr="00A5091A">
        <w:rPr>
          <w:rFonts w:ascii="Times New Roman" w:hAnsi="Times New Roman" w:cs="Times New Roman"/>
          <w:sz w:val="24"/>
          <w:szCs w:val="24"/>
        </w:rPr>
        <w:instrText xml:space="preserve">ADDIN Mendeley Bibliography CSL_BIBLIOGRAPHY </w:instrText>
      </w:r>
      <w:r w:rsidRPr="00A5091A">
        <w:rPr>
          <w:rFonts w:ascii="Times New Roman" w:hAnsi="Times New Roman" w:cs="Times New Roman"/>
          <w:sz w:val="24"/>
          <w:szCs w:val="24"/>
        </w:rPr>
        <w:fldChar w:fldCharType="separate"/>
      </w:r>
      <w:r w:rsidRPr="00A5091A">
        <w:rPr>
          <w:rFonts w:ascii="Times New Roman" w:hAnsi="Times New Roman" w:cs="Times New Roman"/>
          <w:noProof/>
          <w:sz w:val="24"/>
          <w:szCs w:val="24"/>
        </w:rPr>
        <w:t xml:space="preserve">1. </w:t>
      </w:r>
      <w:r w:rsidR="000617B8" w:rsidRPr="00751FD4">
        <w:rPr>
          <w:rFonts w:ascii="Times New Roman" w:hAnsi="Times New Roman" w:cs="Times New Roman"/>
          <w:noProof/>
          <w:sz w:val="24"/>
          <w:szCs w:val="24"/>
        </w:rPr>
        <w:t>Levin</w:t>
      </w:r>
      <w:r w:rsidR="000617B8">
        <w:rPr>
          <w:rFonts w:ascii="Times New Roman" w:hAnsi="Times New Roman" w:cs="Times New Roman"/>
          <w:noProof/>
          <w:sz w:val="24"/>
          <w:szCs w:val="24"/>
        </w:rPr>
        <w:t>e A, Koletzko S, Turner D,</w:t>
      </w:r>
      <w:r w:rsidR="000617B8" w:rsidRPr="00751FD4">
        <w:rPr>
          <w:rFonts w:ascii="Times New Roman" w:hAnsi="Times New Roman" w:cs="Times New Roman"/>
          <w:noProof/>
          <w:sz w:val="24"/>
          <w:szCs w:val="24"/>
        </w:rPr>
        <w:t xml:space="preserve"> et al. ESPGHAN revised porto criteria for the diagnosis of inflammatory bowel disease</w:t>
      </w:r>
      <w:r w:rsidR="00DD1BAF">
        <w:rPr>
          <w:rFonts w:ascii="Times New Roman" w:hAnsi="Times New Roman" w:cs="Times New Roman"/>
          <w:noProof/>
          <w:sz w:val="24"/>
          <w:szCs w:val="24"/>
        </w:rPr>
        <w:t xml:space="preserve"> in children and adolescents. J Pediatr Gastroenterol Nutr</w:t>
      </w:r>
      <w:r w:rsidR="000617B8" w:rsidRPr="00751FD4">
        <w:rPr>
          <w:rFonts w:ascii="Times New Roman" w:hAnsi="Times New Roman" w:cs="Times New Roman"/>
          <w:noProof/>
          <w:sz w:val="24"/>
          <w:szCs w:val="24"/>
        </w:rPr>
        <w:t xml:space="preserve"> 2014;58:795–806. </w:t>
      </w:r>
    </w:p>
    <w:p w:rsidR="000617B8" w:rsidRPr="00751FD4" w:rsidRDefault="000617B8" w:rsidP="000617B8">
      <w:pPr>
        <w:widowControl w:val="0"/>
        <w:autoSpaceDE w:val="0"/>
        <w:autoSpaceDN w:val="0"/>
        <w:adjustRightInd w:val="0"/>
        <w:spacing w:after="140" w:line="480" w:lineRule="auto"/>
        <w:jc w:val="both"/>
        <w:rPr>
          <w:rFonts w:ascii="Times New Roman" w:hAnsi="Times New Roman" w:cs="Times New Roman"/>
          <w:noProof/>
          <w:sz w:val="24"/>
          <w:szCs w:val="24"/>
        </w:rPr>
      </w:pPr>
      <w:r>
        <w:rPr>
          <w:rFonts w:ascii="Times New Roman" w:hAnsi="Times New Roman" w:cs="Times New Roman"/>
          <w:noProof/>
          <w:sz w:val="24"/>
          <w:szCs w:val="24"/>
        </w:rPr>
        <w:t>2</w:t>
      </w:r>
      <w:r w:rsidRPr="00751FD4">
        <w:rPr>
          <w:rFonts w:ascii="Times New Roman" w:hAnsi="Times New Roman" w:cs="Times New Roman"/>
          <w:noProof/>
          <w:sz w:val="24"/>
          <w:szCs w:val="24"/>
        </w:rPr>
        <w:t>. Sands B. From symptom to diagnosis: clinical distinctions among various forms of intestinal</w:t>
      </w:r>
      <w:r w:rsidR="00DD1BAF">
        <w:rPr>
          <w:rFonts w:ascii="Times New Roman" w:hAnsi="Times New Roman" w:cs="Times New Roman"/>
          <w:noProof/>
          <w:sz w:val="24"/>
          <w:szCs w:val="24"/>
        </w:rPr>
        <w:t xml:space="preserve"> inflammation. Gastroenterology</w:t>
      </w:r>
      <w:r w:rsidRPr="00751FD4">
        <w:rPr>
          <w:rFonts w:ascii="Times New Roman" w:hAnsi="Times New Roman" w:cs="Times New Roman"/>
          <w:noProof/>
          <w:sz w:val="24"/>
          <w:szCs w:val="24"/>
        </w:rPr>
        <w:t xml:space="preserve"> 2004;126:1518–32. </w:t>
      </w:r>
    </w:p>
    <w:p w:rsidR="000617B8" w:rsidRPr="00751FD4" w:rsidRDefault="000617B8" w:rsidP="000617B8">
      <w:pPr>
        <w:widowControl w:val="0"/>
        <w:autoSpaceDE w:val="0"/>
        <w:autoSpaceDN w:val="0"/>
        <w:adjustRightInd w:val="0"/>
        <w:spacing w:after="140" w:line="480" w:lineRule="auto"/>
        <w:jc w:val="both"/>
        <w:rPr>
          <w:rFonts w:ascii="Times New Roman" w:hAnsi="Times New Roman" w:cs="Times New Roman"/>
          <w:noProof/>
          <w:sz w:val="24"/>
          <w:szCs w:val="24"/>
        </w:rPr>
      </w:pPr>
      <w:r>
        <w:rPr>
          <w:rFonts w:ascii="Times New Roman" w:hAnsi="Times New Roman" w:cs="Times New Roman"/>
          <w:noProof/>
          <w:sz w:val="24"/>
          <w:szCs w:val="24"/>
        </w:rPr>
        <w:t>3</w:t>
      </w:r>
      <w:r w:rsidRPr="00751FD4">
        <w:rPr>
          <w:rFonts w:ascii="Times New Roman" w:hAnsi="Times New Roman" w:cs="Times New Roman"/>
          <w:noProof/>
          <w:sz w:val="24"/>
          <w:szCs w:val="24"/>
        </w:rPr>
        <w:t>. Turner D, Hyams J, Markowitz J, et al. Appraisal of the pediatric ulcerative colitis activity in</w:t>
      </w:r>
      <w:r w:rsidR="00DD1BAF">
        <w:rPr>
          <w:rFonts w:ascii="Times New Roman" w:hAnsi="Times New Roman" w:cs="Times New Roman"/>
          <w:noProof/>
          <w:sz w:val="24"/>
          <w:szCs w:val="24"/>
        </w:rPr>
        <w:t>dex (PUCAI). Inflamm Bowel Dis</w:t>
      </w:r>
      <w:r w:rsidRPr="00751FD4">
        <w:rPr>
          <w:rFonts w:ascii="Times New Roman" w:hAnsi="Times New Roman" w:cs="Times New Roman"/>
          <w:noProof/>
          <w:sz w:val="24"/>
          <w:szCs w:val="24"/>
        </w:rPr>
        <w:t xml:space="preserve"> 2009;15:1218–23. </w:t>
      </w:r>
    </w:p>
    <w:p w:rsidR="000617B8" w:rsidRPr="00751FD4" w:rsidRDefault="000617B8" w:rsidP="000617B8">
      <w:pPr>
        <w:widowControl w:val="0"/>
        <w:autoSpaceDE w:val="0"/>
        <w:autoSpaceDN w:val="0"/>
        <w:adjustRightInd w:val="0"/>
        <w:spacing w:after="140" w:line="48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4</w:t>
      </w:r>
      <w:r w:rsidRPr="00751FD4">
        <w:rPr>
          <w:rFonts w:ascii="Times New Roman" w:hAnsi="Times New Roman" w:cs="Times New Roman"/>
          <w:noProof/>
          <w:sz w:val="24"/>
          <w:szCs w:val="24"/>
        </w:rPr>
        <w:t>. Truelove SC, Witts LJ. Cort</w:t>
      </w:r>
      <w:r w:rsidR="00DD1BAF">
        <w:rPr>
          <w:rFonts w:ascii="Times New Roman" w:hAnsi="Times New Roman" w:cs="Times New Roman"/>
          <w:noProof/>
          <w:sz w:val="24"/>
          <w:szCs w:val="24"/>
        </w:rPr>
        <w:t>isone in ulcerative colitis. Br Med J</w:t>
      </w:r>
      <w:r w:rsidRPr="00751FD4">
        <w:rPr>
          <w:rFonts w:ascii="Times New Roman" w:hAnsi="Times New Roman" w:cs="Times New Roman"/>
          <w:noProof/>
          <w:sz w:val="24"/>
          <w:szCs w:val="24"/>
        </w:rPr>
        <w:t xml:space="preserve"> 1955;2:1041–8. </w:t>
      </w:r>
    </w:p>
    <w:p w:rsidR="003563D9" w:rsidRPr="0093312B" w:rsidRDefault="000617B8" w:rsidP="000617B8">
      <w:pPr>
        <w:widowControl w:val="0"/>
        <w:autoSpaceDE w:val="0"/>
        <w:autoSpaceDN w:val="0"/>
        <w:adjustRightInd w:val="0"/>
        <w:spacing w:line="480" w:lineRule="auto"/>
        <w:jc w:val="both"/>
      </w:pPr>
      <w:r>
        <w:rPr>
          <w:rFonts w:ascii="Times New Roman" w:hAnsi="Times New Roman" w:cs="Times New Roman"/>
          <w:noProof/>
          <w:sz w:val="24"/>
          <w:szCs w:val="24"/>
        </w:rPr>
        <w:t>5</w:t>
      </w:r>
      <w:r w:rsidRPr="00751FD4">
        <w:rPr>
          <w:rFonts w:ascii="Times New Roman" w:hAnsi="Times New Roman" w:cs="Times New Roman"/>
          <w:noProof/>
          <w:sz w:val="24"/>
          <w:szCs w:val="24"/>
        </w:rPr>
        <w:t>. Livak KJ, Schmittgen TD. Analysis of relative gene expression data using real-time quantitative PCR and the 2(-De</w:t>
      </w:r>
      <w:r w:rsidR="00DD1BAF">
        <w:rPr>
          <w:rFonts w:ascii="Times New Roman" w:hAnsi="Times New Roman" w:cs="Times New Roman"/>
          <w:noProof/>
          <w:sz w:val="24"/>
          <w:szCs w:val="24"/>
        </w:rPr>
        <w:t>lta Delta C(T)) Method. Methods</w:t>
      </w:r>
      <w:bookmarkStart w:id="0" w:name="_GoBack"/>
      <w:bookmarkEnd w:id="0"/>
      <w:r w:rsidRPr="00751FD4">
        <w:rPr>
          <w:rFonts w:ascii="Times New Roman" w:hAnsi="Times New Roman" w:cs="Times New Roman"/>
          <w:noProof/>
          <w:sz w:val="24"/>
          <w:szCs w:val="24"/>
        </w:rPr>
        <w:t xml:space="preserve"> 2001;25:402–8.</w:t>
      </w:r>
      <w:r w:rsidR="00A5091A" w:rsidRPr="00A5091A">
        <w:rPr>
          <w:rFonts w:ascii="Times New Roman" w:hAnsi="Times New Roman" w:cs="Times New Roman"/>
          <w:sz w:val="24"/>
          <w:szCs w:val="24"/>
        </w:rPr>
        <w:fldChar w:fldCharType="end"/>
      </w:r>
    </w:p>
    <w:sectPr w:rsidR="003563D9" w:rsidRPr="0093312B" w:rsidSect="009B2275">
      <w:pgSz w:w="12240" w:h="15840"/>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75"/>
    <w:rsid w:val="000617B8"/>
    <w:rsid w:val="003563D9"/>
    <w:rsid w:val="0093312B"/>
    <w:rsid w:val="009B2275"/>
    <w:rsid w:val="00A5091A"/>
    <w:rsid w:val="00BA2680"/>
    <w:rsid w:val="00DD1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F17C8"/>
  <w15:chartTrackingRefBased/>
  <w15:docId w15:val="{52B31263-3345-408F-9BC8-C026B5E89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B227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B2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0A9EB-B510-4419-9075-F66BE6BC3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3109</Words>
  <Characters>17722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Savić</dc:creator>
  <cp:keywords/>
  <dc:description/>
  <cp:lastModifiedBy>Ana Savić</cp:lastModifiedBy>
  <cp:revision>6</cp:revision>
  <dcterms:created xsi:type="dcterms:W3CDTF">2016-07-22T11:57:00Z</dcterms:created>
  <dcterms:modified xsi:type="dcterms:W3CDTF">2016-08-19T09:19:00Z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asavic@imz.hr@www.mendeley.com</vt:lpwstr>
  </property>
  <property fmtid="{D5CDD505-2E9C-101B-9397-08002B2CF9AE}" pid="4" name="Mendeley Citation Style_1">
    <vt:lpwstr>http://www.zotero.org/styles/journal-of-gastroenterology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http://www.zotero.org/styles/harvard1</vt:lpwstr>
  </property>
  <property fmtid="{D5CDD505-2E9C-101B-9397-08002B2CF9AE}" pid="12" name="Mendeley Recent Style Name 3_1">
    <vt:lpwstr>Harvard Reference format 1 (author-date)</vt:lpwstr>
  </property>
  <property fmtid="{D5CDD505-2E9C-101B-9397-08002B2CF9AE}" pid="13" name="Mendeley Recent Style Id 4_1">
    <vt:lpwstr>http://www.zotero.org/styles/inflammatory-bowel-diseases</vt:lpwstr>
  </property>
  <property fmtid="{D5CDD505-2E9C-101B-9397-08002B2CF9AE}" pid="14" name="Mendeley Recent Style Name 4_1">
    <vt:lpwstr>Inflammatory Bowel Diseases</vt:lpwstr>
  </property>
  <property fmtid="{D5CDD505-2E9C-101B-9397-08002B2CF9AE}" pid="15" name="Mendeley Recent Style Id 5_1">
    <vt:lpwstr>http://www.zotero.org/styles/journal-of-crohns-and-colitis</vt:lpwstr>
  </property>
  <property fmtid="{D5CDD505-2E9C-101B-9397-08002B2CF9AE}" pid="16" name="Mendeley Recent Style Name 5_1">
    <vt:lpwstr>Journal of Crohn's and Colitis</vt:lpwstr>
  </property>
  <property fmtid="{D5CDD505-2E9C-101B-9397-08002B2CF9AE}" pid="17" name="Mendeley Recent Style Id 6_1">
    <vt:lpwstr>http://www.zotero.org/styles/journal-of-gastroenterology</vt:lpwstr>
  </property>
  <property fmtid="{D5CDD505-2E9C-101B-9397-08002B2CF9AE}" pid="18" name="Mendeley Recent Style Name 6_1">
    <vt:lpwstr>Journal of Gastroenterology</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http://www.zotero.org/styles/the-american-journal-of-gastroenterology</vt:lpwstr>
  </property>
  <property fmtid="{D5CDD505-2E9C-101B-9397-08002B2CF9AE}" pid="22" name="Mendeley Recent Style Name 8_1">
    <vt:lpwstr>The American Journal of Gastroenterology</vt:lpwstr>
  </property>
  <property fmtid="{D5CDD505-2E9C-101B-9397-08002B2CF9AE}" pid="23" name="Mendeley Recent Style Id 9_1">
    <vt:lpwstr>http://www.zotero.org/styles/virchows-archiv</vt:lpwstr>
  </property>
  <property fmtid="{D5CDD505-2E9C-101B-9397-08002B2CF9AE}" pid="24" name="Mendeley Recent Style Name 9_1">
    <vt:lpwstr>Virchows Archiv</vt:lpwstr>
  </property>
</Properties>
</file>