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537" w:rsidRDefault="00B85399" w:rsidP="00B85399">
      <w:pPr>
        <w:jc w:val="center"/>
        <w:rPr>
          <w:rFonts w:ascii="Times New Roman" w:hAnsi="Times New Roman" w:cs="Times New Roman"/>
          <w:b/>
          <w:sz w:val="24"/>
        </w:rPr>
      </w:pPr>
      <w:r w:rsidRPr="00B85399">
        <w:rPr>
          <w:rFonts w:ascii="Times New Roman" w:hAnsi="Times New Roman" w:cs="Times New Roman"/>
          <w:b/>
          <w:sz w:val="24"/>
        </w:rPr>
        <w:t>Supplementary Digital Content</w:t>
      </w:r>
      <w:r>
        <w:rPr>
          <w:rFonts w:ascii="Times New Roman" w:hAnsi="Times New Roman" w:cs="Times New Roman"/>
          <w:b/>
          <w:sz w:val="24"/>
        </w:rPr>
        <w:t xml:space="preserve"> (SDC)</w:t>
      </w:r>
    </w:p>
    <w:p w:rsidR="00A15CDD" w:rsidRDefault="00A15CDD" w:rsidP="00B85399">
      <w:pPr>
        <w:rPr>
          <w:rFonts w:ascii="Times New Roman" w:hAnsi="Times New Roman" w:cs="Times New Roman"/>
          <w:b/>
          <w:sz w:val="24"/>
        </w:rPr>
      </w:pPr>
    </w:p>
    <w:p w:rsidR="00B85399" w:rsidRDefault="00B85399" w:rsidP="00B85399">
      <w:pPr>
        <w:rPr>
          <w:rFonts w:ascii="Times New Roman" w:hAnsi="Times New Roman" w:cs="Times New Roman"/>
          <w:b/>
          <w:sz w:val="24"/>
        </w:rPr>
      </w:pPr>
      <w:r>
        <w:rPr>
          <w:rFonts w:ascii="Times New Roman" w:hAnsi="Times New Roman" w:cs="Times New Roman"/>
          <w:b/>
          <w:sz w:val="24"/>
        </w:rPr>
        <w:t xml:space="preserve">SDC-1- </w:t>
      </w:r>
      <w:r w:rsidR="00F31197">
        <w:rPr>
          <w:rFonts w:ascii="Times New Roman" w:hAnsi="Times New Roman" w:cs="Times New Roman"/>
          <w:b/>
          <w:sz w:val="24"/>
        </w:rPr>
        <w:t xml:space="preserve">Details of </w:t>
      </w:r>
      <w:r w:rsidR="00DC4957">
        <w:rPr>
          <w:rFonts w:ascii="Times New Roman" w:hAnsi="Times New Roman" w:cs="Times New Roman"/>
          <w:b/>
          <w:sz w:val="24"/>
        </w:rPr>
        <w:t xml:space="preserve">the </w:t>
      </w:r>
      <w:r>
        <w:rPr>
          <w:rFonts w:ascii="Times New Roman" w:hAnsi="Times New Roman" w:cs="Times New Roman"/>
          <w:b/>
          <w:sz w:val="24"/>
        </w:rPr>
        <w:t>Methodology</w:t>
      </w:r>
    </w:p>
    <w:p w:rsidR="00FD3A7A" w:rsidRDefault="00FD3A7A" w:rsidP="00B85399">
      <w:pPr>
        <w:rPr>
          <w:rFonts w:ascii="Times New Roman" w:hAnsi="Times New Roman" w:cs="Times New Roman"/>
          <w:b/>
          <w:sz w:val="24"/>
        </w:rPr>
      </w:pPr>
    </w:p>
    <w:p w:rsidR="00D92992" w:rsidRPr="00D8223E" w:rsidRDefault="001A65B3" w:rsidP="00D92992">
      <w:pPr>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Diagnostic criteria for AIH included abnormal hepatic function tests and classical histological criteria (variable degree/combination of </w:t>
      </w:r>
      <w:r w:rsidRPr="00D8223E">
        <w:rPr>
          <w:rFonts w:ascii="Times New Roman" w:eastAsiaTheme="minorHAnsi" w:hAnsi="Times New Roman" w:cs="Times New Roman"/>
          <w:color w:val="000000" w:themeColor="text1"/>
          <w:sz w:val="24"/>
          <w:szCs w:val="24"/>
          <w:lang w:val="en-US" w:eastAsia="en-US"/>
        </w:rPr>
        <w:t xml:space="preserve">interface hepatitis, </w:t>
      </w:r>
      <w:proofErr w:type="spellStart"/>
      <w:r w:rsidRPr="00D8223E">
        <w:rPr>
          <w:rFonts w:ascii="Times New Roman" w:eastAsiaTheme="minorHAnsi" w:hAnsi="Times New Roman" w:cs="Times New Roman"/>
          <w:color w:val="000000" w:themeColor="text1"/>
          <w:sz w:val="24"/>
          <w:szCs w:val="24"/>
          <w:lang w:val="en-US" w:eastAsia="en-US"/>
        </w:rPr>
        <w:t>lymphoplasmacytic</w:t>
      </w:r>
      <w:proofErr w:type="spellEnd"/>
      <w:r w:rsidRPr="00D8223E">
        <w:rPr>
          <w:rFonts w:ascii="Times New Roman" w:eastAsiaTheme="minorHAnsi" w:hAnsi="Times New Roman" w:cs="Times New Roman"/>
          <w:color w:val="000000" w:themeColor="text1"/>
          <w:sz w:val="24"/>
          <w:szCs w:val="24"/>
          <w:lang w:val="en-US" w:eastAsia="en-US"/>
        </w:rPr>
        <w:t xml:space="preserve"> portal infiltrate, and hepatic </w:t>
      </w:r>
      <w:proofErr w:type="spellStart"/>
      <w:r w:rsidRPr="00D8223E">
        <w:rPr>
          <w:rFonts w:ascii="Times New Roman" w:eastAsiaTheme="minorHAnsi" w:hAnsi="Times New Roman" w:cs="Times New Roman"/>
          <w:color w:val="000000" w:themeColor="text1"/>
          <w:sz w:val="24"/>
          <w:szCs w:val="24"/>
          <w:lang w:val="en-US" w:eastAsia="en-US"/>
        </w:rPr>
        <w:t>pseudorosette</w:t>
      </w:r>
      <w:proofErr w:type="spellEnd"/>
      <w:r w:rsidRPr="00D8223E">
        <w:rPr>
          <w:rFonts w:ascii="Times New Roman" w:eastAsiaTheme="minorHAnsi" w:hAnsi="Times New Roman" w:cs="Times New Roman"/>
          <w:color w:val="000000" w:themeColor="text1"/>
          <w:sz w:val="24"/>
          <w:szCs w:val="24"/>
          <w:lang w:val="en-US" w:eastAsia="en-US"/>
        </w:rPr>
        <w:t xml:space="preserve"> formation) </w:t>
      </w:r>
      <w:r w:rsidRPr="00D8223E">
        <w:rPr>
          <w:rFonts w:ascii="Times New Roman" w:hAnsi="Times New Roman" w:cs="Times New Roman"/>
          <w:color w:val="000000" w:themeColor="text1"/>
          <w:sz w:val="24"/>
          <w:szCs w:val="24"/>
        </w:rPr>
        <w:t>with or without presence of autoantibodies and/or elevated serum total Immunoglobulin G levels</w:t>
      </w:r>
      <w:r w:rsidR="00C320A6" w:rsidRPr="00D8223E">
        <w:rPr>
          <w:rFonts w:ascii="Times New Roman" w:hAnsi="Times New Roman" w:cs="Times New Roman"/>
          <w:color w:val="000000" w:themeColor="text1"/>
          <w:sz w:val="24"/>
          <w:szCs w:val="24"/>
        </w:rPr>
        <w:t>, after exclusion of other common hepatic disorders</w:t>
      </w:r>
      <w:r w:rsidRPr="00D8223E">
        <w:rPr>
          <w:rFonts w:ascii="Times New Roman" w:hAnsi="Times New Roman" w:cs="Times New Roman"/>
          <w:color w:val="000000" w:themeColor="text1"/>
          <w:sz w:val="24"/>
          <w:szCs w:val="24"/>
        </w:rPr>
        <w:t xml:space="preserve">. </w:t>
      </w:r>
      <w:r w:rsidR="003F33E5" w:rsidRPr="00D8223E">
        <w:rPr>
          <w:rFonts w:ascii="Times New Roman" w:hAnsi="Times New Roman" w:cs="Times New Roman"/>
          <w:color w:val="000000" w:themeColor="text1"/>
          <w:sz w:val="24"/>
          <w:szCs w:val="24"/>
        </w:rPr>
        <w:t xml:space="preserve">Other important histological finding that was evaluated, amongst others, was Emperipolesis, which was defined by the presence of a lymphocyte or a plasma cell within the cytoplasm of hepatocytes [1, 2; see also SDC-2]. </w:t>
      </w:r>
      <w:r w:rsidRPr="00D8223E">
        <w:rPr>
          <w:rFonts w:ascii="Times New Roman" w:hAnsi="Times New Roman" w:cs="Times New Roman"/>
          <w:color w:val="000000" w:themeColor="text1"/>
          <w:sz w:val="24"/>
          <w:szCs w:val="24"/>
        </w:rPr>
        <w:t xml:space="preserve">ASC was diagnosed based on features of AIH along with either abnormal </w:t>
      </w:r>
      <w:proofErr w:type="spellStart"/>
      <w:r w:rsidRPr="00D8223E">
        <w:rPr>
          <w:rFonts w:ascii="Times New Roman" w:hAnsi="Times New Roman" w:cs="Times New Roman"/>
          <w:color w:val="000000" w:themeColor="text1"/>
          <w:sz w:val="24"/>
          <w:szCs w:val="24"/>
        </w:rPr>
        <w:t>cholangiographic</w:t>
      </w:r>
      <w:proofErr w:type="spellEnd"/>
      <w:r w:rsidRPr="00D8223E">
        <w:rPr>
          <w:rFonts w:ascii="Times New Roman" w:hAnsi="Times New Roman" w:cs="Times New Roman"/>
          <w:color w:val="000000" w:themeColor="text1"/>
          <w:sz w:val="24"/>
          <w:szCs w:val="24"/>
        </w:rPr>
        <w:t xml:space="preserve"> study (multiple strictures and/or dilatations of intra or extrahepatic biliary tree) or evidence of significant bile ductal injury </w:t>
      </w:r>
      <w:r w:rsidRPr="00D8223E">
        <w:rPr>
          <w:rFonts w:ascii="Times New Roman" w:eastAsiaTheme="minorHAnsi" w:hAnsi="Times New Roman" w:cs="Times New Roman"/>
          <w:color w:val="000000" w:themeColor="text1"/>
          <w:sz w:val="24"/>
          <w:szCs w:val="24"/>
          <w:lang w:val="en-US" w:eastAsia="en-US"/>
        </w:rPr>
        <w:t>(including fibro-</w:t>
      </w:r>
      <w:proofErr w:type="spellStart"/>
      <w:r w:rsidRPr="00D8223E">
        <w:rPr>
          <w:rFonts w:ascii="Times New Roman" w:eastAsiaTheme="minorHAnsi" w:hAnsi="Times New Roman" w:cs="Times New Roman"/>
          <w:color w:val="000000" w:themeColor="text1"/>
          <w:sz w:val="24"/>
          <w:szCs w:val="24"/>
          <w:lang w:val="en-US" w:eastAsia="en-US"/>
        </w:rPr>
        <w:t>obliterative</w:t>
      </w:r>
      <w:proofErr w:type="spellEnd"/>
      <w:r w:rsidRPr="00D8223E">
        <w:rPr>
          <w:rFonts w:ascii="Times New Roman" w:eastAsiaTheme="minorHAnsi" w:hAnsi="Times New Roman" w:cs="Times New Roman"/>
          <w:color w:val="000000" w:themeColor="text1"/>
          <w:sz w:val="24"/>
          <w:szCs w:val="24"/>
          <w:lang w:val="en-US" w:eastAsia="en-US"/>
        </w:rPr>
        <w:t xml:space="preserve"> cholangitis, bile duct loss, and/or </w:t>
      </w:r>
      <w:proofErr w:type="spellStart"/>
      <w:r w:rsidRPr="00D8223E">
        <w:rPr>
          <w:rFonts w:ascii="Times New Roman" w:eastAsiaTheme="minorHAnsi" w:hAnsi="Times New Roman" w:cs="Times New Roman"/>
          <w:color w:val="000000" w:themeColor="text1"/>
          <w:sz w:val="24"/>
          <w:szCs w:val="24"/>
          <w:lang w:val="en-US" w:eastAsia="en-US"/>
        </w:rPr>
        <w:t>periductal</w:t>
      </w:r>
      <w:proofErr w:type="spellEnd"/>
      <w:r w:rsidRPr="00D8223E">
        <w:rPr>
          <w:rFonts w:ascii="Times New Roman" w:eastAsiaTheme="minorHAnsi" w:hAnsi="Times New Roman" w:cs="Times New Roman"/>
          <w:color w:val="000000" w:themeColor="text1"/>
          <w:sz w:val="24"/>
          <w:szCs w:val="24"/>
          <w:lang w:val="en-US" w:eastAsia="en-US"/>
        </w:rPr>
        <w:t xml:space="preserve"> fibrosis)</w:t>
      </w:r>
      <w:r w:rsidRPr="00D8223E">
        <w:rPr>
          <w:rFonts w:ascii="Times New Roman" w:hAnsi="Times New Roman" w:cs="Times New Roman"/>
          <w:color w:val="000000" w:themeColor="text1"/>
          <w:sz w:val="24"/>
          <w:szCs w:val="24"/>
        </w:rPr>
        <w:t xml:space="preserve"> on hepatic histopathology.</w:t>
      </w:r>
      <w:r w:rsidR="00D92992" w:rsidRPr="00D8223E">
        <w:rPr>
          <w:rFonts w:ascii="Times New Roman" w:hAnsi="Times New Roman" w:cs="Times New Roman"/>
          <w:color w:val="000000" w:themeColor="text1"/>
          <w:sz w:val="24"/>
          <w:szCs w:val="24"/>
        </w:rPr>
        <w:t xml:space="preserve"> </w:t>
      </w:r>
      <w:r w:rsidR="00D92992" w:rsidRPr="00D8223E">
        <w:rPr>
          <w:rFonts w:ascii="Times New Roman" w:eastAsiaTheme="minorHAnsi" w:hAnsi="Times New Roman" w:cs="Times New Roman"/>
          <w:color w:val="000000" w:themeColor="text1"/>
          <w:sz w:val="24"/>
          <w:szCs w:val="24"/>
          <w:lang w:val="en-US" w:eastAsia="en-US"/>
        </w:rPr>
        <w:t xml:space="preserve">Also, for diagnostic score comparisons, </w:t>
      </w:r>
      <w:r w:rsidR="00D92992" w:rsidRPr="00D8223E">
        <w:rPr>
          <w:rFonts w:ascii="Times New Roman" w:hAnsi="Times New Roman" w:cs="Times New Roman"/>
          <w:color w:val="000000" w:themeColor="text1"/>
          <w:sz w:val="24"/>
          <w:szCs w:val="24"/>
        </w:rPr>
        <w:t xml:space="preserve">we also included consecutive </w:t>
      </w:r>
      <w:proofErr w:type="spellStart"/>
      <w:r w:rsidR="00D92992" w:rsidRPr="00D8223E">
        <w:rPr>
          <w:rFonts w:ascii="Times New Roman" w:hAnsi="Times New Roman" w:cs="Times New Roman"/>
          <w:color w:val="000000" w:themeColor="text1"/>
          <w:sz w:val="24"/>
          <w:szCs w:val="24"/>
        </w:rPr>
        <w:t>pediatric</w:t>
      </w:r>
      <w:proofErr w:type="spellEnd"/>
      <w:r w:rsidR="00D92992" w:rsidRPr="00D8223E">
        <w:rPr>
          <w:rFonts w:ascii="Times New Roman" w:hAnsi="Times New Roman" w:cs="Times New Roman"/>
          <w:color w:val="000000" w:themeColor="text1"/>
          <w:sz w:val="24"/>
          <w:szCs w:val="24"/>
        </w:rPr>
        <w:t xml:space="preserve"> non-AILD subjects (diagnosis based on standard criteria) as a control group (in 1:1 ratio): Wilson’s disease (n=22), Non-cirrhotic portal fibrosis (n=18) [22], Drug induced liver injury (n=12), Celiac hepatitis (n=9), Primary </w:t>
      </w:r>
      <w:proofErr w:type="spellStart"/>
      <w:r w:rsidR="00D92992" w:rsidRPr="00D8223E">
        <w:rPr>
          <w:rFonts w:ascii="Times New Roman" w:hAnsi="Times New Roman" w:cs="Times New Roman"/>
          <w:color w:val="000000" w:themeColor="text1"/>
          <w:sz w:val="24"/>
          <w:szCs w:val="24"/>
        </w:rPr>
        <w:t>sclerosing</w:t>
      </w:r>
      <w:proofErr w:type="spellEnd"/>
      <w:r w:rsidR="00D92992" w:rsidRPr="00D8223E">
        <w:rPr>
          <w:rFonts w:ascii="Times New Roman" w:hAnsi="Times New Roman" w:cs="Times New Roman"/>
          <w:color w:val="000000" w:themeColor="text1"/>
          <w:sz w:val="24"/>
          <w:szCs w:val="24"/>
        </w:rPr>
        <w:t xml:space="preserve"> cholangitis (n=7), Chronic Hepatitis B infection (n=7), Progressive familial intrahepatic cholestasis type 3 (n=4), Budd Chiari syndrome (n=3), Congenital hepatic fibrosis (n=2) and idiopathic paucity of interlobular bile ducts (n=1).</w:t>
      </w:r>
    </w:p>
    <w:p w:rsidR="00B85399" w:rsidRPr="00D8223E" w:rsidRDefault="00B85399" w:rsidP="00F31197">
      <w:pPr>
        <w:spacing w:after="0" w:line="480" w:lineRule="auto"/>
        <w:jc w:val="both"/>
        <w:rPr>
          <w:rFonts w:ascii="Times New Roman" w:hAnsi="Times New Roman" w:cs="Times New Roman"/>
          <w:color w:val="000000" w:themeColor="text1"/>
          <w:sz w:val="24"/>
          <w:szCs w:val="24"/>
        </w:rPr>
      </w:pPr>
      <w:r w:rsidRPr="00D8223E">
        <w:rPr>
          <w:rStyle w:val="A17"/>
          <w:rFonts w:ascii="Times New Roman" w:hAnsi="Times New Roman" w:cs="Times New Roman"/>
          <w:color w:val="000000" w:themeColor="text1"/>
          <w:sz w:val="24"/>
          <w:szCs w:val="24"/>
        </w:rPr>
        <w:t xml:space="preserve">Data, including demographic features, laboratory tests (including IgG levels, autoimmune serology etc), markers of hepatic disease severity (Child </w:t>
      </w:r>
      <w:proofErr w:type="spellStart"/>
      <w:r w:rsidRPr="00D8223E">
        <w:rPr>
          <w:rStyle w:val="A17"/>
          <w:rFonts w:ascii="Times New Roman" w:hAnsi="Times New Roman" w:cs="Times New Roman"/>
          <w:color w:val="000000" w:themeColor="text1"/>
          <w:sz w:val="24"/>
          <w:szCs w:val="24"/>
        </w:rPr>
        <w:t>Turcott</w:t>
      </w:r>
      <w:proofErr w:type="spellEnd"/>
      <w:r w:rsidRPr="00D8223E">
        <w:rPr>
          <w:rStyle w:val="A17"/>
          <w:rFonts w:ascii="Times New Roman" w:hAnsi="Times New Roman" w:cs="Times New Roman"/>
          <w:color w:val="000000" w:themeColor="text1"/>
          <w:sz w:val="24"/>
          <w:szCs w:val="24"/>
        </w:rPr>
        <w:t xml:space="preserve"> Pugh/CTP score and </w:t>
      </w:r>
      <w:r w:rsidRPr="00D8223E">
        <w:rPr>
          <w:rFonts w:ascii="Times New Roman" w:hAnsi="Times New Roman" w:cs="Times New Roman"/>
          <w:color w:val="000000" w:themeColor="text1"/>
          <w:sz w:val="24"/>
          <w:szCs w:val="24"/>
        </w:rPr>
        <w:t xml:space="preserve">Model for end-stage liver disease/MELD score if  </w:t>
      </w:r>
      <w:r w:rsidRPr="00D8223E">
        <w:rPr>
          <w:rFonts w:ascii="Times New Roman" w:hAnsi="Times New Roman" w:cs="Times New Roman"/>
          <w:color w:val="000000" w:themeColor="text1"/>
          <w:sz w:val="24"/>
          <w:szCs w:val="24"/>
          <w:u w:val="single"/>
        </w:rPr>
        <w:t>&gt;</w:t>
      </w:r>
      <w:r w:rsidRPr="00D8223E">
        <w:rPr>
          <w:rFonts w:ascii="Times New Roman" w:hAnsi="Times New Roman" w:cs="Times New Roman"/>
          <w:color w:val="000000" w:themeColor="text1"/>
          <w:sz w:val="24"/>
          <w:szCs w:val="24"/>
        </w:rPr>
        <w:t xml:space="preserve"> 12 years age or Pediatric end-stage liver disease/PELD score if &lt; 12 years age), liver stiffness measurement/LSM by transient </w:t>
      </w:r>
      <w:proofErr w:type="spellStart"/>
      <w:r w:rsidRPr="00D8223E">
        <w:rPr>
          <w:rFonts w:ascii="Times New Roman" w:hAnsi="Times New Roman" w:cs="Times New Roman"/>
          <w:color w:val="000000" w:themeColor="text1"/>
          <w:sz w:val="24"/>
          <w:szCs w:val="24"/>
        </w:rPr>
        <w:t>elastography</w:t>
      </w:r>
      <w:proofErr w:type="spellEnd"/>
      <w:r w:rsidRPr="00D8223E">
        <w:rPr>
          <w:rFonts w:ascii="Times New Roman" w:hAnsi="Times New Roman" w:cs="Times New Roman"/>
          <w:color w:val="000000" w:themeColor="text1"/>
          <w:sz w:val="24"/>
          <w:szCs w:val="24"/>
        </w:rPr>
        <w:t xml:space="preserve">, hepatic histopathology and imaging (including abdominal ultrasonography and </w:t>
      </w:r>
      <w:r w:rsidRPr="00D8223E">
        <w:rPr>
          <w:rFonts w:ascii="Times New Roman" w:hAnsi="Times New Roman" w:cs="Times New Roman"/>
          <w:color w:val="000000" w:themeColor="text1"/>
          <w:sz w:val="24"/>
          <w:szCs w:val="24"/>
        </w:rPr>
        <w:lastRenderedPageBreak/>
        <w:t xml:space="preserve">magnetic resonance imaging or MRI, if available) reports, </w:t>
      </w:r>
      <w:r w:rsidRPr="00D8223E">
        <w:rPr>
          <w:rStyle w:val="A17"/>
          <w:rFonts w:ascii="Times New Roman" w:hAnsi="Times New Roman" w:cs="Times New Roman"/>
          <w:color w:val="000000" w:themeColor="text1"/>
          <w:sz w:val="24"/>
          <w:szCs w:val="24"/>
        </w:rPr>
        <w:t xml:space="preserve">were retrieved from hospital electronic case records, after ethical committee approval and entered in a standard </w:t>
      </w:r>
      <w:proofErr w:type="spellStart"/>
      <w:r w:rsidRPr="00D8223E">
        <w:rPr>
          <w:rStyle w:val="A17"/>
          <w:rFonts w:ascii="Times New Roman" w:hAnsi="Times New Roman" w:cs="Times New Roman"/>
          <w:color w:val="000000" w:themeColor="text1"/>
          <w:sz w:val="24"/>
          <w:szCs w:val="24"/>
        </w:rPr>
        <w:t>proforma</w:t>
      </w:r>
      <w:proofErr w:type="spellEnd"/>
      <w:r w:rsidRPr="00D8223E">
        <w:rPr>
          <w:rStyle w:val="A17"/>
          <w:rFonts w:ascii="Times New Roman" w:hAnsi="Times New Roman" w:cs="Times New Roman"/>
          <w:color w:val="000000" w:themeColor="text1"/>
          <w:sz w:val="24"/>
          <w:szCs w:val="24"/>
        </w:rPr>
        <w:t xml:space="preserve">. Indication of biliary MRI imaging was high serum gamma </w:t>
      </w:r>
      <w:proofErr w:type="spellStart"/>
      <w:r w:rsidRPr="00D8223E">
        <w:rPr>
          <w:rStyle w:val="A17"/>
          <w:rFonts w:ascii="Times New Roman" w:hAnsi="Times New Roman" w:cs="Times New Roman"/>
          <w:color w:val="000000" w:themeColor="text1"/>
          <w:sz w:val="24"/>
          <w:szCs w:val="24"/>
        </w:rPr>
        <w:t>glutamyl</w:t>
      </w:r>
      <w:proofErr w:type="spellEnd"/>
      <w:r w:rsidRPr="00D8223E">
        <w:rPr>
          <w:rStyle w:val="A17"/>
          <w:rFonts w:ascii="Times New Roman" w:hAnsi="Times New Roman" w:cs="Times New Roman"/>
          <w:color w:val="000000" w:themeColor="text1"/>
          <w:sz w:val="24"/>
          <w:szCs w:val="24"/>
        </w:rPr>
        <w:t xml:space="preserve"> </w:t>
      </w:r>
      <w:proofErr w:type="spellStart"/>
      <w:r w:rsidRPr="00D8223E">
        <w:rPr>
          <w:rStyle w:val="A17"/>
          <w:rFonts w:ascii="Times New Roman" w:hAnsi="Times New Roman" w:cs="Times New Roman"/>
          <w:color w:val="000000" w:themeColor="text1"/>
          <w:sz w:val="24"/>
          <w:szCs w:val="24"/>
        </w:rPr>
        <w:t>transpeptidase</w:t>
      </w:r>
      <w:proofErr w:type="spellEnd"/>
      <w:r w:rsidRPr="00D8223E">
        <w:rPr>
          <w:rStyle w:val="A17"/>
          <w:rFonts w:ascii="Times New Roman" w:hAnsi="Times New Roman" w:cs="Times New Roman"/>
          <w:color w:val="000000" w:themeColor="text1"/>
          <w:sz w:val="24"/>
          <w:szCs w:val="24"/>
        </w:rPr>
        <w:t xml:space="preserve"> levels, inadequate response to immunosuppression</w:t>
      </w:r>
      <w:r w:rsidR="00FD4D20" w:rsidRPr="00D8223E">
        <w:rPr>
          <w:rStyle w:val="A17"/>
          <w:rFonts w:ascii="Times New Roman" w:hAnsi="Times New Roman" w:cs="Times New Roman"/>
          <w:color w:val="000000" w:themeColor="text1"/>
          <w:sz w:val="24"/>
          <w:szCs w:val="24"/>
        </w:rPr>
        <w:t>, biliary abnormalities on abdominal ultrasonography</w:t>
      </w:r>
      <w:r w:rsidRPr="00D8223E">
        <w:rPr>
          <w:rStyle w:val="A17"/>
          <w:rFonts w:ascii="Times New Roman" w:hAnsi="Times New Roman" w:cs="Times New Roman"/>
          <w:color w:val="000000" w:themeColor="text1"/>
          <w:sz w:val="24"/>
          <w:szCs w:val="24"/>
        </w:rPr>
        <w:t xml:space="preserve"> and/or presence of significant biliary disease on hepatic histopathology. Auto-antibodies tested in all subjects included: </w:t>
      </w:r>
      <w:r w:rsidRPr="00D8223E">
        <w:rPr>
          <w:rFonts w:ascii="Times New Roman" w:eastAsiaTheme="minorHAnsi" w:hAnsi="Times New Roman" w:cs="Times New Roman"/>
          <w:color w:val="000000" w:themeColor="text1"/>
          <w:sz w:val="24"/>
          <w:szCs w:val="18"/>
          <w:lang w:val="en-US" w:eastAsia="en-US"/>
        </w:rPr>
        <w:t xml:space="preserve">antinuclear antibody (ANA), anti smooth muscle antibody (ASMA) and p-antinuclear cytoplasmic antibody (p-ANCA) by indirect </w:t>
      </w:r>
      <w:proofErr w:type="spellStart"/>
      <w:r w:rsidRPr="00D8223E">
        <w:rPr>
          <w:rFonts w:ascii="Times New Roman" w:eastAsiaTheme="minorHAnsi" w:hAnsi="Times New Roman" w:cs="Times New Roman"/>
          <w:color w:val="000000" w:themeColor="text1"/>
          <w:sz w:val="24"/>
          <w:szCs w:val="18"/>
          <w:lang w:val="en-US" w:eastAsia="en-US"/>
        </w:rPr>
        <w:t>immunosfluorescence</w:t>
      </w:r>
      <w:proofErr w:type="spellEnd"/>
      <w:r w:rsidRPr="00D8223E">
        <w:rPr>
          <w:rFonts w:ascii="Times New Roman" w:eastAsiaTheme="minorHAnsi" w:hAnsi="Times New Roman" w:cs="Times New Roman"/>
          <w:color w:val="000000" w:themeColor="text1"/>
          <w:sz w:val="24"/>
          <w:szCs w:val="18"/>
          <w:lang w:val="en-US" w:eastAsia="en-US"/>
        </w:rPr>
        <w:t xml:space="preserve"> (IF); anti liver and kidney type 1 (anti LKM1) and anti-soluble liver antigen (anti SLA) by Western blot method. Also, subjects were tested for IgA-anti tissue transglutaminase </w:t>
      </w:r>
      <w:r w:rsidRPr="00D8223E">
        <w:rPr>
          <w:rFonts w:ascii="Times New Roman" w:eastAsiaTheme="minorHAnsi" w:hAnsi="Times New Roman" w:cs="Times New Roman"/>
          <w:color w:val="000000" w:themeColor="text1"/>
          <w:sz w:val="24"/>
          <w:szCs w:val="24"/>
          <w:lang w:val="en-US" w:eastAsia="en-US"/>
        </w:rPr>
        <w:t xml:space="preserve">antibodies (IgA-TTG, by </w:t>
      </w:r>
      <w:r w:rsidRPr="00D8223E">
        <w:rPr>
          <w:rFonts w:ascii="Times New Roman" w:hAnsi="Times New Roman" w:cs="Times New Roman"/>
          <w:color w:val="000000" w:themeColor="text1"/>
          <w:sz w:val="24"/>
          <w:szCs w:val="24"/>
          <w:shd w:val="clear" w:color="auto" w:fill="FFFFFF"/>
        </w:rPr>
        <w:t>enzyme-linked immunosorbent assay/ELISA</w:t>
      </w:r>
      <w:r w:rsidRPr="00D8223E">
        <w:rPr>
          <w:rFonts w:ascii="Times New Roman" w:eastAsiaTheme="minorHAnsi" w:hAnsi="Times New Roman" w:cs="Times New Roman"/>
          <w:color w:val="000000" w:themeColor="text1"/>
          <w:sz w:val="24"/>
          <w:szCs w:val="24"/>
          <w:lang w:val="en-US" w:eastAsia="en-US"/>
        </w:rPr>
        <w:t>) and anti-liver cyt</w:t>
      </w:r>
      <w:r w:rsidRPr="00D8223E">
        <w:rPr>
          <w:rFonts w:ascii="Times New Roman" w:eastAsiaTheme="minorHAnsi" w:hAnsi="Times New Roman" w:cs="Times New Roman"/>
          <w:color w:val="000000" w:themeColor="text1"/>
          <w:sz w:val="24"/>
          <w:szCs w:val="18"/>
          <w:lang w:val="en-US" w:eastAsia="en-US"/>
        </w:rPr>
        <w:t xml:space="preserve">osol antibody-1 (anti-LC-1, by Western blot method), as per clinical picture and </w:t>
      </w:r>
      <w:r w:rsidR="00A2586B" w:rsidRPr="00D8223E">
        <w:rPr>
          <w:rFonts w:ascii="Times New Roman" w:eastAsiaTheme="minorHAnsi" w:hAnsi="Times New Roman" w:cs="Times New Roman"/>
          <w:color w:val="000000" w:themeColor="text1"/>
          <w:sz w:val="24"/>
          <w:szCs w:val="18"/>
          <w:lang w:val="en-US" w:eastAsia="en-US"/>
        </w:rPr>
        <w:t xml:space="preserve">logistic(s) </w:t>
      </w:r>
      <w:r w:rsidRPr="00D8223E">
        <w:rPr>
          <w:rFonts w:ascii="Times New Roman" w:eastAsiaTheme="minorHAnsi" w:hAnsi="Times New Roman" w:cs="Times New Roman"/>
          <w:color w:val="000000" w:themeColor="text1"/>
          <w:sz w:val="24"/>
          <w:szCs w:val="18"/>
          <w:lang w:val="en-US" w:eastAsia="en-US"/>
        </w:rPr>
        <w:t>availability. Mutation testing of TPMT (</w:t>
      </w:r>
      <w:proofErr w:type="spellStart"/>
      <w:r w:rsidRPr="00D8223E">
        <w:rPr>
          <w:rFonts w:ascii="Times New Roman" w:eastAsiaTheme="minorHAnsi" w:hAnsi="Times New Roman" w:cs="Times New Roman"/>
          <w:color w:val="000000" w:themeColor="text1"/>
          <w:sz w:val="24"/>
          <w:szCs w:val="18"/>
          <w:lang w:val="en-US" w:eastAsia="en-US"/>
        </w:rPr>
        <w:t>Thiopurine</w:t>
      </w:r>
      <w:proofErr w:type="spellEnd"/>
      <w:r w:rsidRPr="00D8223E">
        <w:rPr>
          <w:rFonts w:ascii="Times New Roman" w:eastAsiaTheme="minorHAnsi" w:hAnsi="Times New Roman" w:cs="Times New Roman"/>
          <w:color w:val="000000" w:themeColor="text1"/>
          <w:sz w:val="24"/>
          <w:szCs w:val="18"/>
          <w:lang w:val="en-US" w:eastAsia="en-US"/>
        </w:rPr>
        <w:t xml:space="preserve"> S- Methyltransferase) enzyme was done, as per logistics, in those patients with pre-treatment </w:t>
      </w:r>
      <w:proofErr w:type="spellStart"/>
      <w:r w:rsidRPr="00D8223E">
        <w:rPr>
          <w:rFonts w:ascii="Times New Roman" w:eastAsiaTheme="minorHAnsi" w:hAnsi="Times New Roman" w:cs="Times New Roman"/>
          <w:color w:val="000000" w:themeColor="text1"/>
          <w:sz w:val="24"/>
          <w:szCs w:val="18"/>
          <w:lang w:val="en-US" w:eastAsia="en-US"/>
        </w:rPr>
        <w:t>cytopenia</w:t>
      </w:r>
      <w:proofErr w:type="spellEnd"/>
      <w:r w:rsidRPr="00D8223E">
        <w:rPr>
          <w:rFonts w:ascii="Times New Roman" w:eastAsiaTheme="minorHAnsi" w:hAnsi="Times New Roman" w:cs="Times New Roman"/>
          <w:color w:val="000000" w:themeColor="text1"/>
          <w:sz w:val="24"/>
          <w:szCs w:val="18"/>
          <w:lang w:val="en-US" w:eastAsia="en-US"/>
        </w:rPr>
        <w:t xml:space="preserve"> or in those who developed </w:t>
      </w:r>
      <w:proofErr w:type="spellStart"/>
      <w:r w:rsidRPr="00D8223E">
        <w:rPr>
          <w:rFonts w:ascii="Times New Roman" w:eastAsiaTheme="minorHAnsi" w:hAnsi="Times New Roman" w:cs="Times New Roman"/>
          <w:color w:val="000000" w:themeColor="text1"/>
          <w:sz w:val="24"/>
          <w:szCs w:val="18"/>
          <w:lang w:val="en-US" w:eastAsia="en-US"/>
        </w:rPr>
        <w:t>cytopenias</w:t>
      </w:r>
      <w:proofErr w:type="spellEnd"/>
      <w:r w:rsidRPr="00D8223E">
        <w:rPr>
          <w:rFonts w:ascii="Times New Roman" w:eastAsiaTheme="minorHAnsi" w:hAnsi="Times New Roman" w:cs="Times New Roman"/>
          <w:color w:val="000000" w:themeColor="text1"/>
          <w:sz w:val="24"/>
          <w:szCs w:val="18"/>
          <w:lang w:val="en-US" w:eastAsia="en-US"/>
        </w:rPr>
        <w:t xml:space="preserve"> after treatment onset.  This included testing for three commoner mutations, i.e. mutations 2, 3B and 3C). Liver biopsy was performed in all cases, either by percutaneous or </w:t>
      </w:r>
      <w:proofErr w:type="spellStart"/>
      <w:r w:rsidRPr="00D8223E">
        <w:rPr>
          <w:rFonts w:ascii="Times New Roman" w:eastAsiaTheme="minorHAnsi" w:hAnsi="Times New Roman" w:cs="Times New Roman"/>
          <w:color w:val="000000" w:themeColor="text1"/>
          <w:sz w:val="24"/>
          <w:szCs w:val="18"/>
          <w:lang w:val="en-US" w:eastAsia="en-US"/>
        </w:rPr>
        <w:t>transjugular</w:t>
      </w:r>
      <w:proofErr w:type="spellEnd"/>
      <w:r w:rsidRPr="00D8223E">
        <w:rPr>
          <w:rFonts w:ascii="Times New Roman" w:eastAsiaTheme="minorHAnsi" w:hAnsi="Times New Roman" w:cs="Times New Roman"/>
          <w:color w:val="000000" w:themeColor="text1"/>
          <w:sz w:val="24"/>
          <w:szCs w:val="18"/>
          <w:lang w:val="en-US" w:eastAsia="en-US"/>
        </w:rPr>
        <w:t xml:space="preserve"> method.</w:t>
      </w:r>
      <w:r w:rsidRPr="00D8223E">
        <w:rPr>
          <w:rStyle w:val="ref-vol"/>
          <w:rFonts w:ascii="Times New Roman" w:hAnsi="Times New Roman" w:cs="Times New Roman"/>
          <w:color w:val="000000" w:themeColor="text1"/>
          <w:sz w:val="36"/>
          <w:szCs w:val="24"/>
        </w:rPr>
        <w:t xml:space="preserve"> </w:t>
      </w:r>
      <w:r w:rsidRPr="00D8223E">
        <w:rPr>
          <w:rFonts w:ascii="Times New Roman" w:eastAsiaTheme="minorHAnsi" w:hAnsi="Times New Roman" w:cs="Times New Roman"/>
          <w:color w:val="000000" w:themeColor="text1"/>
          <w:sz w:val="24"/>
          <w:szCs w:val="24"/>
          <w:lang w:val="en-US" w:eastAsia="en-US"/>
        </w:rPr>
        <w:t xml:space="preserve">Hepatic histopathology was verified independently by two trained and blinded </w:t>
      </w:r>
      <w:proofErr w:type="spellStart"/>
      <w:r w:rsidRPr="00D8223E">
        <w:rPr>
          <w:rFonts w:ascii="Times New Roman" w:eastAsiaTheme="minorHAnsi" w:hAnsi="Times New Roman" w:cs="Times New Roman"/>
          <w:color w:val="000000" w:themeColor="text1"/>
          <w:sz w:val="24"/>
          <w:szCs w:val="24"/>
          <w:lang w:val="en-US" w:eastAsia="en-US"/>
        </w:rPr>
        <w:t>hepatopathologists</w:t>
      </w:r>
      <w:proofErr w:type="spellEnd"/>
      <w:r w:rsidRPr="00D8223E">
        <w:rPr>
          <w:rFonts w:ascii="Times New Roman" w:eastAsiaTheme="minorHAnsi" w:hAnsi="Times New Roman" w:cs="Times New Roman"/>
          <w:color w:val="000000" w:themeColor="text1"/>
          <w:sz w:val="24"/>
          <w:szCs w:val="24"/>
          <w:lang w:val="en-US" w:eastAsia="en-US"/>
        </w:rPr>
        <w:t xml:space="preserve"> [AR and CB]. Standard d</w:t>
      </w:r>
      <w:r w:rsidRPr="00D8223E">
        <w:rPr>
          <w:rStyle w:val="apple-converted-space"/>
          <w:rFonts w:ascii="Times New Roman" w:hAnsi="Times New Roman" w:cs="Times New Roman"/>
          <w:color w:val="000000" w:themeColor="text1"/>
          <w:sz w:val="24"/>
          <w:szCs w:val="24"/>
        </w:rPr>
        <w:t xml:space="preserve">iagnostic work up also included that for other major causes of liver diseases: infectious (Hepatitis A/Hepatitis E/Hepatitis B/Epstein Barr virus/Cytomegalovirus), Wilson’s disease, hepatic vascular disorders, structural biliary disorders etc, as per clinical picture. </w:t>
      </w:r>
    </w:p>
    <w:p w:rsidR="00B85399" w:rsidRPr="00D8223E" w:rsidRDefault="00B85399" w:rsidP="00B85399">
      <w:pPr>
        <w:spacing w:after="0" w:line="480" w:lineRule="auto"/>
        <w:jc w:val="both"/>
        <w:rPr>
          <w:rFonts w:ascii="Times New Roman" w:eastAsiaTheme="minorHAnsi" w:hAnsi="Times New Roman" w:cs="Times New Roman"/>
          <w:color w:val="000000" w:themeColor="text1"/>
          <w:sz w:val="24"/>
          <w:szCs w:val="24"/>
          <w:lang w:val="en-US" w:eastAsia="en-US"/>
        </w:rPr>
      </w:pPr>
      <w:r w:rsidRPr="00D8223E">
        <w:rPr>
          <w:rStyle w:val="A17"/>
          <w:rFonts w:ascii="Times New Roman" w:hAnsi="Times New Roman" w:cs="Times New Roman"/>
          <w:color w:val="000000" w:themeColor="text1"/>
          <w:sz w:val="24"/>
          <w:szCs w:val="24"/>
        </w:rPr>
        <w:t>Clinical presentation of all cases was classified into: acute liver failure (as per standard definition, [</w:t>
      </w:r>
      <w:r w:rsidR="001A65B3" w:rsidRPr="00D8223E">
        <w:rPr>
          <w:rStyle w:val="A17"/>
          <w:rFonts w:ascii="Times New Roman" w:hAnsi="Times New Roman" w:cs="Times New Roman"/>
          <w:color w:val="000000" w:themeColor="text1"/>
          <w:sz w:val="24"/>
          <w:szCs w:val="24"/>
        </w:rPr>
        <w:t>3</w:t>
      </w:r>
      <w:r w:rsidRPr="00D8223E">
        <w:rPr>
          <w:rStyle w:val="A17"/>
          <w:rFonts w:ascii="Times New Roman" w:hAnsi="Times New Roman" w:cs="Times New Roman"/>
          <w:color w:val="000000" w:themeColor="text1"/>
          <w:sz w:val="24"/>
          <w:szCs w:val="24"/>
        </w:rPr>
        <w:t xml:space="preserve">]), acute hepatitis (acute and index presentation without acute liver failure or advanced hepatic fibrosis (defined as </w:t>
      </w:r>
      <w:r w:rsidRPr="00D8223E">
        <w:rPr>
          <w:rStyle w:val="A17"/>
          <w:rFonts w:ascii="Times New Roman" w:hAnsi="Times New Roman" w:cs="Times New Roman"/>
          <w:color w:val="000000" w:themeColor="text1"/>
          <w:sz w:val="24"/>
          <w:szCs w:val="24"/>
          <w:u w:val="single"/>
        </w:rPr>
        <w:t>&gt;</w:t>
      </w:r>
      <w:r w:rsidRPr="00D8223E">
        <w:rPr>
          <w:rStyle w:val="A17"/>
          <w:rFonts w:ascii="Times New Roman" w:hAnsi="Times New Roman" w:cs="Times New Roman"/>
          <w:color w:val="000000" w:themeColor="text1"/>
          <w:sz w:val="24"/>
          <w:szCs w:val="24"/>
        </w:rPr>
        <w:t xml:space="preserve"> F4 fibrosis as per </w:t>
      </w:r>
      <w:proofErr w:type="spellStart"/>
      <w:r w:rsidRPr="00D8223E">
        <w:rPr>
          <w:rStyle w:val="A17"/>
          <w:rFonts w:ascii="Times New Roman" w:hAnsi="Times New Roman" w:cs="Times New Roman"/>
          <w:color w:val="000000" w:themeColor="text1"/>
          <w:sz w:val="24"/>
          <w:szCs w:val="24"/>
        </w:rPr>
        <w:t>Ishak</w:t>
      </w:r>
      <w:proofErr w:type="spellEnd"/>
      <w:r w:rsidRPr="00D8223E">
        <w:rPr>
          <w:rStyle w:val="A17"/>
          <w:rFonts w:ascii="Times New Roman" w:hAnsi="Times New Roman" w:cs="Times New Roman"/>
          <w:color w:val="000000" w:themeColor="text1"/>
          <w:sz w:val="24"/>
          <w:szCs w:val="24"/>
        </w:rPr>
        <w:t xml:space="preserve"> staging system [</w:t>
      </w:r>
      <w:r w:rsidR="001A65B3" w:rsidRPr="00D8223E">
        <w:rPr>
          <w:rStyle w:val="A17"/>
          <w:rFonts w:ascii="Times New Roman" w:hAnsi="Times New Roman" w:cs="Times New Roman"/>
          <w:color w:val="000000" w:themeColor="text1"/>
          <w:sz w:val="24"/>
          <w:szCs w:val="24"/>
        </w:rPr>
        <w:t>4</w:t>
      </w:r>
      <w:r w:rsidRPr="00D8223E">
        <w:rPr>
          <w:rStyle w:val="A17"/>
          <w:rFonts w:ascii="Times New Roman" w:hAnsi="Times New Roman" w:cs="Times New Roman"/>
          <w:color w:val="000000" w:themeColor="text1"/>
          <w:sz w:val="24"/>
          <w:szCs w:val="24"/>
        </w:rPr>
        <w:t xml:space="preserve">]), chronic hepatitis (prolonged or recurrent symptoms without advanced hepatic fibrosis), chronic liver disease (based on advanced hepatic fibrosis, with or without decompensation defined based </w:t>
      </w:r>
      <w:r w:rsidRPr="00D8223E">
        <w:rPr>
          <w:rStyle w:val="A17"/>
          <w:rFonts w:ascii="Times New Roman" w:hAnsi="Times New Roman" w:cs="Times New Roman"/>
          <w:color w:val="000000" w:themeColor="text1"/>
          <w:sz w:val="24"/>
          <w:szCs w:val="24"/>
        </w:rPr>
        <w:lastRenderedPageBreak/>
        <w:t>on presence or absence of variceal bleed, ascites and/or hepatic encephalopathy) and acute on chronic liver failure (as per standard criteria</w:t>
      </w:r>
      <w:r w:rsidR="00F31197" w:rsidRPr="00D8223E">
        <w:rPr>
          <w:rStyle w:val="A17"/>
          <w:rFonts w:ascii="Times New Roman" w:hAnsi="Times New Roman" w:cs="Times New Roman"/>
          <w:color w:val="000000" w:themeColor="text1"/>
          <w:sz w:val="24"/>
          <w:szCs w:val="24"/>
        </w:rPr>
        <w:t xml:space="preserve"> [</w:t>
      </w:r>
      <w:r w:rsidR="001A65B3" w:rsidRPr="00D8223E">
        <w:rPr>
          <w:rStyle w:val="A17"/>
          <w:rFonts w:ascii="Times New Roman" w:hAnsi="Times New Roman" w:cs="Times New Roman"/>
          <w:color w:val="000000" w:themeColor="text1"/>
          <w:sz w:val="24"/>
          <w:szCs w:val="24"/>
        </w:rPr>
        <w:t>5</w:t>
      </w:r>
      <w:r w:rsidRPr="00D8223E">
        <w:rPr>
          <w:rStyle w:val="A17"/>
          <w:rFonts w:ascii="Times New Roman" w:hAnsi="Times New Roman" w:cs="Times New Roman"/>
          <w:color w:val="000000" w:themeColor="text1"/>
          <w:sz w:val="24"/>
          <w:szCs w:val="24"/>
        </w:rPr>
        <w:t xml:space="preserve">]). </w:t>
      </w:r>
      <w:r w:rsidRPr="00D8223E">
        <w:rPr>
          <w:rStyle w:val="ref-vol"/>
          <w:rFonts w:ascii="Times New Roman" w:hAnsi="Times New Roman"/>
          <w:color w:val="000000" w:themeColor="text1"/>
          <w:sz w:val="24"/>
          <w:szCs w:val="24"/>
        </w:rPr>
        <w:t>Patients were subjected to upper esophageal endoscopy for variceal screening, and varices and portal hypertensive gastropathy (PHG) were graded as per standard definitions [</w:t>
      </w:r>
      <w:r w:rsidR="001A65B3" w:rsidRPr="00D8223E">
        <w:rPr>
          <w:rStyle w:val="ref-vol"/>
          <w:rFonts w:ascii="Times New Roman" w:hAnsi="Times New Roman"/>
          <w:color w:val="000000" w:themeColor="text1"/>
          <w:sz w:val="24"/>
          <w:szCs w:val="24"/>
        </w:rPr>
        <w:t>6, 7</w:t>
      </w:r>
      <w:r w:rsidRPr="00D8223E">
        <w:rPr>
          <w:rStyle w:val="ref-vol"/>
          <w:rFonts w:ascii="Times New Roman" w:hAnsi="Times New Roman"/>
          <w:color w:val="000000" w:themeColor="text1"/>
          <w:sz w:val="24"/>
          <w:szCs w:val="24"/>
        </w:rPr>
        <w:t xml:space="preserve">]. </w:t>
      </w:r>
      <w:r w:rsidRPr="00D8223E">
        <w:rPr>
          <w:rStyle w:val="A17"/>
          <w:rFonts w:ascii="Times New Roman" w:hAnsi="Times New Roman" w:cs="Times New Roman"/>
          <w:color w:val="000000" w:themeColor="text1"/>
          <w:sz w:val="24"/>
          <w:szCs w:val="24"/>
        </w:rPr>
        <w:t>P</w:t>
      </w:r>
      <w:r w:rsidRPr="00D8223E">
        <w:rPr>
          <w:rStyle w:val="ref-vol"/>
          <w:rFonts w:ascii="Times New Roman" w:hAnsi="Times New Roman"/>
          <w:color w:val="000000" w:themeColor="text1"/>
          <w:sz w:val="24"/>
          <w:szCs w:val="24"/>
        </w:rPr>
        <w:t xml:space="preserve">ortal hypertension (PHTN) was defined when </w:t>
      </w:r>
      <w:r w:rsidRPr="00D8223E">
        <w:rPr>
          <w:rStyle w:val="ref-vol"/>
          <w:rFonts w:ascii="Times New Roman" w:hAnsi="Times New Roman"/>
          <w:color w:val="000000" w:themeColor="text1"/>
          <w:sz w:val="24"/>
          <w:szCs w:val="24"/>
          <w:u w:val="single"/>
        </w:rPr>
        <w:t>&gt;</w:t>
      </w:r>
      <w:r w:rsidRPr="00D8223E">
        <w:rPr>
          <w:rStyle w:val="ref-vol"/>
          <w:rFonts w:ascii="Times New Roman" w:hAnsi="Times New Roman"/>
          <w:color w:val="000000" w:themeColor="text1"/>
          <w:sz w:val="24"/>
          <w:szCs w:val="24"/>
        </w:rPr>
        <w:t xml:space="preserve"> 1 of following were present- gastro-esophageal varices on upper gastrointestinal endoscopy, </w:t>
      </w:r>
      <w:r w:rsidRPr="00D8223E">
        <w:rPr>
          <w:rStyle w:val="ref-vol"/>
          <w:rFonts w:ascii="Times New Roman" w:hAnsi="Times New Roman"/>
          <w:color w:val="000000" w:themeColor="text1"/>
          <w:sz w:val="24"/>
          <w:szCs w:val="24"/>
          <w:u w:val="single"/>
        </w:rPr>
        <w:t>&gt;</w:t>
      </w:r>
      <w:r w:rsidRPr="00D8223E">
        <w:rPr>
          <w:rStyle w:val="ref-vol"/>
          <w:rFonts w:ascii="Times New Roman" w:hAnsi="Times New Roman"/>
          <w:color w:val="000000" w:themeColor="text1"/>
          <w:sz w:val="24"/>
          <w:szCs w:val="24"/>
        </w:rPr>
        <w:t xml:space="preserve"> grade 3</w:t>
      </w:r>
      <w:r w:rsidR="001A65B3" w:rsidRPr="00D8223E">
        <w:rPr>
          <w:rStyle w:val="ref-vol"/>
          <w:rFonts w:ascii="Times New Roman" w:hAnsi="Times New Roman"/>
          <w:color w:val="000000" w:themeColor="text1"/>
          <w:sz w:val="24"/>
          <w:szCs w:val="24"/>
        </w:rPr>
        <w:t xml:space="preserve"> splenomegaly [8</w:t>
      </w:r>
      <w:r w:rsidRPr="00D8223E">
        <w:rPr>
          <w:rStyle w:val="ref-vol"/>
          <w:rFonts w:ascii="Times New Roman" w:hAnsi="Times New Roman"/>
          <w:color w:val="000000" w:themeColor="text1"/>
          <w:sz w:val="24"/>
          <w:szCs w:val="24"/>
        </w:rPr>
        <w:t>], age appropriate dilatation of portal vein</w:t>
      </w:r>
      <w:r w:rsidR="001A65B3" w:rsidRPr="00D8223E">
        <w:rPr>
          <w:rStyle w:val="ref-vol"/>
          <w:rFonts w:ascii="Times New Roman" w:hAnsi="Times New Roman"/>
          <w:color w:val="000000" w:themeColor="text1"/>
          <w:sz w:val="24"/>
          <w:szCs w:val="24"/>
        </w:rPr>
        <w:t xml:space="preserve"> [9</w:t>
      </w:r>
      <w:r w:rsidRPr="00D8223E">
        <w:rPr>
          <w:rStyle w:val="ref-vol"/>
          <w:rFonts w:ascii="Times New Roman" w:hAnsi="Times New Roman"/>
          <w:color w:val="000000" w:themeColor="text1"/>
          <w:sz w:val="24"/>
          <w:szCs w:val="24"/>
        </w:rPr>
        <w:t xml:space="preserve">] and/or porto-venous collaterals on abdominal imaging). </w:t>
      </w:r>
    </w:p>
    <w:p w:rsidR="00B85399" w:rsidRPr="00D8223E" w:rsidRDefault="00B85399" w:rsidP="00B85399">
      <w:pPr>
        <w:spacing w:after="0" w:line="480" w:lineRule="auto"/>
        <w:jc w:val="both"/>
        <w:rPr>
          <w:rFonts w:ascii="Times New Roman" w:eastAsiaTheme="minorHAnsi" w:hAnsi="Times New Roman" w:cs="Times New Roman"/>
          <w:color w:val="000000" w:themeColor="text1"/>
          <w:sz w:val="24"/>
          <w:szCs w:val="18"/>
          <w:lang w:val="en-US" w:eastAsia="en-US"/>
        </w:rPr>
      </w:pPr>
      <w:r w:rsidRPr="00D8223E">
        <w:rPr>
          <w:rStyle w:val="ref-vol"/>
          <w:rFonts w:ascii="Times New Roman" w:hAnsi="Times New Roman"/>
          <w:color w:val="000000" w:themeColor="text1"/>
          <w:sz w:val="24"/>
          <w:szCs w:val="24"/>
        </w:rPr>
        <w:t xml:space="preserve">AIH cases were classified into various types: type 1 AIH (positive ANA and/or ASMA); type 2 AIH (positive anti LKM-1 and/or anti LC-1 antibody); seronegative (negative ANA, ASMA, anti LKM-1 antibody and anti-SLA, on at least two occasions); and unclassified (varying combinations of antibodies, e.g ANA + anti LKM-1 etc).     </w:t>
      </w:r>
    </w:p>
    <w:p w:rsidR="00B85399" w:rsidRPr="00D8223E" w:rsidRDefault="00B85399"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All patients with AIH received conventional treatment with prednisolone (dose 1-2 mg/kg/day), initiated alone or in combination with azathioprine (dose 1-2.5 mg/kg/day), </w:t>
      </w:r>
      <w:r w:rsidR="00C92EE3" w:rsidRPr="00D8223E">
        <w:rPr>
          <w:rFonts w:ascii="Times New Roman" w:hAnsi="Times New Roman" w:cs="Times New Roman"/>
          <w:color w:val="000000" w:themeColor="text1"/>
          <w:sz w:val="24"/>
          <w:szCs w:val="24"/>
        </w:rPr>
        <w:t xml:space="preserve">based on serum total bilirubin levels, </w:t>
      </w:r>
      <w:r w:rsidRPr="00D8223E">
        <w:rPr>
          <w:rFonts w:ascii="Times New Roman" w:hAnsi="Times New Roman" w:cs="Times New Roman"/>
          <w:color w:val="000000" w:themeColor="text1"/>
          <w:sz w:val="24"/>
          <w:szCs w:val="24"/>
        </w:rPr>
        <w:t xml:space="preserve">with maintenance therapy with azathioprine </w:t>
      </w:r>
      <w:r w:rsidR="00AA6BE9" w:rsidRPr="00D8223E">
        <w:rPr>
          <w:rFonts w:ascii="Times New Roman" w:hAnsi="Times New Roman" w:cs="Times New Roman"/>
          <w:color w:val="000000" w:themeColor="text1"/>
          <w:sz w:val="24"/>
          <w:szCs w:val="24"/>
        </w:rPr>
        <w:t>with or without low dose prednisolone (dose 0.05-0.1 mg/kg/day)</w:t>
      </w:r>
      <w:r w:rsidRPr="00D8223E">
        <w:rPr>
          <w:rFonts w:ascii="Times New Roman" w:hAnsi="Times New Roman" w:cs="Times New Roman"/>
          <w:color w:val="000000" w:themeColor="text1"/>
          <w:sz w:val="24"/>
          <w:szCs w:val="24"/>
        </w:rPr>
        <w:t xml:space="preserve">. Indications for use of second (mycophenolate </w:t>
      </w:r>
      <w:proofErr w:type="spellStart"/>
      <w:r w:rsidRPr="00D8223E">
        <w:rPr>
          <w:rFonts w:ascii="Times New Roman" w:hAnsi="Times New Roman" w:cs="Times New Roman"/>
          <w:color w:val="000000" w:themeColor="text1"/>
          <w:sz w:val="24"/>
          <w:szCs w:val="24"/>
        </w:rPr>
        <w:t>mofetil</w:t>
      </w:r>
      <w:proofErr w:type="spellEnd"/>
      <w:r w:rsidRPr="00D8223E">
        <w:rPr>
          <w:rFonts w:ascii="Times New Roman" w:hAnsi="Times New Roman" w:cs="Times New Roman"/>
          <w:color w:val="000000" w:themeColor="text1"/>
          <w:sz w:val="24"/>
          <w:szCs w:val="24"/>
        </w:rPr>
        <w:t xml:space="preserve">) and third (tacrolimus and </w:t>
      </w:r>
      <w:proofErr w:type="spellStart"/>
      <w:r w:rsidRPr="00D8223E">
        <w:rPr>
          <w:rFonts w:ascii="Times New Roman" w:hAnsi="Times New Roman" w:cs="Times New Roman"/>
          <w:color w:val="000000" w:themeColor="text1"/>
          <w:sz w:val="24"/>
          <w:szCs w:val="24"/>
        </w:rPr>
        <w:t>sirolimus</w:t>
      </w:r>
      <w:proofErr w:type="spellEnd"/>
      <w:r w:rsidRPr="00D8223E">
        <w:rPr>
          <w:rFonts w:ascii="Times New Roman" w:hAnsi="Times New Roman" w:cs="Times New Roman"/>
          <w:color w:val="000000" w:themeColor="text1"/>
          <w:sz w:val="24"/>
          <w:szCs w:val="24"/>
        </w:rPr>
        <w:t xml:space="preserve">) line therapies, in sequential manner, included the following: uncontrollable side effects of previous medications, failure of previous medications to induce remission despite at least 6 months of therapy and/or worsening of hepatic functions on previous medications). ASC cases were treated with AIH regimen along with </w:t>
      </w:r>
      <w:proofErr w:type="spellStart"/>
      <w:r w:rsidRPr="00D8223E">
        <w:rPr>
          <w:rFonts w:ascii="Times New Roman" w:hAnsi="Times New Roman" w:cs="Times New Roman"/>
          <w:color w:val="000000" w:themeColor="text1"/>
          <w:sz w:val="24"/>
          <w:szCs w:val="24"/>
        </w:rPr>
        <w:t>ursodeoxycholic</w:t>
      </w:r>
      <w:proofErr w:type="spellEnd"/>
      <w:r w:rsidRPr="00D8223E">
        <w:rPr>
          <w:rFonts w:ascii="Times New Roman" w:hAnsi="Times New Roman" w:cs="Times New Roman"/>
          <w:color w:val="000000" w:themeColor="text1"/>
          <w:sz w:val="24"/>
          <w:szCs w:val="24"/>
        </w:rPr>
        <w:t xml:space="preserve"> acid (dose 15-20 mg/kg/day) and biliary radiological interventions (dilatation with or without stenting) if needed. Remission</w:t>
      </w:r>
      <w:r w:rsidR="00E33E02" w:rsidRPr="00D8223E">
        <w:rPr>
          <w:rFonts w:ascii="Times New Roman" w:hAnsi="Times New Roman" w:cs="Times New Roman"/>
          <w:color w:val="000000" w:themeColor="text1"/>
          <w:sz w:val="24"/>
          <w:szCs w:val="24"/>
        </w:rPr>
        <w:t xml:space="preserve"> (for routine immunosuppression optimisation)</w:t>
      </w:r>
      <w:r w:rsidRPr="00D8223E">
        <w:rPr>
          <w:rFonts w:ascii="Times New Roman" w:hAnsi="Times New Roman" w:cs="Times New Roman"/>
          <w:color w:val="000000" w:themeColor="text1"/>
          <w:sz w:val="24"/>
          <w:szCs w:val="24"/>
        </w:rPr>
        <w:t xml:space="preserve"> was strictly defined as improvement in both serum </w:t>
      </w:r>
      <w:r w:rsidRPr="00D8223E">
        <w:rPr>
          <w:rFonts w:ascii="Times New Roman" w:eastAsiaTheme="minorHAnsi" w:hAnsi="Times New Roman" w:cs="Times New Roman"/>
          <w:color w:val="000000" w:themeColor="text1"/>
          <w:sz w:val="24"/>
          <w:szCs w:val="24"/>
          <w:lang w:val="en-US" w:eastAsia="en-US"/>
        </w:rPr>
        <w:t xml:space="preserve">alanine aminotransferase (ALT) and serum aspartate aminotransferase (AST) </w:t>
      </w:r>
      <w:r w:rsidRPr="00D8223E">
        <w:rPr>
          <w:rStyle w:val="A17"/>
          <w:rFonts w:ascii="Times New Roman" w:hAnsi="Times New Roman" w:cs="Times New Roman"/>
          <w:color w:val="000000" w:themeColor="text1"/>
          <w:sz w:val="24"/>
          <w:szCs w:val="24"/>
        </w:rPr>
        <w:t xml:space="preserve">to &lt; 1.5 upper limit of normal after starting of therapy. </w:t>
      </w:r>
    </w:p>
    <w:p w:rsidR="00B85399" w:rsidRPr="00D8223E" w:rsidRDefault="00B85399"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lastRenderedPageBreak/>
        <w:t>Extra-hepatic autoimmune disorders (EHADs) that were evaluated included: hypothyroidism (abnormal age-appropriate thyroid profile including free T4/free T3 and/or thyroid stimulating hormone/TSH levels on two occasions at least 3 weeks apart, with/without gland enlargement); celiac disease (defined as ‘classical celiac disease’ if high serum IgA TTG levels along with abnormal duodenal histology, and as ‘potential celiac disease’ if high serum tissue transglutaminase levels but no mucosal abnormalities or symptomatology, as per standard guidelines [</w:t>
      </w:r>
      <w:r w:rsidR="001A65B3" w:rsidRPr="00D8223E">
        <w:rPr>
          <w:rFonts w:ascii="Times New Roman" w:hAnsi="Times New Roman" w:cs="Times New Roman"/>
          <w:color w:val="000000" w:themeColor="text1"/>
          <w:sz w:val="24"/>
          <w:szCs w:val="24"/>
        </w:rPr>
        <w:t>10</w:t>
      </w:r>
      <w:r w:rsidR="00F31197" w:rsidRPr="00D8223E">
        <w:rPr>
          <w:rFonts w:ascii="Times New Roman" w:hAnsi="Times New Roman" w:cs="Times New Roman"/>
          <w:color w:val="000000" w:themeColor="text1"/>
          <w:sz w:val="24"/>
          <w:szCs w:val="24"/>
        </w:rPr>
        <w:t>,</w:t>
      </w:r>
      <w:r w:rsidR="001A65B3" w:rsidRPr="00D8223E">
        <w:rPr>
          <w:rFonts w:ascii="Times New Roman" w:hAnsi="Times New Roman" w:cs="Times New Roman"/>
          <w:color w:val="000000" w:themeColor="text1"/>
          <w:sz w:val="24"/>
          <w:szCs w:val="24"/>
        </w:rPr>
        <w:t>11</w:t>
      </w:r>
      <w:r w:rsidRPr="00D8223E">
        <w:rPr>
          <w:rFonts w:ascii="Times New Roman" w:hAnsi="Times New Roman" w:cs="Times New Roman"/>
          <w:color w:val="000000" w:themeColor="text1"/>
          <w:sz w:val="24"/>
          <w:szCs w:val="24"/>
        </w:rPr>
        <w:t xml:space="preserve">]); skin disease (clinical evidence of vitiligo/alopecia/psoriasis/ichthyosis); </w:t>
      </w:r>
      <w:proofErr w:type="spellStart"/>
      <w:r w:rsidRPr="00D8223E">
        <w:rPr>
          <w:rFonts w:ascii="Times New Roman" w:hAnsi="Times New Roman" w:cs="Times New Roman"/>
          <w:color w:val="000000" w:themeColor="text1"/>
          <w:sz w:val="24"/>
          <w:szCs w:val="24"/>
        </w:rPr>
        <w:t>hemolytic</w:t>
      </w:r>
      <w:proofErr w:type="spellEnd"/>
      <w:r w:rsidRPr="00D8223E">
        <w:rPr>
          <w:rFonts w:ascii="Times New Roman" w:hAnsi="Times New Roman" w:cs="Times New Roman"/>
          <w:color w:val="000000" w:themeColor="text1"/>
          <w:sz w:val="24"/>
          <w:szCs w:val="24"/>
        </w:rPr>
        <w:t xml:space="preserve"> </w:t>
      </w:r>
      <w:proofErr w:type="spellStart"/>
      <w:r w:rsidRPr="00D8223E">
        <w:rPr>
          <w:rFonts w:ascii="Times New Roman" w:hAnsi="Times New Roman" w:cs="Times New Roman"/>
          <w:color w:val="000000" w:themeColor="text1"/>
          <w:sz w:val="24"/>
          <w:szCs w:val="24"/>
        </w:rPr>
        <w:t>anemia</w:t>
      </w:r>
      <w:proofErr w:type="spellEnd"/>
      <w:r w:rsidRPr="00D8223E">
        <w:rPr>
          <w:rFonts w:ascii="Times New Roman" w:hAnsi="Times New Roman" w:cs="Times New Roman"/>
          <w:color w:val="000000" w:themeColor="text1"/>
          <w:sz w:val="24"/>
          <w:szCs w:val="24"/>
        </w:rPr>
        <w:t xml:space="preserve"> (positive direct coomb’s test, evidence of </w:t>
      </w:r>
      <w:proofErr w:type="spellStart"/>
      <w:r w:rsidRPr="00D8223E">
        <w:rPr>
          <w:rFonts w:ascii="Times New Roman" w:hAnsi="Times New Roman" w:cs="Times New Roman"/>
          <w:color w:val="000000" w:themeColor="text1"/>
          <w:sz w:val="24"/>
          <w:szCs w:val="24"/>
        </w:rPr>
        <w:t>hemolysis</w:t>
      </w:r>
      <w:proofErr w:type="spellEnd"/>
      <w:r w:rsidRPr="00D8223E">
        <w:rPr>
          <w:rFonts w:ascii="Times New Roman" w:hAnsi="Times New Roman" w:cs="Times New Roman"/>
          <w:color w:val="000000" w:themeColor="text1"/>
          <w:sz w:val="24"/>
          <w:szCs w:val="24"/>
        </w:rPr>
        <w:t xml:space="preserve"> on peripheral blood smear and corrected blood reticulocyte count &gt; 2 %); insulin-dependent diabetes mellitus/DM (as per standard criteria including absolute need of insulin for sugar control, young age of onset and/or history of ketoacidosis [</w:t>
      </w:r>
      <w:r w:rsidR="001A65B3" w:rsidRPr="00D8223E">
        <w:rPr>
          <w:rFonts w:ascii="Times New Roman" w:hAnsi="Times New Roman" w:cs="Times New Roman"/>
          <w:color w:val="000000" w:themeColor="text1"/>
          <w:sz w:val="24"/>
          <w:szCs w:val="24"/>
        </w:rPr>
        <w:t>12, 13</w:t>
      </w:r>
      <w:r w:rsidRPr="00D8223E">
        <w:rPr>
          <w:rFonts w:ascii="Times New Roman" w:hAnsi="Times New Roman" w:cs="Times New Roman"/>
          <w:color w:val="000000" w:themeColor="text1"/>
          <w:sz w:val="24"/>
          <w:szCs w:val="24"/>
        </w:rPr>
        <w:t>]</w:t>
      </w:r>
      <w:r w:rsidRPr="00D8223E">
        <w:rPr>
          <w:rFonts w:ascii="Times New Roman" w:hAnsi="Times New Roman" w:cs="Times New Roman"/>
          <w:color w:val="000000" w:themeColor="text1"/>
          <w:sz w:val="24"/>
          <w:szCs w:val="24"/>
          <w:shd w:val="clear" w:color="auto" w:fill="FFFFFF"/>
        </w:rPr>
        <w:t>);</w:t>
      </w:r>
      <w:r w:rsidRPr="00D8223E">
        <w:rPr>
          <w:rFonts w:ascii="Times New Roman" w:hAnsi="Times New Roman" w:cs="Times New Roman"/>
          <w:color w:val="000000" w:themeColor="text1"/>
          <w:sz w:val="24"/>
          <w:szCs w:val="24"/>
        </w:rPr>
        <w:t xml:space="preserve"> inflammatory bowel disease (based on clinical symptoms and bowel histopathology); and joint disease (arthritis/</w:t>
      </w:r>
      <w:proofErr w:type="spellStart"/>
      <w:r w:rsidRPr="00D8223E">
        <w:rPr>
          <w:rFonts w:ascii="Times New Roman" w:hAnsi="Times New Roman" w:cs="Times New Roman"/>
          <w:color w:val="000000" w:themeColor="text1"/>
          <w:sz w:val="24"/>
          <w:szCs w:val="24"/>
        </w:rPr>
        <w:t>artralgia</w:t>
      </w:r>
      <w:proofErr w:type="spellEnd"/>
      <w:r w:rsidRPr="00D8223E">
        <w:rPr>
          <w:rFonts w:ascii="Times New Roman" w:hAnsi="Times New Roman" w:cs="Times New Roman"/>
          <w:color w:val="000000" w:themeColor="text1"/>
          <w:sz w:val="24"/>
          <w:szCs w:val="24"/>
        </w:rPr>
        <w:t>).</w:t>
      </w:r>
    </w:p>
    <w:p w:rsidR="00F31197" w:rsidRPr="00D8223E" w:rsidRDefault="00F31197"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0955" w:rsidRPr="00D8223E" w:rsidRDefault="00DC0955"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0955" w:rsidRPr="00D8223E" w:rsidRDefault="00DC0955"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0955" w:rsidRPr="00D8223E" w:rsidRDefault="00DC0955"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0955" w:rsidRPr="00D8223E" w:rsidRDefault="00DC0955"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1A65B3"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1A65B3" w:rsidRPr="00D8223E" w:rsidRDefault="002A2880" w:rsidP="003F33E5">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SDC-2</w:t>
      </w:r>
      <w:r w:rsidR="001A65B3" w:rsidRPr="00D8223E">
        <w:rPr>
          <w:rFonts w:ascii="Times New Roman" w:hAnsi="Times New Roman" w:cs="Times New Roman"/>
          <w:b/>
          <w:color w:val="000000" w:themeColor="text1"/>
          <w:sz w:val="24"/>
          <w:szCs w:val="24"/>
        </w:rPr>
        <w:t>- Hepatic biopsy picture depicting classical Emperipolesis</w:t>
      </w:r>
      <w:r w:rsidR="003F33E5" w:rsidRPr="00D8223E">
        <w:rPr>
          <w:rFonts w:ascii="Times New Roman" w:hAnsi="Times New Roman" w:cs="Times New Roman"/>
          <w:b/>
          <w:color w:val="000000" w:themeColor="text1"/>
          <w:sz w:val="24"/>
          <w:szCs w:val="24"/>
        </w:rPr>
        <w:t xml:space="preserve"> (arrows)</w:t>
      </w:r>
      <w:r w:rsidR="001A65B3" w:rsidRPr="00D8223E">
        <w:rPr>
          <w:rFonts w:ascii="Times New Roman" w:hAnsi="Times New Roman" w:cs="Times New Roman"/>
          <w:b/>
          <w:color w:val="000000" w:themeColor="text1"/>
          <w:sz w:val="24"/>
          <w:szCs w:val="24"/>
        </w:rPr>
        <w:t xml:space="preserve"> </w:t>
      </w:r>
      <w:proofErr w:type="spellStart"/>
      <w:r w:rsidR="00DC3558" w:rsidRPr="00D8223E">
        <w:rPr>
          <w:rFonts w:ascii="Times New Roman" w:hAnsi="Times New Roman" w:cs="Times New Roman"/>
          <w:b/>
          <w:color w:val="000000" w:themeColor="text1"/>
          <w:sz w:val="24"/>
          <w:szCs w:val="24"/>
        </w:rPr>
        <w:t>i.e</w:t>
      </w:r>
      <w:proofErr w:type="spellEnd"/>
      <w:r w:rsidR="00DC3558" w:rsidRPr="00D8223E">
        <w:rPr>
          <w:rFonts w:ascii="Times New Roman" w:hAnsi="Times New Roman" w:cs="Times New Roman"/>
          <w:b/>
          <w:color w:val="000000" w:themeColor="text1"/>
          <w:sz w:val="24"/>
          <w:szCs w:val="24"/>
        </w:rPr>
        <w:t xml:space="preserve"> presence of a lymphocyte or a plasma cell within the cytoplasm of hepatocytes </w:t>
      </w:r>
      <w:r w:rsidR="001A65B3" w:rsidRPr="00D8223E">
        <w:rPr>
          <w:rFonts w:ascii="Times New Roman" w:hAnsi="Times New Roman" w:cs="Times New Roman"/>
          <w:b/>
          <w:color w:val="000000" w:themeColor="text1"/>
          <w:sz w:val="24"/>
          <w:szCs w:val="24"/>
        </w:rPr>
        <w:t xml:space="preserve">in a case of Autoimmune Liver Disease </w:t>
      </w: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3F33E5"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sidRPr="00D8223E">
        <w:rPr>
          <w:rFonts w:ascii="Times New Roman" w:hAnsi="Times New Roman" w:cs="Times New Roman"/>
          <w:b/>
          <w:noProof/>
          <w:color w:val="000000" w:themeColor="text1"/>
          <w:sz w:val="24"/>
          <w:szCs w:val="24"/>
          <w:lang w:val="en-US" w:eastAsia="en-US"/>
        </w:rPr>
        <w:drawing>
          <wp:inline distT="0" distB="0" distL="0" distR="0">
            <wp:extent cx="5731510" cy="4317516"/>
            <wp:effectExtent l="19050" t="0" r="2540" b="0"/>
            <wp:docPr id="3" name="Picture 1" descr="C:\Users\welcome\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Figure.jpg"/>
                    <pic:cNvPicPr>
                      <a:picLocks noChangeAspect="1" noChangeArrowheads="1"/>
                    </pic:cNvPicPr>
                  </pic:nvPicPr>
                  <pic:blipFill>
                    <a:blip r:embed="rId5" cstate="print"/>
                    <a:srcRect/>
                    <a:stretch>
                      <a:fillRect/>
                    </a:stretch>
                  </pic:blipFill>
                  <pic:spPr bwMode="auto">
                    <a:xfrm>
                      <a:off x="0" y="0"/>
                      <a:ext cx="5731510" cy="4317516"/>
                    </a:xfrm>
                    <a:prstGeom prst="rect">
                      <a:avLst/>
                    </a:prstGeom>
                    <a:noFill/>
                    <a:ln w="9525">
                      <a:noFill/>
                      <a:miter lim="800000"/>
                      <a:headEnd/>
                      <a:tailEnd/>
                    </a:ln>
                  </pic:spPr>
                </pic:pic>
              </a:graphicData>
            </a:graphic>
          </wp:inline>
        </w:drawing>
      </w: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3F33E5" w:rsidRPr="00D8223E" w:rsidRDefault="003F33E5"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1A65B3"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p>
    <w:p w:rsidR="00DC4957" w:rsidRPr="00D8223E" w:rsidRDefault="001A65B3" w:rsidP="00DC4957">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SDC-3</w:t>
      </w:r>
      <w:r w:rsidR="00DC4957" w:rsidRPr="00D8223E">
        <w:rPr>
          <w:rFonts w:ascii="Times New Roman" w:hAnsi="Times New Roman" w:cs="Times New Roman"/>
          <w:b/>
          <w:color w:val="000000" w:themeColor="text1"/>
          <w:sz w:val="24"/>
          <w:szCs w:val="24"/>
        </w:rPr>
        <w:t>- Spectrum of Extrahepatic Autoimmune Disorders (EHAD) in study population</w:t>
      </w:r>
    </w:p>
    <w:p w:rsidR="00DC4957" w:rsidRPr="00D8223E" w:rsidRDefault="00DC4957"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4957" w:rsidRPr="00D8223E" w:rsidRDefault="00DC4957"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noProof/>
          <w:color w:val="000000" w:themeColor="text1"/>
          <w:sz w:val="24"/>
          <w:szCs w:val="24"/>
          <w:lang w:val="en-US" w:eastAsia="en-US"/>
        </w:rPr>
        <w:drawing>
          <wp:inline distT="0" distB="0" distL="0" distR="0">
            <wp:extent cx="6256310" cy="3327991"/>
            <wp:effectExtent l="19050" t="0" r="0" b="0"/>
            <wp:docPr id="1" name="Picture 1" descr="F:\AI DS AIH\Final\AILD ILB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 DS AIH\Final\AILD ILBS\Figure 1.jpg"/>
                    <pic:cNvPicPr>
                      <a:picLocks noChangeAspect="1" noChangeArrowheads="1"/>
                    </pic:cNvPicPr>
                  </pic:nvPicPr>
                  <pic:blipFill>
                    <a:blip r:embed="rId6" cstate="print"/>
                    <a:srcRect/>
                    <a:stretch>
                      <a:fillRect/>
                    </a:stretch>
                  </pic:blipFill>
                  <pic:spPr bwMode="auto">
                    <a:xfrm>
                      <a:off x="0" y="0"/>
                      <a:ext cx="6256310" cy="3327991"/>
                    </a:xfrm>
                    <a:prstGeom prst="rect">
                      <a:avLst/>
                    </a:prstGeom>
                    <a:noFill/>
                    <a:ln w="9525">
                      <a:noFill/>
                      <a:miter lim="800000"/>
                      <a:headEnd/>
                      <a:tailEnd/>
                    </a:ln>
                  </pic:spPr>
                </pic:pic>
              </a:graphicData>
            </a:graphic>
          </wp:inline>
        </w:drawing>
      </w:r>
    </w:p>
    <w:p w:rsidR="00DC0955" w:rsidRPr="00D8223E" w:rsidRDefault="00DC4957" w:rsidP="00DC4957">
      <w:pPr>
        <w:autoSpaceDE w:val="0"/>
        <w:autoSpaceDN w:val="0"/>
        <w:adjustRightInd w:val="0"/>
        <w:spacing w:after="0" w:line="240" w:lineRule="auto"/>
        <w:jc w:val="both"/>
        <w:rPr>
          <w:rFonts w:ascii="Times New Roman" w:hAnsi="Times New Roman" w:cs="Times New Roman"/>
          <w:color w:val="000000" w:themeColor="text1"/>
          <w:sz w:val="20"/>
          <w:szCs w:val="24"/>
        </w:rPr>
      </w:pPr>
      <w:r w:rsidRPr="00D8223E">
        <w:rPr>
          <w:rFonts w:ascii="Times New Roman" w:hAnsi="Times New Roman" w:cs="Times New Roman"/>
          <w:color w:val="000000" w:themeColor="text1"/>
          <w:sz w:val="20"/>
          <w:szCs w:val="24"/>
        </w:rPr>
        <w:t xml:space="preserve">Abbreviations- AIHA- Autoimmune </w:t>
      </w:r>
      <w:proofErr w:type="spellStart"/>
      <w:r w:rsidRPr="00D8223E">
        <w:rPr>
          <w:rFonts w:ascii="Times New Roman" w:hAnsi="Times New Roman" w:cs="Times New Roman"/>
          <w:color w:val="000000" w:themeColor="text1"/>
          <w:sz w:val="20"/>
          <w:szCs w:val="24"/>
        </w:rPr>
        <w:t>Hemolytic</w:t>
      </w:r>
      <w:proofErr w:type="spellEnd"/>
      <w:r w:rsidRPr="00D8223E">
        <w:rPr>
          <w:rFonts w:ascii="Times New Roman" w:hAnsi="Times New Roman" w:cs="Times New Roman"/>
          <w:color w:val="000000" w:themeColor="text1"/>
          <w:sz w:val="20"/>
          <w:szCs w:val="24"/>
        </w:rPr>
        <w:t xml:space="preserve"> </w:t>
      </w:r>
      <w:proofErr w:type="spellStart"/>
      <w:r w:rsidRPr="00D8223E">
        <w:rPr>
          <w:rFonts w:ascii="Times New Roman" w:hAnsi="Times New Roman" w:cs="Times New Roman"/>
          <w:color w:val="000000" w:themeColor="text1"/>
          <w:sz w:val="20"/>
          <w:szCs w:val="24"/>
        </w:rPr>
        <w:t>anemia</w:t>
      </w:r>
      <w:proofErr w:type="spellEnd"/>
      <w:r w:rsidRPr="00D8223E">
        <w:rPr>
          <w:rFonts w:ascii="Times New Roman" w:hAnsi="Times New Roman" w:cs="Times New Roman"/>
          <w:color w:val="000000" w:themeColor="text1"/>
          <w:sz w:val="20"/>
          <w:szCs w:val="24"/>
        </w:rPr>
        <w:t>, DM- Diabetes Mellitus, IBD- Inflammatory Bowel disease</w:t>
      </w:r>
    </w:p>
    <w:p w:rsidR="00DC0955" w:rsidRPr="00D8223E" w:rsidRDefault="00DC0955" w:rsidP="00B85399">
      <w:pPr>
        <w:autoSpaceDE w:val="0"/>
        <w:autoSpaceDN w:val="0"/>
        <w:adjustRightInd w:val="0"/>
        <w:spacing w:after="0" w:line="480" w:lineRule="auto"/>
        <w:jc w:val="both"/>
        <w:rPr>
          <w:rFonts w:ascii="Times New Roman" w:hAnsi="Times New Roman" w:cs="Times New Roman"/>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1A65B3" w:rsidP="00A15CD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SDC-4</w:t>
      </w:r>
      <w:r w:rsidR="00DC4957" w:rsidRPr="00D8223E">
        <w:rPr>
          <w:rFonts w:ascii="Times New Roman" w:hAnsi="Times New Roman" w:cs="Times New Roman"/>
          <w:b/>
          <w:color w:val="000000" w:themeColor="text1"/>
          <w:sz w:val="24"/>
          <w:szCs w:val="24"/>
        </w:rPr>
        <w:t>- Details of Extrahepatic Autoimmune Disorders (EHAD</w:t>
      </w:r>
      <w:r w:rsidR="00BC234A" w:rsidRPr="00D8223E">
        <w:rPr>
          <w:rFonts w:ascii="Times New Roman" w:hAnsi="Times New Roman" w:cs="Times New Roman"/>
          <w:b/>
          <w:color w:val="000000" w:themeColor="text1"/>
          <w:sz w:val="24"/>
          <w:szCs w:val="24"/>
        </w:rPr>
        <w:t>s</w:t>
      </w:r>
      <w:r w:rsidR="00DC4957" w:rsidRPr="00D8223E">
        <w:rPr>
          <w:rFonts w:ascii="Times New Roman" w:hAnsi="Times New Roman" w:cs="Times New Roman"/>
          <w:b/>
          <w:color w:val="000000" w:themeColor="text1"/>
          <w:sz w:val="24"/>
          <w:szCs w:val="24"/>
        </w:rPr>
        <w:t>) in study population</w:t>
      </w: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EF37FC">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Overall 38 (44.7 %), out of total 85 subjects, subjects had evidence of EHADs. Out of these 38 subjects, 27 (31.8 %) had only single EHAD while 11 (12.9 %) had combination of two (10 subjects) or three (1 subject) EHADs. The distribution of EHADs included (alone or in combination) is depicted in </w:t>
      </w:r>
      <w:r w:rsidR="00F52E37" w:rsidRPr="00D8223E">
        <w:rPr>
          <w:rFonts w:ascii="Times New Roman" w:hAnsi="Times New Roman" w:cs="Times New Roman"/>
          <w:color w:val="000000" w:themeColor="text1"/>
          <w:sz w:val="24"/>
          <w:szCs w:val="24"/>
        </w:rPr>
        <w:t>SDC-2</w:t>
      </w:r>
      <w:r w:rsidRPr="00D8223E">
        <w:rPr>
          <w:rFonts w:ascii="Times New Roman" w:hAnsi="Times New Roman" w:cs="Times New Roman"/>
          <w:color w:val="000000" w:themeColor="text1"/>
          <w:sz w:val="24"/>
          <w:szCs w:val="24"/>
        </w:rPr>
        <w:t>. Family history of autoimmune disorders was positive in seen in 9 (10.5 %) subjects.</w:t>
      </w:r>
    </w:p>
    <w:p w:rsidR="00EF37FC" w:rsidRPr="00D8223E" w:rsidRDefault="00EF37FC" w:rsidP="00EF37FC">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The most common EHAD was AIHA, seen in total 30 (35.3 %) subjects. Work up for CD (serum TTG levels and serum total IgA levels) was available in 69 (81.2 %) subjects. Out of these, 10 subjects had evidence of gluten induced enteropathy with 5 patients in classical disease group and 5 patients in potential disease group. Median titres of s</w:t>
      </w:r>
      <w:r w:rsidR="00A54FCF" w:rsidRPr="00D8223E">
        <w:rPr>
          <w:rFonts w:ascii="Times New Roman" w:hAnsi="Times New Roman" w:cs="Times New Roman"/>
          <w:color w:val="000000" w:themeColor="text1"/>
          <w:sz w:val="24"/>
          <w:szCs w:val="24"/>
        </w:rPr>
        <w:t>erum TTG were 102 RU/ml (range 8</w:t>
      </w:r>
      <w:r w:rsidRPr="00D8223E">
        <w:rPr>
          <w:rFonts w:ascii="Times New Roman" w:hAnsi="Times New Roman" w:cs="Times New Roman"/>
          <w:color w:val="000000" w:themeColor="text1"/>
          <w:sz w:val="24"/>
          <w:szCs w:val="24"/>
        </w:rPr>
        <w:t>4-551). Four of these had seronegative AILD, and all, except two, achieved remission at median duration of 9 months. Three patients (aged 4 year 4 months, 12 year 4 months, and 15 year 2 months at presentation) were diagnosed as having DM, with all three having presented as diabetic ketoacidosis (DKA) after 15 weeks, 13 weeks and 43 months after institution of immunosuppression, respectively. The immunosuppression, at the time of diagnosis of DKA, was prednisolone (dose 0.1 mg/kg/day) + azathioprine (dose 2.2 mg/kg/day) (first patient), azathioprine monotherapy (2 mg/kg/day) (second patient) and prednisolone (0.5 mg/kg/day) + azathioprine (2.0 mg/kg/day) (third patient). Insulin antibodies were not available in any of the th</w:t>
      </w:r>
      <w:r w:rsidR="00A54FCF" w:rsidRPr="00D8223E">
        <w:rPr>
          <w:rFonts w:ascii="Times New Roman" w:hAnsi="Times New Roman" w:cs="Times New Roman"/>
          <w:color w:val="000000" w:themeColor="text1"/>
          <w:sz w:val="24"/>
          <w:szCs w:val="24"/>
        </w:rPr>
        <w:t>re</w:t>
      </w:r>
      <w:r w:rsidRPr="00D8223E">
        <w:rPr>
          <w:rFonts w:ascii="Times New Roman" w:hAnsi="Times New Roman" w:cs="Times New Roman"/>
          <w:color w:val="000000" w:themeColor="text1"/>
          <w:sz w:val="24"/>
          <w:szCs w:val="24"/>
        </w:rPr>
        <w:t xml:space="preserve">e cases due to logistic issues, while c-peptide level, available only in the third patient, was within normal range. The first child also had associated potential celiac disease, while second child also had associated vitiligo.  Overall, three patients had associated skin disease- 1 each with vitiligo, psoriasis and </w:t>
      </w:r>
      <w:proofErr w:type="spellStart"/>
      <w:r w:rsidRPr="00D8223E">
        <w:rPr>
          <w:rFonts w:ascii="Times New Roman" w:hAnsi="Times New Roman" w:cs="Times New Roman"/>
          <w:color w:val="000000" w:themeColor="text1"/>
          <w:sz w:val="24"/>
          <w:szCs w:val="24"/>
        </w:rPr>
        <w:t>icthyosis</w:t>
      </w:r>
      <w:proofErr w:type="spellEnd"/>
      <w:r w:rsidRPr="00D8223E">
        <w:rPr>
          <w:rFonts w:ascii="Times New Roman" w:hAnsi="Times New Roman" w:cs="Times New Roman"/>
          <w:color w:val="000000" w:themeColor="text1"/>
          <w:sz w:val="24"/>
          <w:szCs w:val="24"/>
        </w:rPr>
        <w:t xml:space="preserve">, as per dermatology opinion. One patient had confirmed hypothyroidism with persistent high TSH levels, and positive results for both anti-thyroid peroxidase antibody and anti-thyroglobulin antibody. </w:t>
      </w:r>
    </w:p>
    <w:p w:rsidR="00EF37FC" w:rsidRPr="00D8223E" w:rsidRDefault="00EF37FC" w:rsidP="00EF37FC">
      <w:pPr>
        <w:pStyle w:val="ListParagraph"/>
        <w:spacing w:after="0" w:line="480" w:lineRule="auto"/>
        <w:ind w:left="0"/>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lastRenderedPageBreak/>
        <w:t xml:space="preserve">When statistical analysis was done to compare clinical and laboratory features of AILD cases with (n=38) and without (n=47) associated EHADs, those with EHADs had higher proportion of patients having decompensated liver disease at presentation (Odd’s ratio 2.6, 95 % Confidence Interval/C.I 1.1 to 6.4, p-value 0.046), more severe </w:t>
      </w:r>
      <w:proofErr w:type="spellStart"/>
      <w:r w:rsidRPr="00D8223E">
        <w:rPr>
          <w:rFonts w:ascii="Times New Roman" w:hAnsi="Times New Roman" w:cs="Times New Roman"/>
          <w:color w:val="000000" w:themeColor="text1"/>
          <w:sz w:val="24"/>
          <w:szCs w:val="24"/>
        </w:rPr>
        <w:t>anemia</w:t>
      </w:r>
      <w:proofErr w:type="spellEnd"/>
      <w:r w:rsidRPr="00D8223E">
        <w:rPr>
          <w:rFonts w:ascii="Times New Roman" w:hAnsi="Times New Roman" w:cs="Times New Roman"/>
          <w:color w:val="000000" w:themeColor="text1"/>
          <w:sz w:val="24"/>
          <w:szCs w:val="24"/>
        </w:rPr>
        <w:t xml:space="preserve"> (mean difference -1.78, 95 % C.I -2.66 to -0.89, p-value &lt; 0.001,) and hypoalbuminemia (mean difference -0.38, 95 % C.I -0.72 to -0.04, p-value 0.027), while there </w:t>
      </w:r>
      <w:r w:rsidR="00F52E37" w:rsidRPr="00D8223E">
        <w:rPr>
          <w:rFonts w:ascii="Times New Roman" w:hAnsi="Times New Roman" w:cs="Times New Roman"/>
          <w:color w:val="000000" w:themeColor="text1"/>
          <w:sz w:val="24"/>
          <w:szCs w:val="24"/>
        </w:rPr>
        <w:t xml:space="preserve">was </w:t>
      </w:r>
      <w:r w:rsidRPr="00D8223E">
        <w:rPr>
          <w:rFonts w:ascii="Times New Roman" w:hAnsi="Times New Roman" w:cs="Times New Roman"/>
          <w:color w:val="000000" w:themeColor="text1"/>
          <w:sz w:val="24"/>
          <w:szCs w:val="24"/>
        </w:rPr>
        <w:t>no difference in clinical features, treatment outcomes and other indices of hepatic function [</w:t>
      </w:r>
      <w:r w:rsidR="00F52E37" w:rsidRPr="00D8223E">
        <w:rPr>
          <w:rFonts w:ascii="Times New Roman" w:hAnsi="Times New Roman" w:cs="Times New Roman"/>
          <w:color w:val="000000" w:themeColor="text1"/>
          <w:sz w:val="24"/>
          <w:szCs w:val="24"/>
        </w:rPr>
        <w:t>SDC-4</w:t>
      </w:r>
      <w:r w:rsidRPr="00D8223E">
        <w:rPr>
          <w:rFonts w:ascii="Times New Roman" w:hAnsi="Times New Roman" w:cs="Times New Roman"/>
          <w:color w:val="000000" w:themeColor="text1"/>
          <w:sz w:val="24"/>
          <w:szCs w:val="24"/>
        </w:rPr>
        <w:t xml:space="preserve">]. Subgroup analysis of similar parameters, when done in AILD cases with (n=10) or without (n=59) celiac disease (in those with available data), did not reveal any significant differences [data not shown]. Multivariate analysis was not attempted in view of limited study sample size. </w:t>
      </w: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F37FC" w:rsidRPr="00D8223E" w:rsidRDefault="00EF37FC"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8D34FA" w:rsidRPr="00D8223E" w:rsidRDefault="008D34F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8D34FA" w:rsidRPr="00D8223E" w:rsidRDefault="008D34F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1A65B3" w:rsidP="00DC4957">
      <w:pPr>
        <w:pStyle w:val="ListParagraph"/>
        <w:spacing w:after="0" w:line="240" w:lineRule="auto"/>
        <w:ind w:left="0"/>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SDC-5</w:t>
      </w:r>
      <w:r w:rsidR="00DC4957" w:rsidRPr="00D8223E">
        <w:rPr>
          <w:rFonts w:ascii="Times New Roman" w:hAnsi="Times New Roman" w:cs="Times New Roman"/>
          <w:b/>
          <w:color w:val="000000" w:themeColor="text1"/>
          <w:sz w:val="24"/>
          <w:szCs w:val="24"/>
        </w:rPr>
        <w:t>: Variables of significance on comparison of features of AILD cases with (n=38) and without (n=47) associated extra-hepatic autoimmune disorders (EHADs)</w:t>
      </w:r>
    </w:p>
    <w:p w:rsidR="00FD3A7A" w:rsidRPr="00D8223E" w:rsidRDefault="00FD3A7A" w:rsidP="00DC4957">
      <w:pPr>
        <w:pStyle w:val="ListParagraph"/>
        <w:spacing w:after="0" w:line="240" w:lineRule="auto"/>
        <w:ind w:left="0"/>
        <w:jc w:val="both"/>
        <w:rPr>
          <w:rFonts w:ascii="Times New Roman" w:hAnsi="Times New Roman" w:cs="Times New Roman"/>
          <w:b/>
          <w:color w:val="000000" w:themeColor="text1"/>
          <w:sz w:val="24"/>
          <w:szCs w:val="24"/>
        </w:rPr>
      </w:pPr>
    </w:p>
    <w:p w:rsidR="00DC4957" w:rsidRPr="00D8223E" w:rsidRDefault="00DC4957" w:rsidP="00DC4957">
      <w:pPr>
        <w:pStyle w:val="ListParagraph"/>
        <w:spacing w:after="0" w:line="240" w:lineRule="auto"/>
        <w:ind w:left="0"/>
        <w:rPr>
          <w:rFonts w:ascii="Times New Roman" w:hAnsi="Times New Roman" w:cs="Times New Roman"/>
          <w:color w:val="000000" w:themeColor="text1"/>
          <w:sz w:val="24"/>
          <w:szCs w:val="24"/>
        </w:rPr>
      </w:pPr>
    </w:p>
    <w:tbl>
      <w:tblPr>
        <w:tblStyle w:val="LightGrid1"/>
        <w:tblW w:w="11436" w:type="dxa"/>
        <w:jc w:val="center"/>
        <w:tblLook w:val="0600" w:firstRow="0" w:lastRow="0" w:firstColumn="0" w:lastColumn="0" w:noHBand="1" w:noVBand="1"/>
      </w:tblPr>
      <w:tblGrid>
        <w:gridCol w:w="3181"/>
        <w:gridCol w:w="1850"/>
        <w:gridCol w:w="2134"/>
        <w:gridCol w:w="2738"/>
        <w:gridCol w:w="1533"/>
      </w:tblGrid>
      <w:tr w:rsidR="00D8223E" w:rsidRPr="00D8223E" w:rsidTr="00FD3A7A">
        <w:trPr>
          <w:trHeight w:val="1087"/>
          <w:jc w:val="center"/>
        </w:trPr>
        <w:tc>
          <w:tcPr>
            <w:tcW w:w="31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Parameter</w:t>
            </w:r>
          </w:p>
        </w:tc>
        <w:tc>
          <w:tcPr>
            <w:tcW w:w="1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AILD with EHADs (n=38)</w:t>
            </w:r>
          </w:p>
        </w:tc>
        <w:tc>
          <w:tcPr>
            <w:tcW w:w="2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AILD without EHADs (n=47)</w:t>
            </w:r>
          </w:p>
        </w:tc>
        <w:tc>
          <w:tcPr>
            <w:tcW w:w="2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Effect Size, 95 % CI***</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p-Value****</w:t>
            </w:r>
          </w:p>
        </w:tc>
      </w:tr>
      <w:tr w:rsidR="00D8223E" w:rsidRPr="00D8223E" w:rsidTr="00FD3A7A">
        <w:trPr>
          <w:trHeight w:val="839"/>
          <w:jc w:val="center"/>
        </w:trPr>
        <w:tc>
          <w:tcPr>
            <w:tcW w:w="31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Presence of Decompensation at presentation</w:t>
            </w:r>
            <w:r w:rsidRPr="00D8223E">
              <w:rPr>
                <w:rFonts w:ascii="Times New Roman" w:hAnsi="Times New Roman" w:cs="Times New Roman"/>
                <w:color w:val="000000" w:themeColor="text1"/>
                <w:sz w:val="24"/>
                <w:szCs w:val="18"/>
                <w:vertAlign w:val="superscript"/>
              </w:rPr>
              <w:t>*</w:t>
            </w:r>
          </w:p>
        </w:tc>
        <w:tc>
          <w:tcPr>
            <w:tcW w:w="1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21 (55.3)</w:t>
            </w:r>
          </w:p>
        </w:tc>
        <w:tc>
          <w:tcPr>
            <w:tcW w:w="2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 (31.9)</w:t>
            </w:r>
          </w:p>
        </w:tc>
        <w:tc>
          <w:tcPr>
            <w:tcW w:w="2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2.63, 1.1 to 6.4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0.046</w:t>
            </w:r>
          </w:p>
        </w:tc>
      </w:tr>
      <w:tr w:rsidR="00D8223E" w:rsidRPr="00D8223E" w:rsidTr="00FD3A7A">
        <w:trPr>
          <w:trHeight w:val="741"/>
          <w:jc w:val="center"/>
        </w:trPr>
        <w:tc>
          <w:tcPr>
            <w:tcW w:w="31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Hemoglobin (g/</w:t>
            </w:r>
            <w:proofErr w:type="gramStart"/>
            <w:r w:rsidRPr="00D8223E">
              <w:rPr>
                <w:rFonts w:ascii="Times New Roman" w:hAnsi="Times New Roman" w:cs="Times New Roman"/>
                <w:bCs/>
                <w:color w:val="000000" w:themeColor="text1"/>
                <w:sz w:val="24"/>
                <w:szCs w:val="24"/>
              </w:rPr>
              <w:t>dl)</w:t>
            </w:r>
            <w:r w:rsidRPr="00D8223E">
              <w:rPr>
                <w:rFonts w:ascii="Times New Roman" w:hAnsi="Times New Roman" w:cs="Times New Roman"/>
                <w:color w:val="000000" w:themeColor="text1"/>
                <w:sz w:val="24"/>
                <w:szCs w:val="18"/>
                <w:vertAlign w:val="superscript"/>
              </w:rPr>
              <w:t>*</w:t>
            </w:r>
            <w:proofErr w:type="gramEnd"/>
            <w:r w:rsidRPr="00D8223E">
              <w:rPr>
                <w:rFonts w:ascii="Times New Roman" w:hAnsi="Times New Roman" w:cs="Times New Roman"/>
                <w:color w:val="000000" w:themeColor="text1"/>
                <w:sz w:val="24"/>
                <w:szCs w:val="18"/>
                <w:vertAlign w:val="superscript"/>
              </w:rPr>
              <w:t>*</w:t>
            </w:r>
          </w:p>
        </w:tc>
        <w:tc>
          <w:tcPr>
            <w:tcW w:w="1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9.1 (7.4-10.3)</w:t>
            </w:r>
          </w:p>
        </w:tc>
        <w:tc>
          <w:tcPr>
            <w:tcW w:w="2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10.7 (9.4-12.1)</w:t>
            </w:r>
          </w:p>
        </w:tc>
        <w:tc>
          <w:tcPr>
            <w:tcW w:w="2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ind w:left="-534" w:firstLine="538"/>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-1.77, -2.66 to -0.89</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ind w:left="-534" w:firstLine="538"/>
              <w:jc w:val="center"/>
              <w:rPr>
                <w:rFonts w:ascii="Times New Roman" w:hAnsi="Times New Roman" w:cs="Times New Roman"/>
                <w:b/>
                <w:bCs/>
                <w:color w:val="000000" w:themeColor="text1"/>
                <w:sz w:val="24"/>
                <w:szCs w:val="24"/>
              </w:rPr>
            </w:pPr>
            <w:r w:rsidRPr="00D8223E">
              <w:rPr>
                <w:rFonts w:ascii="Times New Roman" w:hAnsi="Times New Roman" w:cs="Times New Roman"/>
                <w:b/>
                <w:bCs/>
                <w:color w:val="000000" w:themeColor="text1"/>
                <w:sz w:val="24"/>
                <w:szCs w:val="24"/>
              </w:rPr>
              <w:t>&lt; 0.001</w:t>
            </w:r>
          </w:p>
        </w:tc>
      </w:tr>
      <w:tr w:rsidR="00D8223E" w:rsidRPr="00D8223E" w:rsidTr="00FD3A7A">
        <w:trPr>
          <w:trHeight w:val="839"/>
          <w:jc w:val="center"/>
        </w:trPr>
        <w:tc>
          <w:tcPr>
            <w:tcW w:w="31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Albumin (g/</w:t>
            </w:r>
            <w:proofErr w:type="gramStart"/>
            <w:r w:rsidRPr="00D8223E">
              <w:rPr>
                <w:rFonts w:ascii="Times New Roman" w:hAnsi="Times New Roman" w:cs="Times New Roman"/>
                <w:bCs/>
                <w:color w:val="000000" w:themeColor="text1"/>
                <w:sz w:val="24"/>
                <w:szCs w:val="24"/>
              </w:rPr>
              <w:t>dl)</w:t>
            </w:r>
            <w:r w:rsidRPr="00D8223E">
              <w:rPr>
                <w:rFonts w:ascii="Times New Roman" w:hAnsi="Times New Roman" w:cs="Times New Roman"/>
                <w:color w:val="000000" w:themeColor="text1"/>
                <w:sz w:val="24"/>
                <w:szCs w:val="18"/>
                <w:vertAlign w:val="superscript"/>
              </w:rPr>
              <w:t>*</w:t>
            </w:r>
            <w:proofErr w:type="gramEnd"/>
            <w:r w:rsidRPr="00D8223E">
              <w:rPr>
                <w:rFonts w:ascii="Times New Roman" w:hAnsi="Times New Roman" w:cs="Times New Roman"/>
                <w:color w:val="000000" w:themeColor="text1"/>
                <w:sz w:val="24"/>
                <w:szCs w:val="18"/>
                <w:vertAlign w:val="superscript"/>
              </w:rPr>
              <w:t>*</w:t>
            </w:r>
          </w:p>
        </w:tc>
        <w:tc>
          <w:tcPr>
            <w:tcW w:w="1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2.6 (2-2.9)</w:t>
            </w:r>
          </w:p>
        </w:tc>
        <w:tc>
          <w:tcPr>
            <w:tcW w:w="2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C4957" w:rsidRPr="00D8223E" w:rsidRDefault="00DC4957"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3.0 (2.3-3.5)</w:t>
            </w:r>
          </w:p>
        </w:tc>
        <w:tc>
          <w:tcPr>
            <w:tcW w:w="2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ind w:left="-7" w:firstLine="7"/>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-0.38, -0.72 to -0.04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4957" w:rsidRPr="00D8223E" w:rsidRDefault="00DC4957" w:rsidP="00FD3A7A">
            <w:pPr>
              <w:ind w:left="-7" w:firstLine="7"/>
              <w:jc w:val="center"/>
              <w:rPr>
                <w:rFonts w:ascii="Times New Roman" w:hAnsi="Times New Roman" w:cs="Times New Roman"/>
                <w:b/>
                <w:bCs/>
                <w:color w:val="000000" w:themeColor="text1"/>
                <w:sz w:val="24"/>
                <w:szCs w:val="24"/>
              </w:rPr>
            </w:pPr>
            <w:r w:rsidRPr="00D8223E">
              <w:rPr>
                <w:rFonts w:ascii="Times New Roman" w:hAnsi="Times New Roman" w:cs="Times New Roman"/>
                <w:b/>
                <w:bCs/>
                <w:color w:val="000000" w:themeColor="text1"/>
                <w:sz w:val="24"/>
                <w:szCs w:val="24"/>
              </w:rPr>
              <w:t>0.027</w:t>
            </w:r>
          </w:p>
        </w:tc>
      </w:tr>
    </w:tbl>
    <w:p w:rsidR="00DC4957" w:rsidRPr="00D8223E" w:rsidRDefault="00DC4957" w:rsidP="00DC4957">
      <w:pPr>
        <w:spacing w:after="0" w:line="240" w:lineRule="auto"/>
        <w:ind w:left="-284"/>
        <w:jc w:val="both"/>
        <w:rPr>
          <w:rFonts w:ascii="Times New Roman" w:hAnsi="Times New Roman" w:cs="Times New Roman"/>
          <w:color w:val="000000" w:themeColor="text1"/>
          <w:sz w:val="20"/>
          <w:szCs w:val="20"/>
        </w:rPr>
      </w:pPr>
    </w:p>
    <w:p w:rsidR="00DC4957" w:rsidRPr="00D8223E" w:rsidRDefault="0083351D" w:rsidP="00DC4957">
      <w:pPr>
        <w:spacing w:after="0" w:line="240" w:lineRule="auto"/>
        <w:ind w:left="-284"/>
        <w:jc w:val="both"/>
        <w:rPr>
          <w:rFonts w:ascii="Times New Roman" w:hAnsi="Times New Roman" w:cs="Times New Roman"/>
          <w:color w:val="000000" w:themeColor="text1"/>
          <w:sz w:val="20"/>
          <w:szCs w:val="20"/>
        </w:rPr>
      </w:pPr>
      <w:r w:rsidRPr="00D8223E">
        <w:rPr>
          <w:rFonts w:ascii="Times New Roman" w:hAnsi="Times New Roman" w:cs="Times New Roman"/>
          <w:color w:val="000000" w:themeColor="text1"/>
          <w:sz w:val="20"/>
          <w:szCs w:val="20"/>
        </w:rPr>
        <w:t>*</w:t>
      </w:r>
      <w:r w:rsidR="00DC4957" w:rsidRPr="00D8223E">
        <w:rPr>
          <w:rFonts w:ascii="Times New Roman" w:hAnsi="Times New Roman" w:cs="Times New Roman"/>
          <w:color w:val="000000" w:themeColor="text1"/>
          <w:sz w:val="20"/>
          <w:szCs w:val="20"/>
        </w:rPr>
        <w:t>Data as number (percentage), ** Data as Median (25</w:t>
      </w:r>
      <w:r w:rsidR="00DC4957" w:rsidRPr="00D8223E">
        <w:rPr>
          <w:rFonts w:ascii="Times New Roman" w:hAnsi="Times New Roman" w:cs="Times New Roman"/>
          <w:color w:val="000000" w:themeColor="text1"/>
          <w:sz w:val="20"/>
          <w:szCs w:val="20"/>
          <w:vertAlign w:val="superscript"/>
        </w:rPr>
        <w:t>th</w:t>
      </w:r>
      <w:r w:rsidR="00DC4957" w:rsidRPr="00D8223E">
        <w:rPr>
          <w:rFonts w:ascii="Times New Roman" w:hAnsi="Times New Roman" w:cs="Times New Roman"/>
          <w:color w:val="000000" w:themeColor="text1"/>
          <w:sz w:val="20"/>
          <w:szCs w:val="20"/>
        </w:rPr>
        <w:t>-75</w:t>
      </w:r>
      <w:r w:rsidR="00DC4957" w:rsidRPr="00D8223E">
        <w:rPr>
          <w:rFonts w:ascii="Times New Roman" w:hAnsi="Times New Roman" w:cs="Times New Roman"/>
          <w:color w:val="000000" w:themeColor="text1"/>
          <w:sz w:val="20"/>
          <w:szCs w:val="20"/>
          <w:vertAlign w:val="superscript"/>
        </w:rPr>
        <w:t>th</w:t>
      </w:r>
      <w:r w:rsidR="00DC4957" w:rsidRPr="00D8223E">
        <w:rPr>
          <w:rFonts w:ascii="Times New Roman" w:hAnsi="Times New Roman" w:cs="Times New Roman"/>
          <w:color w:val="000000" w:themeColor="text1"/>
          <w:sz w:val="20"/>
          <w:szCs w:val="20"/>
        </w:rPr>
        <w:t xml:space="preserve"> percentile), ***Mean difference/95 % CI for comparison of means and OR/95 % CI for comparison of proportions, **** p-value &lt; 0.05 as significant</w:t>
      </w:r>
    </w:p>
    <w:p w:rsidR="0083351D" w:rsidRPr="00D8223E" w:rsidRDefault="0083351D" w:rsidP="00DC4957">
      <w:pPr>
        <w:spacing w:after="0" w:line="240" w:lineRule="auto"/>
        <w:ind w:left="-284"/>
        <w:jc w:val="both"/>
        <w:rPr>
          <w:rFonts w:ascii="Times New Roman" w:hAnsi="Times New Roman" w:cs="Times New Roman"/>
          <w:color w:val="000000" w:themeColor="text1"/>
          <w:sz w:val="20"/>
          <w:szCs w:val="20"/>
        </w:rPr>
      </w:pPr>
    </w:p>
    <w:p w:rsidR="00DC4957" w:rsidRPr="00D8223E" w:rsidRDefault="00DC4957" w:rsidP="00DC4957">
      <w:pPr>
        <w:spacing w:after="0" w:line="240" w:lineRule="auto"/>
        <w:ind w:left="-284"/>
        <w:jc w:val="both"/>
        <w:rPr>
          <w:rFonts w:ascii="Times New Roman" w:hAnsi="Times New Roman" w:cs="Times New Roman"/>
          <w:color w:val="000000" w:themeColor="text1"/>
          <w:sz w:val="20"/>
          <w:szCs w:val="20"/>
        </w:rPr>
      </w:pPr>
      <w:r w:rsidRPr="00D8223E">
        <w:rPr>
          <w:rFonts w:ascii="Times New Roman" w:hAnsi="Times New Roman" w:cs="Times New Roman"/>
          <w:b/>
          <w:color w:val="000000" w:themeColor="text1"/>
          <w:sz w:val="20"/>
          <w:szCs w:val="20"/>
        </w:rPr>
        <w:t>Abbreviations:</w:t>
      </w:r>
      <w:r w:rsidRPr="00D8223E">
        <w:rPr>
          <w:rFonts w:ascii="Times New Roman" w:hAnsi="Times New Roman" w:cs="Times New Roman"/>
          <w:color w:val="000000" w:themeColor="text1"/>
          <w:sz w:val="20"/>
          <w:szCs w:val="20"/>
        </w:rPr>
        <w:t xml:space="preserve"> AILD- Autoimmune liver disease, OR- Odd’s Ratio, CI- Confidence interval</w:t>
      </w: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0"/>
          <w:szCs w:val="20"/>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DC4957" w:rsidRPr="00D8223E" w:rsidRDefault="00DC495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5F57E2" w:rsidRPr="00D8223E" w:rsidRDefault="005F57E2"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5F57E2" w:rsidRPr="00D8223E" w:rsidRDefault="00A15CDD" w:rsidP="00FD3A7A">
      <w:pPr>
        <w:autoSpaceDE w:val="0"/>
        <w:autoSpaceDN w:val="0"/>
        <w:adjustRightInd w:val="0"/>
        <w:spacing w:after="0" w:line="480" w:lineRule="auto"/>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w:t>
      </w:r>
      <w:r w:rsidR="001A65B3" w:rsidRPr="00D8223E">
        <w:rPr>
          <w:rFonts w:ascii="Times New Roman" w:hAnsi="Times New Roman" w:cs="Times New Roman"/>
          <w:b/>
          <w:color w:val="000000" w:themeColor="text1"/>
          <w:sz w:val="24"/>
          <w:szCs w:val="24"/>
        </w:rPr>
        <w:t>6</w:t>
      </w:r>
      <w:r w:rsidR="00BC234A" w:rsidRPr="00D8223E">
        <w:rPr>
          <w:rFonts w:ascii="Times New Roman" w:hAnsi="Times New Roman" w:cs="Times New Roman"/>
          <w:b/>
          <w:color w:val="000000" w:themeColor="text1"/>
          <w:sz w:val="24"/>
          <w:szCs w:val="24"/>
        </w:rPr>
        <w:t>-</w:t>
      </w:r>
      <w:r w:rsidRPr="00D8223E">
        <w:rPr>
          <w:rFonts w:ascii="Times New Roman" w:hAnsi="Times New Roman" w:cs="Times New Roman"/>
          <w:b/>
          <w:color w:val="000000" w:themeColor="text1"/>
          <w:sz w:val="24"/>
          <w:szCs w:val="24"/>
        </w:rPr>
        <w:t xml:space="preserve"> </w:t>
      </w:r>
      <w:r w:rsidR="00BC234A" w:rsidRPr="00D8223E">
        <w:rPr>
          <w:rFonts w:ascii="Times New Roman" w:hAnsi="Times New Roman" w:cs="Times New Roman"/>
          <w:b/>
          <w:color w:val="000000" w:themeColor="text1"/>
          <w:sz w:val="24"/>
          <w:szCs w:val="24"/>
        </w:rPr>
        <w:t>D</w:t>
      </w:r>
      <w:r w:rsidRPr="00D8223E">
        <w:rPr>
          <w:rFonts w:ascii="Times New Roman" w:hAnsi="Times New Roman" w:cs="Times New Roman"/>
          <w:b/>
          <w:color w:val="000000" w:themeColor="text1"/>
          <w:sz w:val="24"/>
          <w:szCs w:val="24"/>
        </w:rPr>
        <w:t>etails of Treatment given and Outcomes in study population</w:t>
      </w:r>
    </w:p>
    <w:p w:rsidR="00A15CDD" w:rsidRPr="00D8223E" w:rsidRDefault="00A15CDD" w:rsidP="00FD3A7A">
      <w:pPr>
        <w:spacing w:before="10" w:line="480" w:lineRule="auto"/>
        <w:ind w:firstLine="720"/>
        <w:jc w:val="both"/>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In AIH cases, 9 (14.3 %) subjects required institution of second line therapy. Indications of these included presence of </w:t>
      </w:r>
      <w:proofErr w:type="spellStart"/>
      <w:r w:rsidRPr="00D8223E">
        <w:rPr>
          <w:rFonts w:ascii="Times New Roman" w:hAnsi="Times New Roman" w:cs="Times New Roman"/>
          <w:color w:val="000000" w:themeColor="text1"/>
          <w:sz w:val="24"/>
          <w:szCs w:val="24"/>
        </w:rPr>
        <w:t>cytopenia</w:t>
      </w:r>
      <w:proofErr w:type="spellEnd"/>
      <w:r w:rsidRPr="00D8223E">
        <w:rPr>
          <w:rFonts w:ascii="Times New Roman" w:hAnsi="Times New Roman" w:cs="Times New Roman"/>
          <w:color w:val="000000" w:themeColor="text1"/>
          <w:sz w:val="24"/>
          <w:szCs w:val="24"/>
        </w:rPr>
        <w:t xml:space="preserve"> (</w:t>
      </w:r>
      <w:proofErr w:type="spellStart"/>
      <w:r w:rsidRPr="00D8223E">
        <w:rPr>
          <w:rFonts w:ascii="Times New Roman" w:hAnsi="Times New Roman" w:cs="Times New Roman"/>
          <w:color w:val="000000" w:themeColor="text1"/>
          <w:sz w:val="24"/>
          <w:szCs w:val="24"/>
        </w:rPr>
        <w:t>leucopenia</w:t>
      </w:r>
      <w:proofErr w:type="spellEnd"/>
      <w:r w:rsidRPr="00D8223E">
        <w:rPr>
          <w:rFonts w:ascii="Times New Roman" w:hAnsi="Times New Roman" w:cs="Times New Roman"/>
          <w:color w:val="000000" w:themeColor="text1"/>
          <w:sz w:val="24"/>
          <w:szCs w:val="24"/>
        </w:rPr>
        <w:t xml:space="preserve"> &lt; 4000 per </w:t>
      </w:r>
      <w:proofErr w:type="spellStart"/>
      <w:r w:rsidRPr="00D8223E">
        <w:rPr>
          <w:rFonts w:ascii="Times New Roman" w:hAnsi="Times New Roman" w:cs="Times New Roman"/>
          <w:color w:val="000000" w:themeColor="text1"/>
          <w:sz w:val="24"/>
          <w:szCs w:val="24"/>
        </w:rPr>
        <w:t>cumm</w:t>
      </w:r>
      <w:proofErr w:type="spellEnd"/>
      <w:r w:rsidRPr="00D8223E">
        <w:rPr>
          <w:rFonts w:ascii="Times New Roman" w:hAnsi="Times New Roman" w:cs="Times New Roman"/>
          <w:color w:val="000000" w:themeColor="text1"/>
          <w:sz w:val="24"/>
          <w:szCs w:val="24"/>
        </w:rPr>
        <w:t xml:space="preserve"> and/or thrombocytopenia &lt; 50,000 per </w:t>
      </w:r>
      <w:proofErr w:type="spellStart"/>
      <w:r w:rsidRPr="00D8223E">
        <w:rPr>
          <w:rFonts w:ascii="Times New Roman" w:hAnsi="Times New Roman" w:cs="Times New Roman"/>
          <w:color w:val="000000" w:themeColor="text1"/>
          <w:sz w:val="24"/>
          <w:szCs w:val="24"/>
        </w:rPr>
        <w:t>cumm</w:t>
      </w:r>
      <w:proofErr w:type="spellEnd"/>
      <w:r w:rsidRPr="00D8223E">
        <w:rPr>
          <w:rFonts w:ascii="Times New Roman" w:hAnsi="Times New Roman" w:cs="Times New Roman"/>
          <w:color w:val="000000" w:themeColor="text1"/>
          <w:sz w:val="24"/>
          <w:szCs w:val="24"/>
        </w:rPr>
        <w:t xml:space="preserve">) in 5 subjects, poor medical response to first line therapy in 3 subjects and both in 1 subject. Four (6.3 %) subjects required institution of third line therapy (tacrolimus in all 4 and then tacrolimus to </w:t>
      </w:r>
      <w:proofErr w:type="spellStart"/>
      <w:r w:rsidRPr="00D8223E">
        <w:rPr>
          <w:rFonts w:ascii="Times New Roman" w:hAnsi="Times New Roman" w:cs="Times New Roman"/>
          <w:color w:val="000000" w:themeColor="text1"/>
          <w:sz w:val="24"/>
          <w:szCs w:val="24"/>
        </w:rPr>
        <w:t>sirolimus</w:t>
      </w:r>
      <w:proofErr w:type="spellEnd"/>
      <w:r w:rsidRPr="00D8223E">
        <w:rPr>
          <w:rFonts w:ascii="Times New Roman" w:hAnsi="Times New Roman" w:cs="Times New Roman"/>
          <w:color w:val="000000" w:themeColor="text1"/>
          <w:sz w:val="24"/>
          <w:szCs w:val="24"/>
        </w:rPr>
        <w:t xml:space="preserve"> conversion in 1). Two patients (both with &lt; F4 fibrosis) in AIH group were shifted from prednisolone to budesonide therapy (3 mg twice a day) due to severe side effects (bilateral cataract and </w:t>
      </w:r>
      <w:proofErr w:type="spellStart"/>
      <w:r w:rsidRPr="00D8223E">
        <w:rPr>
          <w:rFonts w:ascii="Times New Roman" w:hAnsi="Times New Roman" w:cs="Times New Roman"/>
          <w:color w:val="000000" w:themeColor="text1"/>
          <w:sz w:val="24"/>
          <w:szCs w:val="24"/>
        </w:rPr>
        <w:t>cushingoid</w:t>
      </w:r>
      <w:proofErr w:type="spellEnd"/>
      <w:r w:rsidRPr="00D8223E">
        <w:rPr>
          <w:rFonts w:ascii="Times New Roman" w:hAnsi="Times New Roman" w:cs="Times New Roman"/>
          <w:color w:val="000000" w:themeColor="text1"/>
          <w:sz w:val="24"/>
          <w:szCs w:val="24"/>
        </w:rPr>
        <w:t xml:space="preserve"> facies). In the ASC group, 4 subjects required second line therapy due to severe </w:t>
      </w:r>
      <w:proofErr w:type="spellStart"/>
      <w:r w:rsidRPr="00D8223E">
        <w:rPr>
          <w:rFonts w:ascii="Times New Roman" w:hAnsi="Times New Roman" w:cs="Times New Roman"/>
          <w:color w:val="000000" w:themeColor="text1"/>
          <w:sz w:val="24"/>
          <w:szCs w:val="24"/>
        </w:rPr>
        <w:t>cytopenias</w:t>
      </w:r>
      <w:proofErr w:type="spellEnd"/>
      <w:r w:rsidRPr="00D8223E">
        <w:rPr>
          <w:rFonts w:ascii="Times New Roman" w:hAnsi="Times New Roman" w:cs="Times New Roman"/>
          <w:color w:val="000000" w:themeColor="text1"/>
          <w:sz w:val="24"/>
          <w:szCs w:val="24"/>
        </w:rPr>
        <w:t xml:space="preserve"> (3 subjects) and poor medical response (1 subject). Seventy percent of total cohort (</w:t>
      </w:r>
      <w:proofErr w:type="spellStart"/>
      <w:r w:rsidRPr="00D8223E">
        <w:rPr>
          <w:rFonts w:ascii="Times New Roman" w:hAnsi="Times New Roman" w:cs="Times New Roman"/>
          <w:color w:val="000000" w:themeColor="text1"/>
          <w:sz w:val="24"/>
          <w:szCs w:val="24"/>
        </w:rPr>
        <w:t>i.e</w:t>
      </w:r>
      <w:proofErr w:type="spellEnd"/>
      <w:r w:rsidRPr="00D8223E">
        <w:rPr>
          <w:rFonts w:ascii="Times New Roman" w:hAnsi="Times New Roman" w:cs="Times New Roman"/>
          <w:color w:val="000000" w:themeColor="text1"/>
          <w:sz w:val="24"/>
          <w:szCs w:val="24"/>
        </w:rPr>
        <w:t xml:space="preserve"> 60 out of 85) suffered from drug related side effects though mild only in majority. Most common side effect was </w:t>
      </w:r>
      <w:proofErr w:type="spellStart"/>
      <w:r w:rsidRPr="00D8223E">
        <w:rPr>
          <w:rFonts w:ascii="Times New Roman" w:hAnsi="Times New Roman" w:cs="Times New Roman"/>
          <w:color w:val="000000" w:themeColor="text1"/>
          <w:sz w:val="24"/>
          <w:szCs w:val="24"/>
        </w:rPr>
        <w:t>cushingoid</w:t>
      </w:r>
      <w:proofErr w:type="spellEnd"/>
      <w:r w:rsidRPr="00D8223E">
        <w:rPr>
          <w:rFonts w:ascii="Times New Roman" w:hAnsi="Times New Roman" w:cs="Times New Roman"/>
          <w:color w:val="000000" w:themeColor="text1"/>
          <w:sz w:val="24"/>
          <w:szCs w:val="24"/>
        </w:rPr>
        <w:t xml:space="preserve"> facies (in 54 subjects), while severe side effects included cataract (n=8), </w:t>
      </w:r>
      <w:proofErr w:type="spellStart"/>
      <w:r w:rsidRPr="00D8223E">
        <w:rPr>
          <w:rFonts w:ascii="Times New Roman" w:hAnsi="Times New Roman" w:cs="Times New Roman"/>
          <w:color w:val="000000" w:themeColor="text1"/>
          <w:sz w:val="24"/>
          <w:szCs w:val="24"/>
        </w:rPr>
        <w:t>cytopenia</w:t>
      </w:r>
      <w:proofErr w:type="spellEnd"/>
      <w:r w:rsidRPr="00D8223E">
        <w:rPr>
          <w:rFonts w:ascii="Times New Roman" w:hAnsi="Times New Roman" w:cs="Times New Roman"/>
          <w:color w:val="000000" w:themeColor="text1"/>
          <w:sz w:val="24"/>
          <w:szCs w:val="24"/>
        </w:rPr>
        <w:t xml:space="preserve"> (n=8), impaired glucose tolerance (n=2) and hypertension (n=1) amongst others.</w:t>
      </w:r>
    </w:p>
    <w:p w:rsidR="00A15CDD" w:rsidRPr="00D8223E" w:rsidRDefault="00A15CDD" w:rsidP="00A15CDD">
      <w:pPr>
        <w:spacing w:line="480" w:lineRule="auto"/>
        <w:jc w:val="both"/>
        <w:rPr>
          <w:rFonts w:ascii="Times New Roman" w:hAnsi="Times New Roman" w:cs="Times New Roman"/>
          <w:color w:val="000000" w:themeColor="text1"/>
          <w:sz w:val="24"/>
        </w:rPr>
      </w:pPr>
      <w:r w:rsidRPr="00D8223E">
        <w:rPr>
          <w:rFonts w:ascii="Times New Roman" w:hAnsi="Times New Roman" w:cs="Times New Roman"/>
          <w:color w:val="000000" w:themeColor="text1"/>
          <w:sz w:val="24"/>
        </w:rPr>
        <w:t xml:space="preserve">Out of the total 70 patients with AIH, 5 patients were lost to follow up after initial evaluation and diagnosis. Two patients (aged 5 and 12 years), both presenting as ALF, underwent living related liver transplantation (LDLT). Out of these 2 patients, first child is doing well 58 weeks after transplantation with normal graft status and uneventful post transplant period except one episode of asymptomatic cytomegalovirus re-activation which was medically controlled. The second child expired on Day 39 after LT secondary to refractory sepsis (culture proven </w:t>
      </w:r>
      <w:proofErr w:type="spellStart"/>
      <w:r w:rsidRPr="00D8223E">
        <w:rPr>
          <w:rFonts w:ascii="Times New Roman" w:hAnsi="Times New Roman" w:cs="Times New Roman"/>
          <w:color w:val="000000" w:themeColor="text1"/>
          <w:sz w:val="24"/>
        </w:rPr>
        <w:t>Klebsiella</w:t>
      </w:r>
      <w:proofErr w:type="spellEnd"/>
      <w:r w:rsidRPr="00D8223E">
        <w:rPr>
          <w:rFonts w:ascii="Times New Roman" w:hAnsi="Times New Roman" w:cs="Times New Roman"/>
          <w:color w:val="000000" w:themeColor="text1"/>
          <w:sz w:val="24"/>
        </w:rPr>
        <w:t xml:space="preserve"> and </w:t>
      </w:r>
      <w:proofErr w:type="spellStart"/>
      <w:r w:rsidRPr="00D8223E">
        <w:rPr>
          <w:rFonts w:ascii="Times New Roman" w:hAnsi="Times New Roman" w:cs="Times New Roman"/>
          <w:color w:val="000000" w:themeColor="text1"/>
          <w:sz w:val="24"/>
        </w:rPr>
        <w:t>Mucormycosis</w:t>
      </w:r>
      <w:proofErr w:type="spellEnd"/>
      <w:r w:rsidRPr="00D8223E">
        <w:rPr>
          <w:rFonts w:ascii="Times New Roman" w:hAnsi="Times New Roman" w:cs="Times New Roman"/>
          <w:color w:val="000000" w:themeColor="text1"/>
          <w:sz w:val="24"/>
        </w:rPr>
        <w:t xml:space="preserve"> infection). Out of the remaining 63 subjects, at a median follow up of 16 months (Interquartile Range or IQR </w:t>
      </w:r>
      <w:proofErr w:type="spellStart"/>
      <w:r w:rsidRPr="00D8223E">
        <w:rPr>
          <w:rFonts w:ascii="Times New Roman" w:hAnsi="Times New Roman" w:cs="Times New Roman"/>
          <w:color w:val="000000" w:themeColor="text1"/>
          <w:sz w:val="24"/>
        </w:rPr>
        <w:t>i.e</w:t>
      </w:r>
      <w:proofErr w:type="spellEnd"/>
      <w:r w:rsidRPr="00D8223E">
        <w:rPr>
          <w:rFonts w:ascii="Times New Roman" w:hAnsi="Times New Roman" w:cs="Times New Roman"/>
          <w:color w:val="000000" w:themeColor="text1"/>
          <w:sz w:val="24"/>
        </w:rPr>
        <w:t xml:space="preserve"> 25</w:t>
      </w:r>
      <w:r w:rsidRPr="00D8223E">
        <w:rPr>
          <w:rFonts w:ascii="Times New Roman" w:hAnsi="Times New Roman" w:cs="Times New Roman"/>
          <w:color w:val="000000" w:themeColor="text1"/>
          <w:sz w:val="24"/>
          <w:vertAlign w:val="superscript"/>
        </w:rPr>
        <w:t>th</w:t>
      </w:r>
      <w:r w:rsidRPr="00D8223E">
        <w:rPr>
          <w:rFonts w:ascii="Times New Roman" w:hAnsi="Times New Roman" w:cs="Times New Roman"/>
          <w:color w:val="000000" w:themeColor="text1"/>
          <w:sz w:val="24"/>
        </w:rPr>
        <w:t>-75</w:t>
      </w:r>
      <w:r w:rsidRPr="00D8223E">
        <w:rPr>
          <w:rFonts w:ascii="Times New Roman" w:hAnsi="Times New Roman" w:cs="Times New Roman"/>
          <w:color w:val="000000" w:themeColor="text1"/>
          <w:sz w:val="24"/>
          <w:vertAlign w:val="superscript"/>
        </w:rPr>
        <w:t>th</w:t>
      </w:r>
      <w:r w:rsidRPr="00D8223E">
        <w:rPr>
          <w:rFonts w:ascii="Times New Roman" w:hAnsi="Times New Roman" w:cs="Times New Roman"/>
          <w:color w:val="000000" w:themeColor="text1"/>
          <w:sz w:val="24"/>
        </w:rPr>
        <w:t xml:space="preserve"> percentiles of 7-38.5 months), </w:t>
      </w:r>
      <w:r w:rsidR="00F35832" w:rsidRPr="00D8223E">
        <w:rPr>
          <w:rFonts w:ascii="Times New Roman" w:hAnsi="Times New Roman" w:cs="Times New Roman"/>
          <w:color w:val="000000" w:themeColor="text1"/>
          <w:sz w:val="24"/>
        </w:rPr>
        <w:t>55 children (78.6 %) achieved remission, while 7 (10 %) did not achieve remission but improved medically</w:t>
      </w:r>
      <w:r w:rsidR="00F22D78" w:rsidRPr="00D8223E">
        <w:rPr>
          <w:rFonts w:ascii="Times New Roman" w:hAnsi="Times New Roman" w:cs="Times New Roman"/>
          <w:color w:val="000000" w:themeColor="text1"/>
          <w:sz w:val="24"/>
        </w:rPr>
        <w:t xml:space="preserve"> (remaining 1 child died without achieving remission, as described later)</w:t>
      </w:r>
      <w:r w:rsidRPr="00D8223E">
        <w:rPr>
          <w:rFonts w:ascii="Times New Roman" w:hAnsi="Times New Roman" w:cs="Times New Roman"/>
          <w:color w:val="000000" w:themeColor="text1"/>
          <w:sz w:val="24"/>
        </w:rPr>
        <w:t xml:space="preserve">. </w:t>
      </w:r>
      <w:r w:rsidR="00F35832" w:rsidRPr="00D8223E">
        <w:rPr>
          <w:rFonts w:ascii="Times New Roman" w:hAnsi="Times New Roman" w:cs="Times New Roman"/>
          <w:color w:val="000000" w:themeColor="text1"/>
          <w:sz w:val="24"/>
        </w:rPr>
        <w:t xml:space="preserve">Six children died over the study period, including 4 children who achieved </w:t>
      </w:r>
      <w:r w:rsidR="00F35832" w:rsidRPr="00D8223E">
        <w:rPr>
          <w:rFonts w:ascii="Times New Roman" w:hAnsi="Times New Roman" w:cs="Times New Roman"/>
          <w:color w:val="000000" w:themeColor="text1"/>
          <w:sz w:val="24"/>
        </w:rPr>
        <w:lastRenderedPageBreak/>
        <w:t>initial remission and 1 child who died after LT</w:t>
      </w:r>
      <w:r w:rsidRPr="00D8223E">
        <w:rPr>
          <w:rFonts w:ascii="Times New Roman" w:hAnsi="Times New Roman" w:cs="Times New Roman"/>
          <w:color w:val="000000" w:themeColor="text1"/>
          <w:sz w:val="24"/>
        </w:rPr>
        <w:t xml:space="preserve"> (described earlier). Of the</w:t>
      </w:r>
      <w:r w:rsidR="00C92EE3" w:rsidRPr="00D8223E">
        <w:rPr>
          <w:rFonts w:ascii="Times New Roman" w:hAnsi="Times New Roman" w:cs="Times New Roman"/>
          <w:color w:val="000000" w:themeColor="text1"/>
          <w:sz w:val="24"/>
        </w:rPr>
        <w:t>se 6</w:t>
      </w:r>
      <w:r w:rsidRPr="00D8223E">
        <w:rPr>
          <w:rFonts w:ascii="Times New Roman" w:hAnsi="Times New Roman" w:cs="Times New Roman"/>
          <w:color w:val="000000" w:themeColor="text1"/>
          <w:sz w:val="24"/>
        </w:rPr>
        <w:t xml:space="preserve"> children, 2 children (both females), aged 8 years and 10.5 years at diagnosis, having achieved remission at 12 weeks and 9 weeks respectively died 24 months after initial presentation. Both had history of repeated poor drug compliance and developed progressive hepatic deterioration after stoppage of immunosuppression and expired later due to superimposed septic illness. The third child, aged 15 years at presentation, expired 11 months after initial presentation, due to myocarditis and subsequent  refractory shock (suspected viral illness), after having achieved remission within 16 weeks. He was in continued remission when he suffered fatal acute illness. The fourth child, aged 14 years at presentation, presented as decompensated CLD, and failed to show any improvement after institution of immunosuppression. She was listed for LT, but developed bone marrow proven </w:t>
      </w:r>
      <w:proofErr w:type="spellStart"/>
      <w:r w:rsidRPr="00D8223E">
        <w:rPr>
          <w:rFonts w:ascii="Times New Roman" w:hAnsi="Times New Roman" w:cs="Times New Roman"/>
          <w:color w:val="000000" w:themeColor="text1"/>
          <w:sz w:val="24"/>
        </w:rPr>
        <w:t>hemophagocytosis</w:t>
      </w:r>
      <w:proofErr w:type="spellEnd"/>
      <w:r w:rsidRPr="00D8223E">
        <w:rPr>
          <w:rFonts w:ascii="Times New Roman" w:hAnsi="Times New Roman" w:cs="Times New Roman"/>
          <w:color w:val="000000" w:themeColor="text1"/>
          <w:sz w:val="24"/>
        </w:rPr>
        <w:t xml:space="preserve"> syndrome along with progressive hepatic dysfunction (refractory ascites, variceal bleed and encephalopathy), and expired 3 months after presentation. The fifth child, aged 11 years, presented as ACLF (with superimposed hepatitis A infection), and similarly showed </w:t>
      </w:r>
      <w:r w:rsidR="004C570A" w:rsidRPr="00D8223E">
        <w:rPr>
          <w:rFonts w:ascii="Times New Roman" w:hAnsi="Times New Roman" w:cs="Times New Roman"/>
          <w:color w:val="000000" w:themeColor="text1"/>
          <w:sz w:val="24"/>
        </w:rPr>
        <w:t xml:space="preserve">initial </w:t>
      </w:r>
      <w:r w:rsidRPr="00D8223E">
        <w:rPr>
          <w:rFonts w:ascii="Times New Roman" w:hAnsi="Times New Roman" w:cs="Times New Roman"/>
          <w:color w:val="000000" w:themeColor="text1"/>
          <w:sz w:val="24"/>
        </w:rPr>
        <w:t>response to immunosuppression</w:t>
      </w:r>
      <w:r w:rsidR="004C570A" w:rsidRPr="00D8223E">
        <w:rPr>
          <w:rFonts w:ascii="Times New Roman" w:hAnsi="Times New Roman" w:cs="Times New Roman"/>
          <w:color w:val="000000" w:themeColor="text1"/>
          <w:sz w:val="24"/>
        </w:rPr>
        <w:t xml:space="preserve"> (had remission)</w:t>
      </w:r>
      <w:r w:rsidRPr="00D8223E">
        <w:rPr>
          <w:rFonts w:ascii="Times New Roman" w:hAnsi="Times New Roman" w:cs="Times New Roman"/>
          <w:color w:val="000000" w:themeColor="text1"/>
          <w:sz w:val="24"/>
        </w:rPr>
        <w:t xml:space="preserve">, </w:t>
      </w:r>
      <w:r w:rsidR="004C570A" w:rsidRPr="00D8223E">
        <w:rPr>
          <w:rFonts w:ascii="Times New Roman" w:hAnsi="Times New Roman" w:cs="Times New Roman"/>
          <w:color w:val="000000" w:themeColor="text1"/>
          <w:sz w:val="24"/>
        </w:rPr>
        <w:t xml:space="preserve">but later expired due to </w:t>
      </w:r>
      <w:r w:rsidRPr="00D8223E">
        <w:rPr>
          <w:rFonts w:ascii="Times New Roman" w:hAnsi="Times New Roman" w:cs="Times New Roman"/>
          <w:color w:val="000000" w:themeColor="text1"/>
          <w:sz w:val="24"/>
        </w:rPr>
        <w:t>septic shock (</w:t>
      </w:r>
      <w:proofErr w:type="spellStart"/>
      <w:r w:rsidRPr="00D8223E">
        <w:rPr>
          <w:rFonts w:ascii="Times New Roman" w:hAnsi="Times New Roman" w:cs="Times New Roman"/>
          <w:color w:val="000000" w:themeColor="text1"/>
          <w:sz w:val="24"/>
        </w:rPr>
        <w:t>candida</w:t>
      </w:r>
      <w:r w:rsidR="00024A4F" w:rsidRPr="00D8223E">
        <w:rPr>
          <w:rFonts w:ascii="Times New Roman" w:hAnsi="Times New Roman" w:cs="Times New Roman"/>
          <w:color w:val="000000" w:themeColor="text1"/>
          <w:sz w:val="24"/>
        </w:rPr>
        <w:t>l</w:t>
      </w:r>
      <w:proofErr w:type="spellEnd"/>
      <w:r w:rsidRPr="00D8223E">
        <w:rPr>
          <w:rFonts w:ascii="Times New Roman" w:hAnsi="Times New Roman" w:cs="Times New Roman"/>
          <w:color w:val="000000" w:themeColor="text1"/>
          <w:sz w:val="24"/>
        </w:rPr>
        <w:t xml:space="preserve"> sepsis) 2 months after presentation. Also, 2 more patients were </w:t>
      </w:r>
      <w:r w:rsidR="004415E8" w:rsidRPr="00D8223E">
        <w:rPr>
          <w:rFonts w:ascii="Times New Roman" w:hAnsi="Times New Roman" w:cs="Times New Roman"/>
          <w:color w:val="000000" w:themeColor="text1"/>
          <w:sz w:val="24"/>
        </w:rPr>
        <w:t xml:space="preserve">later </w:t>
      </w:r>
      <w:r w:rsidRPr="00D8223E">
        <w:rPr>
          <w:rFonts w:ascii="Times New Roman" w:hAnsi="Times New Roman" w:cs="Times New Roman"/>
          <w:color w:val="000000" w:themeColor="text1"/>
          <w:sz w:val="24"/>
        </w:rPr>
        <w:t>listed for LT, in view of worsening hepatic dysfunction (with decompensation</w:t>
      </w:r>
      <w:r w:rsidR="004415E8" w:rsidRPr="00D8223E">
        <w:rPr>
          <w:rFonts w:ascii="Times New Roman" w:hAnsi="Times New Roman" w:cs="Times New Roman"/>
          <w:color w:val="000000" w:themeColor="text1"/>
          <w:sz w:val="24"/>
        </w:rPr>
        <w:t>, despite initial remission</w:t>
      </w:r>
      <w:r w:rsidRPr="00D8223E">
        <w:rPr>
          <w:rFonts w:ascii="Times New Roman" w:hAnsi="Times New Roman" w:cs="Times New Roman"/>
          <w:color w:val="000000" w:themeColor="text1"/>
          <w:sz w:val="24"/>
        </w:rPr>
        <w:t xml:space="preserve">) due to repeated disease flares secondary to poor drug compliance. </w:t>
      </w:r>
      <w:r w:rsidR="004B3410" w:rsidRPr="00D8223E">
        <w:rPr>
          <w:rFonts w:ascii="Times New Roman" w:hAnsi="Times New Roman" w:cs="Times New Roman"/>
          <w:color w:val="000000" w:themeColor="text1"/>
          <w:sz w:val="24"/>
        </w:rPr>
        <w:t xml:space="preserve">In seronegative cases, </w:t>
      </w:r>
      <w:r w:rsidR="00A54FCF" w:rsidRPr="00D8223E">
        <w:rPr>
          <w:rFonts w:ascii="Times New Roman" w:hAnsi="Times New Roman" w:cs="Times New Roman"/>
          <w:color w:val="000000" w:themeColor="text1"/>
          <w:sz w:val="24"/>
        </w:rPr>
        <w:t xml:space="preserve">as in the </w:t>
      </w:r>
      <w:r w:rsidR="00DC3558" w:rsidRPr="00D8223E">
        <w:rPr>
          <w:rFonts w:ascii="Times New Roman" w:hAnsi="Times New Roman" w:cs="Times New Roman"/>
          <w:color w:val="000000" w:themeColor="text1"/>
          <w:sz w:val="24"/>
        </w:rPr>
        <w:t>s</w:t>
      </w:r>
      <w:r w:rsidR="004B3410" w:rsidRPr="00D8223E">
        <w:rPr>
          <w:rFonts w:ascii="Times New Roman" w:hAnsi="Times New Roman" w:cs="Times New Roman"/>
          <w:color w:val="000000" w:themeColor="text1"/>
          <w:sz w:val="24"/>
        </w:rPr>
        <w:t xml:space="preserve">eropositive group, there were </w:t>
      </w:r>
      <w:r w:rsidR="00A54FCF" w:rsidRPr="00D8223E">
        <w:rPr>
          <w:rFonts w:ascii="Times New Roman" w:hAnsi="Times New Roman" w:cs="Times New Roman"/>
          <w:color w:val="000000" w:themeColor="text1"/>
          <w:sz w:val="24"/>
        </w:rPr>
        <w:t xml:space="preserve">similar </w:t>
      </w:r>
      <w:r w:rsidR="004B3410" w:rsidRPr="00D8223E">
        <w:rPr>
          <w:rFonts w:ascii="Times New Roman" w:hAnsi="Times New Roman" w:cs="Times New Roman"/>
          <w:color w:val="000000" w:themeColor="text1"/>
          <w:sz w:val="24"/>
        </w:rPr>
        <w:t>high remission rates with good treatment o</w:t>
      </w:r>
      <w:r w:rsidR="005E07A6" w:rsidRPr="00D8223E">
        <w:rPr>
          <w:rFonts w:ascii="Times New Roman" w:hAnsi="Times New Roman" w:cs="Times New Roman"/>
          <w:color w:val="000000" w:themeColor="text1"/>
          <w:sz w:val="24"/>
        </w:rPr>
        <w:t>utcomes [as highlighted in SDC-8</w:t>
      </w:r>
      <w:r w:rsidR="004B3410" w:rsidRPr="00D8223E">
        <w:rPr>
          <w:rFonts w:ascii="Times New Roman" w:hAnsi="Times New Roman" w:cs="Times New Roman"/>
          <w:color w:val="000000" w:themeColor="text1"/>
          <w:sz w:val="24"/>
        </w:rPr>
        <w:t xml:space="preserve">]. </w:t>
      </w:r>
      <w:r w:rsidRPr="00D8223E">
        <w:rPr>
          <w:rFonts w:ascii="Times New Roman" w:hAnsi="Times New Roman" w:cs="Times New Roman"/>
          <w:color w:val="000000" w:themeColor="text1"/>
          <w:sz w:val="24"/>
        </w:rPr>
        <w:t xml:space="preserve">Thus, out of the overall cohort (n = 70), good outcome (survival with native liver with medically </w:t>
      </w:r>
      <w:r w:rsidR="004415E8" w:rsidRPr="00D8223E">
        <w:rPr>
          <w:rFonts w:ascii="Times New Roman" w:hAnsi="Times New Roman" w:cs="Times New Roman"/>
          <w:color w:val="000000" w:themeColor="text1"/>
          <w:sz w:val="24"/>
        </w:rPr>
        <w:t>controllable</w:t>
      </w:r>
      <w:r w:rsidRPr="00D8223E">
        <w:rPr>
          <w:rFonts w:ascii="Times New Roman" w:hAnsi="Times New Roman" w:cs="Times New Roman"/>
          <w:color w:val="000000" w:themeColor="text1"/>
          <w:sz w:val="24"/>
        </w:rPr>
        <w:t xml:space="preserve"> disease), at last follow up, was seen in 56 subjects (80 %) while poor outcome (death and/or, underwent or listed for LT) was seen in 9 (12.9 %) subjects, with rest 5 (7.1 %) being lost to follow up. </w:t>
      </w:r>
    </w:p>
    <w:p w:rsidR="00A15CDD" w:rsidRPr="00D8223E" w:rsidRDefault="00A15CDD" w:rsidP="00A15CDD">
      <w:pPr>
        <w:spacing w:line="480" w:lineRule="auto"/>
        <w:jc w:val="both"/>
        <w:rPr>
          <w:rFonts w:ascii="Times New Roman" w:hAnsi="Times New Roman" w:cs="Times New Roman"/>
          <w:color w:val="000000" w:themeColor="text1"/>
          <w:sz w:val="24"/>
        </w:rPr>
      </w:pPr>
      <w:r w:rsidRPr="00D8223E">
        <w:rPr>
          <w:rFonts w:ascii="Times New Roman" w:hAnsi="Times New Roman" w:cs="Times New Roman"/>
          <w:color w:val="000000" w:themeColor="text1"/>
          <w:sz w:val="24"/>
        </w:rPr>
        <w:t xml:space="preserve">In subjects with ASC, at a median follow up of 9 months (IQR 3.5 – 24 months), </w:t>
      </w:r>
      <w:r w:rsidR="00F35832" w:rsidRPr="00D8223E">
        <w:rPr>
          <w:rFonts w:ascii="Times New Roman" w:hAnsi="Times New Roman" w:cs="Times New Roman"/>
          <w:color w:val="000000" w:themeColor="text1"/>
          <w:sz w:val="24"/>
        </w:rPr>
        <w:t xml:space="preserve">9 children (60 %) achieved remission, while 3 (20 %) did not achieve remission but improved </w:t>
      </w:r>
      <w:r w:rsidR="00F35832" w:rsidRPr="00D8223E">
        <w:rPr>
          <w:rFonts w:ascii="Times New Roman" w:hAnsi="Times New Roman" w:cs="Times New Roman"/>
          <w:color w:val="000000" w:themeColor="text1"/>
          <w:sz w:val="24"/>
        </w:rPr>
        <w:lastRenderedPageBreak/>
        <w:t>medically</w:t>
      </w:r>
      <w:r w:rsidRPr="00D8223E">
        <w:rPr>
          <w:rFonts w:ascii="Times New Roman" w:hAnsi="Times New Roman" w:cs="Times New Roman"/>
          <w:color w:val="000000" w:themeColor="text1"/>
          <w:sz w:val="24"/>
        </w:rPr>
        <w:t xml:space="preserve">. One subject died, 3 months after presentation, due to superimposed sepsis while on immunosuppression, while 2 subjects were listed for LT in view of worsening hepatic functions despite medical management. Thus, out of the overall cohort (n = 15), good outcome (survival with native liver with medically </w:t>
      </w:r>
      <w:r w:rsidR="004415E8" w:rsidRPr="00D8223E">
        <w:rPr>
          <w:rFonts w:ascii="Times New Roman" w:hAnsi="Times New Roman" w:cs="Times New Roman"/>
          <w:color w:val="000000" w:themeColor="text1"/>
          <w:sz w:val="24"/>
        </w:rPr>
        <w:t xml:space="preserve">controllable </w:t>
      </w:r>
      <w:r w:rsidRPr="00D8223E">
        <w:rPr>
          <w:rFonts w:ascii="Times New Roman" w:hAnsi="Times New Roman" w:cs="Times New Roman"/>
          <w:color w:val="000000" w:themeColor="text1"/>
          <w:sz w:val="24"/>
        </w:rPr>
        <w:t>disease), at last follow up, was seen in 12 subjects (80 %) while poor outcome (death and/or, listed for LT) was seen in 3 (20 %) subjects.</w:t>
      </w:r>
    </w:p>
    <w:p w:rsidR="00A15CDD" w:rsidRPr="00D8223E" w:rsidRDefault="00A15CDD"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1418E" w:rsidRPr="00D8223E" w:rsidRDefault="00A1418E"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5E07A6" w:rsidP="00BC234A">
      <w:pPr>
        <w:pStyle w:val="ListParagraph"/>
        <w:spacing w:line="360" w:lineRule="auto"/>
        <w:ind w:left="0"/>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SDC-7</w:t>
      </w:r>
      <w:r w:rsidR="00BC234A" w:rsidRPr="00D8223E">
        <w:rPr>
          <w:rFonts w:ascii="Times New Roman" w:hAnsi="Times New Roman" w:cs="Times New Roman"/>
          <w:b/>
          <w:color w:val="000000" w:themeColor="text1"/>
          <w:sz w:val="24"/>
          <w:szCs w:val="24"/>
        </w:rPr>
        <w:t xml:space="preserve">: Variables with significance on comparison of AIH versus ASC group </w:t>
      </w:r>
    </w:p>
    <w:tbl>
      <w:tblPr>
        <w:tblStyle w:val="LightGrid1"/>
        <w:tblW w:w="11051" w:type="dxa"/>
        <w:jc w:val="center"/>
        <w:tblLook w:val="0600" w:firstRow="0" w:lastRow="0" w:firstColumn="0" w:lastColumn="0" w:noHBand="1" w:noVBand="1"/>
      </w:tblPr>
      <w:tblGrid>
        <w:gridCol w:w="3423"/>
        <w:gridCol w:w="1843"/>
        <w:gridCol w:w="1843"/>
        <w:gridCol w:w="2551"/>
        <w:gridCol w:w="1391"/>
      </w:tblGrid>
      <w:tr w:rsidR="00D8223E" w:rsidRPr="00D8223E" w:rsidTr="00FD3A7A">
        <w:trPr>
          <w:trHeight w:val="499"/>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36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Parameter</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36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 AIH (n= 70)</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36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ASC (n= 15)</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36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Effect Size, 95 % CI**</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36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p-value***</w:t>
            </w:r>
          </w:p>
        </w:tc>
      </w:tr>
      <w:tr w:rsidR="00D8223E" w:rsidRPr="00D8223E" w:rsidTr="00FD3A7A">
        <w:trPr>
          <w:trHeight w:val="340"/>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Age at diagnosis (Years)*</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9.6 [7.0 – 12.5]</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14 [9.5 – 16.3]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-2.5, -4.9 to -0.2 </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0.033</w:t>
            </w:r>
          </w:p>
        </w:tc>
      </w:tr>
      <w:tr w:rsidR="00D8223E" w:rsidRPr="00D8223E" w:rsidTr="00FD3A7A">
        <w:trPr>
          <w:trHeight w:val="385"/>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Platelet count</w:t>
            </w:r>
            <w:r w:rsidRPr="00D8223E">
              <w:rPr>
                <w:rFonts w:ascii="Times New Roman" w:hAnsi="Times New Roman" w:cs="Times New Roman"/>
                <w:bCs/>
                <w:color w:val="000000" w:themeColor="text1"/>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115,000 [81750 – 250500]</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74000[50,000 – 162000]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69364, 22779 to 115950 </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0.005</w:t>
            </w:r>
          </w:p>
        </w:tc>
      </w:tr>
      <w:tr w:rsidR="00D8223E" w:rsidRPr="00D8223E" w:rsidTr="00FD3A7A">
        <w:trPr>
          <w:trHeight w:val="421"/>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AST (IU/</w:t>
            </w:r>
            <w:proofErr w:type="gramStart"/>
            <w:r w:rsidRPr="00D8223E">
              <w:rPr>
                <w:rFonts w:ascii="Times New Roman" w:hAnsi="Times New Roman" w:cs="Times New Roman"/>
                <w:color w:val="000000" w:themeColor="text1"/>
                <w:sz w:val="24"/>
                <w:szCs w:val="24"/>
              </w:rPr>
              <w:t>L)</w:t>
            </w:r>
            <w:r w:rsidRPr="00D8223E">
              <w:rPr>
                <w:rFonts w:ascii="Times New Roman" w:hAnsi="Times New Roman" w:cs="Times New Roman"/>
                <w:bCs/>
                <w:color w:val="000000" w:themeColor="text1"/>
                <w:sz w:val="24"/>
                <w:szCs w:val="24"/>
              </w:rPr>
              <w:t>*</w:t>
            </w:r>
            <w:proofErr w:type="gramEnd"/>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267.5 [149.8 – 573.3]</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124 [89 – 294]</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290.9, 133.9 to 448.1</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tc>
      </w:tr>
      <w:tr w:rsidR="00D8223E" w:rsidRPr="00D8223E" w:rsidTr="00FD3A7A">
        <w:trPr>
          <w:trHeight w:val="406"/>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ALT (IU/</w:t>
            </w:r>
            <w:proofErr w:type="gramStart"/>
            <w:r w:rsidRPr="00D8223E">
              <w:rPr>
                <w:rFonts w:ascii="Times New Roman" w:hAnsi="Times New Roman" w:cs="Times New Roman"/>
                <w:color w:val="000000" w:themeColor="text1"/>
                <w:sz w:val="24"/>
                <w:szCs w:val="24"/>
              </w:rPr>
              <w:t>L)</w:t>
            </w:r>
            <w:r w:rsidRPr="00D8223E">
              <w:rPr>
                <w:rFonts w:ascii="Times New Roman" w:hAnsi="Times New Roman" w:cs="Times New Roman"/>
                <w:bCs/>
                <w:color w:val="000000" w:themeColor="text1"/>
                <w:sz w:val="24"/>
                <w:szCs w:val="24"/>
              </w:rPr>
              <w:t>*</w:t>
            </w:r>
            <w:proofErr w:type="gramEnd"/>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187.5 [95.8 – 452.8]</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107 [60 – 123]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272.3, 159.4 </w:t>
            </w:r>
            <w:proofErr w:type="gramStart"/>
            <w:r w:rsidRPr="00D8223E">
              <w:rPr>
                <w:rFonts w:ascii="Times New Roman" w:hAnsi="Times New Roman" w:cs="Times New Roman"/>
                <w:color w:val="000000" w:themeColor="text1"/>
                <w:sz w:val="24"/>
                <w:szCs w:val="24"/>
              </w:rPr>
              <w:t>to  385</w:t>
            </w:r>
            <w:proofErr w:type="gramEnd"/>
            <w:r w:rsidRPr="00D8223E">
              <w:rPr>
                <w:rFonts w:ascii="Times New Roman" w:hAnsi="Times New Roman" w:cs="Times New Roman"/>
                <w:color w:val="000000" w:themeColor="text1"/>
                <w:sz w:val="24"/>
                <w:szCs w:val="24"/>
              </w:rPr>
              <w:t>.2</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p w:rsidR="00BC234A" w:rsidRPr="00D8223E" w:rsidRDefault="00BC234A" w:rsidP="00FD3A7A">
            <w:pPr>
              <w:spacing w:line="276" w:lineRule="auto"/>
              <w:jc w:val="center"/>
              <w:rPr>
                <w:rFonts w:ascii="Times New Roman" w:hAnsi="Times New Roman" w:cs="Times New Roman"/>
                <w:color w:val="000000" w:themeColor="text1"/>
                <w:sz w:val="24"/>
                <w:szCs w:val="24"/>
              </w:rPr>
            </w:pPr>
          </w:p>
        </w:tc>
      </w:tr>
      <w:tr w:rsidR="00D8223E" w:rsidRPr="00D8223E" w:rsidTr="00FD3A7A">
        <w:trPr>
          <w:trHeight w:val="340"/>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892BE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Simplified diagnostic </w:t>
            </w:r>
            <w:r w:rsidR="00892BEA" w:rsidRPr="00D8223E">
              <w:rPr>
                <w:rFonts w:ascii="Times New Roman" w:hAnsi="Times New Roman" w:cs="Times New Roman"/>
                <w:color w:val="000000" w:themeColor="text1"/>
                <w:sz w:val="24"/>
                <w:szCs w:val="24"/>
              </w:rPr>
              <w:t>criteria</w:t>
            </w:r>
            <w:r w:rsidRPr="00D8223E">
              <w:rPr>
                <w:rFonts w:ascii="Times New Roman" w:hAnsi="Times New Roman" w:cs="Times New Roman"/>
                <w:bCs/>
                <w:color w:val="000000" w:themeColor="text1"/>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6</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0.7, 0.1 to 1.2</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0.018</w:t>
            </w:r>
          </w:p>
        </w:tc>
      </w:tr>
      <w:tr w:rsidR="00D8223E" w:rsidRPr="00D8223E" w:rsidTr="00FD3A7A">
        <w:trPr>
          <w:trHeight w:val="340"/>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892BE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Pre-Treatment Original criteria</w:t>
            </w:r>
            <w:r w:rsidR="00BC234A" w:rsidRPr="00D8223E">
              <w:rPr>
                <w:rFonts w:ascii="Times New Roman" w:hAnsi="Times New Roman" w:cs="Times New Roman"/>
                <w:bCs/>
                <w:color w:val="000000" w:themeColor="text1"/>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w:t>
            </w:r>
          </w:p>
          <w:p w:rsidR="00BC234A" w:rsidRPr="00D8223E" w:rsidRDefault="00BC234A" w:rsidP="00FD3A7A">
            <w:pPr>
              <w:spacing w:line="276" w:lineRule="auto"/>
              <w:jc w:val="center"/>
              <w:rPr>
                <w:rFonts w:ascii="Times New Roman" w:hAnsi="Times New Roman" w:cs="Times New Roman"/>
                <w:color w:val="000000" w:themeColor="text1"/>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14</w:t>
            </w:r>
          </w:p>
          <w:p w:rsidR="00BC234A" w:rsidRPr="00D8223E" w:rsidRDefault="00BC234A" w:rsidP="00FD3A7A">
            <w:pPr>
              <w:spacing w:line="276" w:lineRule="auto"/>
              <w:jc w:val="center"/>
              <w:rPr>
                <w:rFonts w:ascii="Times New Roman" w:hAnsi="Times New Roman" w:cs="Times New Roman"/>
                <w:color w:val="000000" w:themeColor="text1"/>
                <w:sz w:val="24"/>
                <w:szCs w:val="24"/>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 3.0, 1.3 to 4.8</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0.001</w:t>
            </w:r>
          </w:p>
        </w:tc>
      </w:tr>
      <w:tr w:rsidR="00D8223E" w:rsidRPr="00D8223E" w:rsidTr="00FD3A7A">
        <w:trPr>
          <w:trHeight w:val="430"/>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892BE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Post-Treatment Original criteria</w:t>
            </w:r>
            <w:r w:rsidR="00BC234A" w:rsidRPr="00D8223E">
              <w:rPr>
                <w:rFonts w:ascii="Times New Roman" w:hAnsi="Times New Roman" w:cs="Times New Roman"/>
                <w:bCs/>
                <w:color w:val="000000" w:themeColor="text1"/>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20</w:t>
            </w:r>
          </w:p>
          <w:p w:rsidR="00BC234A" w:rsidRPr="00D8223E" w:rsidRDefault="00BC234A" w:rsidP="00FD3A7A">
            <w:pPr>
              <w:spacing w:line="276" w:lineRule="auto"/>
              <w:jc w:val="center"/>
              <w:rPr>
                <w:rFonts w:ascii="Times New Roman" w:hAnsi="Times New Roman" w:cs="Times New Roman"/>
                <w:color w:val="000000" w:themeColor="text1"/>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 xml:space="preserve">2.9, 0.8 to 5.1 </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line="276" w:lineRule="auto"/>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0.010</w:t>
            </w:r>
          </w:p>
        </w:tc>
      </w:tr>
      <w:tr w:rsidR="00D8223E" w:rsidRPr="00D8223E" w:rsidTr="00FD3A7A">
        <w:trPr>
          <w:trHeight w:val="430"/>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7F32D6">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New AILD Score</w:t>
            </w:r>
            <w:r w:rsidRPr="00D8223E">
              <w:rPr>
                <w:rFonts w:ascii="Times New Roman" w:hAnsi="Times New Roman" w:cs="Times New Roman"/>
                <w:bCs/>
                <w:color w:val="000000" w:themeColor="text1"/>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0.9, -0.6 to 2.6</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jc w:val="center"/>
              <w:rPr>
                <w:rFonts w:ascii="Times New Roman" w:hAnsi="Times New Roman" w:cs="Times New Roman"/>
                <w:bCs/>
                <w:color w:val="000000" w:themeColor="text1"/>
                <w:sz w:val="24"/>
                <w:szCs w:val="24"/>
              </w:rPr>
            </w:pPr>
            <w:r w:rsidRPr="00D8223E">
              <w:rPr>
                <w:rFonts w:ascii="Times New Roman" w:hAnsi="Times New Roman" w:cs="Times New Roman"/>
                <w:bCs/>
                <w:color w:val="000000" w:themeColor="text1"/>
                <w:sz w:val="24"/>
                <w:szCs w:val="24"/>
              </w:rPr>
              <w:t>0.219</w:t>
            </w:r>
          </w:p>
        </w:tc>
      </w:tr>
      <w:tr w:rsidR="00D8223E" w:rsidRPr="00D8223E" w:rsidTr="00FD3A7A">
        <w:trPr>
          <w:trHeight w:val="1066"/>
          <w:jc w:val="center"/>
        </w:trPr>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Liver Biopsy findings</w:t>
            </w:r>
            <w:r w:rsidRPr="00D8223E">
              <w:rPr>
                <w:rFonts w:ascii="Times New Roman" w:hAnsi="Times New Roman" w:cs="Times New Roman"/>
                <w:color w:val="000000" w:themeColor="text1"/>
                <w:sz w:val="18"/>
                <w:szCs w:val="18"/>
              </w:rPr>
              <w:t>****</w:t>
            </w:r>
            <w:r w:rsidRPr="00D8223E">
              <w:rPr>
                <w:rFonts w:ascii="Times New Roman" w:hAnsi="Times New Roman" w:cs="Times New Roman"/>
                <w:color w:val="000000" w:themeColor="text1"/>
                <w:sz w:val="24"/>
                <w:szCs w:val="24"/>
              </w:rPr>
              <w:t>:</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Bile </w:t>
            </w:r>
            <w:proofErr w:type="spellStart"/>
            <w:r w:rsidRPr="00D8223E">
              <w:rPr>
                <w:rFonts w:ascii="Times New Roman" w:hAnsi="Times New Roman" w:cs="Times New Roman"/>
                <w:color w:val="000000" w:themeColor="text1"/>
                <w:sz w:val="24"/>
                <w:szCs w:val="24"/>
              </w:rPr>
              <w:t>Ductular</w:t>
            </w:r>
            <w:proofErr w:type="spellEnd"/>
            <w:r w:rsidRPr="00D8223E">
              <w:rPr>
                <w:rFonts w:ascii="Times New Roman" w:hAnsi="Times New Roman" w:cs="Times New Roman"/>
                <w:color w:val="000000" w:themeColor="text1"/>
                <w:sz w:val="24"/>
                <w:szCs w:val="24"/>
              </w:rPr>
              <w:t xml:space="preserve"> Reaction</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Bile Duct Injury</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Bile Duct Loss</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Bridging Necrosis</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Cholestasis</w:t>
            </w:r>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proofErr w:type="spellStart"/>
            <w:r w:rsidRPr="00D8223E">
              <w:rPr>
                <w:rFonts w:ascii="Times New Roman" w:hAnsi="Times New Roman" w:cs="Times New Roman"/>
                <w:color w:val="000000" w:themeColor="text1"/>
                <w:sz w:val="24"/>
                <w:szCs w:val="24"/>
              </w:rPr>
              <w:t>Pseudorosette</w:t>
            </w:r>
            <w:proofErr w:type="spellEnd"/>
          </w:p>
          <w:p w:rsidR="00BC234A" w:rsidRPr="00D8223E" w:rsidRDefault="00BC234A" w:rsidP="00BC234A">
            <w:pPr>
              <w:pStyle w:val="ListParagraph"/>
              <w:numPr>
                <w:ilvl w:val="0"/>
                <w:numId w:val="2"/>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Parenchymal collapse</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before="60"/>
              <w:jc w:val="center"/>
              <w:rPr>
                <w:rFonts w:ascii="Times New Roman" w:hAnsi="Times New Roman" w:cs="Times New Roman"/>
                <w:color w:val="000000" w:themeColor="text1"/>
                <w:sz w:val="24"/>
                <w:szCs w:val="24"/>
              </w:rPr>
            </w:pP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45 (64.3 %)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 (12.9 %)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 (24.3 %)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29 (41.4 %)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55 (78.6 %)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25 (35.7 %)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before="60"/>
              <w:jc w:val="center"/>
              <w:rPr>
                <w:rFonts w:ascii="Times New Roman" w:hAnsi="Times New Roman" w:cs="Times New Roman"/>
                <w:color w:val="000000" w:themeColor="text1"/>
                <w:sz w:val="24"/>
                <w:szCs w:val="24"/>
              </w:rPr>
            </w:pP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 (100 %)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 (100 %)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6 (40 %)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 (100 %)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3 (20 %)</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 (6.7 %)</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before="60"/>
              <w:jc w:val="center"/>
              <w:rPr>
                <w:rFonts w:ascii="Times New Roman" w:hAnsi="Times New Roman" w:cs="Times New Roman"/>
                <w:color w:val="000000" w:themeColor="text1"/>
                <w:sz w:val="24"/>
                <w:szCs w:val="24"/>
              </w:rPr>
            </w:pP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0.8, 0.6 to 0.9</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12.2, 3.8 to 39.1</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8.8, 4.7 to 16.2</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 1.1 to 1.5</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13.7, 1.9 to 99.4</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14.7, 3.7 to 58.8</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7.8, 0.9 to 62.7</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C234A" w:rsidRPr="00D8223E" w:rsidRDefault="00BC234A" w:rsidP="00FD3A7A">
            <w:pPr>
              <w:spacing w:before="60"/>
              <w:jc w:val="center"/>
              <w:rPr>
                <w:rFonts w:ascii="Times New Roman" w:hAnsi="Times New Roman" w:cs="Times New Roman"/>
                <w:color w:val="000000" w:themeColor="text1"/>
                <w:sz w:val="24"/>
                <w:szCs w:val="24"/>
              </w:rPr>
            </w:pP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0.004</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0.034</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&lt; 0.001</w:t>
            </w:r>
          </w:p>
          <w:p w:rsidR="00BC234A" w:rsidRPr="00D8223E" w:rsidRDefault="00BC234A" w:rsidP="00FD3A7A">
            <w:pPr>
              <w:spacing w:before="60"/>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0.031</w:t>
            </w:r>
          </w:p>
        </w:tc>
      </w:tr>
    </w:tbl>
    <w:p w:rsidR="00BC234A" w:rsidRPr="00D8223E" w:rsidRDefault="00BC234A" w:rsidP="00BC234A">
      <w:pPr>
        <w:spacing w:after="0"/>
        <w:rPr>
          <w:rFonts w:ascii="Times New Roman" w:hAnsi="Times New Roman" w:cs="Times New Roman"/>
          <w:color w:val="000000" w:themeColor="text1"/>
          <w:sz w:val="18"/>
          <w:szCs w:val="18"/>
        </w:rPr>
      </w:pPr>
      <w:r w:rsidRPr="00D8223E">
        <w:rPr>
          <w:rFonts w:ascii="Times New Roman" w:hAnsi="Times New Roman" w:cs="Times New Roman"/>
          <w:color w:val="000000" w:themeColor="text1"/>
          <w:sz w:val="18"/>
          <w:szCs w:val="18"/>
        </w:rPr>
        <w:t>* Data as Median (25</w:t>
      </w:r>
      <w:r w:rsidRPr="00D8223E">
        <w:rPr>
          <w:rFonts w:ascii="Times New Roman" w:hAnsi="Times New Roman" w:cs="Times New Roman"/>
          <w:color w:val="000000" w:themeColor="text1"/>
          <w:sz w:val="18"/>
          <w:szCs w:val="18"/>
          <w:vertAlign w:val="superscript"/>
        </w:rPr>
        <w:t>th</w:t>
      </w:r>
      <w:r w:rsidRPr="00D8223E">
        <w:rPr>
          <w:rFonts w:ascii="Times New Roman" w:hAnsi="Times New Roman" w:cs="Times New Roman"/>
          <w:color w:val="000000" w:themeColor="text1"/>
          <w:sz w:val="18"/>
          <w:szCs w:val="18"/>
        </w:rPr>
        <w:t>-75</w:t>
      </w:r>
      <w:r w:rsidRPr="00D8223E">
        <w:rPr>
          <w:rFonts w:ascii="Times New Roman" w:hAnsi="Times New Roman" w:cs="Times New Roman"/>
          <w:color w:val="000000" w:themeColor="text1"/>
          <w:sz w:val="18"/>
          <w:szCs w:val="18"/>
          <w:vertAlign w:val="superscript"/>
        </w:rPr>
        <w:t>th</w:t>
      </w:r>
      <w:r w:rsidRPr="00D8223E">
        <w:rPr>
          <w:rFonts w:ascii="Times New Roman" w:hAnsi="Times New Roman" w:cs="Times New Roman"/>
          <w:color w:val="000000" w:themeColor="text1"/>
          <w:sz w:val="18"/>
          <w:szCs w:val="18"/>
        </w:rPr>
        <w:t xml:space="preserve"> percentile), </w:t>
      </w:r>
      <w:r w:rsidRPr="00D8223E">
        <w:rPr>
          <w:rFonts w:ascii="Times New Roman" w:hAnsi="Times New Roman" w:cs="Times New Roman"/>
          <w:b/>
          <w:color w:val="000000" w:themeColor="text1"/>
          <w:sz w:val="18"/>
          <w:szCs w:val="18"/>
        </w:rPr>
        <w:t xml:space="preserve">** </w:t>
      </w:r>
      <w:r w:rsidRPr="00D8223E">
        <w:rPr>
          <w:rFonts w:ascii="Times New Roman" w:hAnsi="Times New Roman" w:cs="Times New Roman"/>
          <w:color w:val="000000" w:themeColor="text1"/>
          <w:sz w:val="18"/>
          <w:szCs w:val="18"/>
        </w:rPr>
        <w:t>Mean Difference/95 % CI for comparison of means and OR/95 % CI for comparison of proportions, *** p-value &lt; 0.05 as significant, **** Data as n (%)</w:t>
      </w:r>
    </w:p>
    <w:p w:rsidR="00BC234A" w:rsidRPr="00D8223E" w:rsidRDefault="00BC234A" w:rsidP="00BC234A">
      <w:pPr>
        <w:rPr>
          <w:color w:val="000000" w:themeColor="text1"/>
        </w:rPr>
      </w:pPr>
    </w:p>
    <w:p w:rsidR="00BC234A" w:rsidRPr="00D8223E" w:rsidRDefault="00BC234A" w:rsidP="00BC234A">
      <w:pPr>
        <w:spacing w:after="0" w:line="240" w:lineRule="auto"/>
        <w:ind w:left="-284"/>
        <w:jc w:val="both"/>
        <w:rPr>
          <w:rFonts w:ascii="Times New Roman" w:hAnsi="Times New Roman" w:cs="Times New Roman"/>
          <w:color w:val="000000" w:themeColor="text1"/>
          <w:sz w:val="18"/>
          <w:szCs w:val="18"/>
        </w:rPr>
      </w:pPr>
      <w:r w:rsidRPr="00D8223E">
        <w:rPr>
          <w:rFonts w:ascii="Times New Roman" w:hAnsi="Times New Roman" w:cs="Times New Roman"/>
          <w:b/>
          <w:color w:val="000000" w:themeColor="text1"/>
          <w:sz w:val="18"/>
          <w:szCs w:val="18"/>
        </w:rPr>
        <w:t>Abbreviations:</w:t>
      </w:r>
      <w:r w:rsidRPr="00D8223E">
        <w:rPr>
          <w:rFonts w:ascii="Times New Roman" w:hAnsi="Times New Roman" w:cs="Times New Roman"/>
          <w:color w:val="000000" w:themeColor="text1"/>
          <w:sz w:val="18"/>
          <w:szCs w:val="18"/>
        </w:rPr>
        <w:t xml:space="preserve"> AIH- Autoimmune hepatitis, ASC- Autoimmune </w:t>
      </w:r>
      <w:proofErr w:type="spellStart"/>
      <w:r w:rsidRPr="00D8223E">
        <w:rPr>
          <w:rFonts w:ascii="Times New Roman" w:hAnsi="Times New Roman" w:cs="Times New Roman"/>
          <w:color w:val="000000" w:themeColor="text1"/>
          <w:sz w:val="18"/>
          <w:szCs w:val="18"/>
        </w:rPr>
        <w:t>sclerosing</w:t>
      </w:r>
      <w:proofErr w:type="spellEnd"/>
      <w:r w:rsidRPr="00D8223E">
        <w:rPr>
          <w:rFonts w:ascii="Times New Roman" w:hAnsi="Times New Roman" w:cs="Times New Roman"/>
          <w:color w:val="000000" w:themeColor="text1"/>
          <w:sz w:val="18"/>
          <w:szCs w:val="18"/>
        </w:rPr>
        <w:t xml:space="preserve"> cholangitis, AILD- Autoimmune Liver Disease, ALT- Alanine Aminotransferase, AST- Aspartate Aminotransferase, OR- Odd’s Ratio, </w:t>
      </w:r>
      <w:r w:rsidRPr="00D8223E">
        <w:rPr>
          <w:rFonts w:ascii="Times New Roman" w:hAnsi="Times New Roman" w:cs="Times New Roman"/>
          <w:color w:val="000000" w:themeColor="text1"/>
          <w:sz w:val="20"/>
          <w:szCs w:val="20"/>
        </w:rPr>
        <w:t>CI- Confidence interval</w:t>
      </w:r>
    </w:p>
    <w:p w:rsidR="00BC234A" w:rsidRPr="00D8223E" w:rsidRDefault="00BC234A" w:rsidP="00BC234A">
      <w:pPr>
        <w:rPr>
          <w:color w:val="000000" w:themeColor="text1"/>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BC234A">
      <w:pPr>
        <w:rPr>
          <w:rFonts w:ascii="Times New Roman" w:hAnsi="Times New Roman" w:cs="Times New Roman"/>
          <w:color w:val="000000" w:themeColor="text1"/>
          <w:sz w:val="24"/>
        </w:rPr>
      </w:pPr>
    </w:p>
    <w:p w:rsidR="00BC234A" w:rsidRPr="00D8223E" w:rsidRDefault="005E07A6" w:rsidP="00BC234A">
      <w:pPr>
        <w:rPr>
          <w:rFonts w:ascii="Times New Roman" w:hAnsi="Times New Roman" w:cs="Times New Roman"/>
          <w:b/>
          <w:color w:val="000000" w:themeColor="text1"/>
          <w:sz w:val="24"/>
        </w:rPr>
      </w:pPr>
      <w:r w:rsidRPr="00D8223E">
        <w:rPr>
          <w:rFonts w:ascii="Times New Roman" w:hAnsi="Times New Roman" w:cs="Times New Roman"/>
          <w:b/>
          <w:color w:val="000000" w:themeColor="text1"/>
          <w:sz w:val="24"/>
        </w:rPr>
        <w:lastRenderedPageBreak/>
        <w:t>SDC-8</w:t>
      </w:r>
      <w:r w:rsidR="00BC234A" w:rsidRPr="00D8223E">
        <w:rPr>
          <w:rFonts w:ascii="Times New Roman" w:hAnsi="Times New Roman" w:cs="Times New Roman"/>
          <w:b/>
          <w:color w:val="000000" w:themeColor="text1"/>
          <w:sz w:val="24"/>
        </w:rPr>
        <w:t>: Comparison of features between seronegative and seropositive AIH subjects</w:t>
      </w:r>
    </w:p>
    <w:tbl>
      <w:tblPr>
        <w:tblStyle w:val="TableGrid"/>
        <w:tblpPr w:leftFromText="180" w:rightFromText="180" w:horzAnchor="margin" w:tblpXSpec="center" w:tblpY="766"/>
        <w:tblW w:w="11199" w:type="dxa"/>
        <w:tblLook w:val="04A0" w:firstRow="1" w:lastRow="0" w:firstColumn="1" w:lastColumn="0" w:noHBand="0" w:noVBand="1"/>
      </w:tblPr>
      <w:tblGrid>
        <w:gridCol w:w="5245"/>
        <w:gridCol w:w="3119"/>
        <w:gridCol w:w="2835"/>
      </w:tblGrid>
      <w:tr w:rsidR="00D8223E" w:rsidRPr="00D8223E" w:rsidTr="00FD3A7A">
        <w:trPr>
          <w:trHeight w:val="125"/>
        </w:trPr>
        <w:tc>
          <w:tcPr>
            <w:tcW w:w="5245" w:type="dxa"/>
          </w:tcPr>
          <w:p w:rsidR="00BC234A" w:rsidRPr="00D8223E" w:rsidRDefault="00BC234A" w:rsidP="00FD3A7A">
            <w:pPr>
              <w:spacing w:line="276"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Parameter</w:t>
            </w:r>
          </w:p>
        </w:tc>
        <w:tc>
          <w:tcPr>
            <w:tcW w:w="3119" w:type="dxa"/>
          </w:tcPr>
          <w:p w:rsidR="00BC234A" w:rsidRPr="00D8223E" w:rsidRDefault="00BC234A" w:rsidP="00FD3A7A">
            <w:pPr>
              <w:spacing w:line="276"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Seronegative AIH [n = 16]</w:t>
            </w:r>
          </w:p>
        </w:tc>
        <w:tc>
          <w:tcPr>
            <w:tcW w:w="2835" w:type="dxa"/>
          </w:tcPr>
          <w:p w:rsidR="00BC234A" w:rsidRPr="00D8223E" w:rsidRDefault="00BC234A" w:rsidP="00FD3A7A">
            <w:pPr>
              <w:spacing w:line="276"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Seropositive AIH [n = 54]</w:t>
            </w:r>
          </w:p>
        </w:tc>
      </w:tr>
      <w:tr w:rsidR="00D8223E" w:rsidRPr="00D8223E" w:rsidTr="00FD3A7A">
        <w:trPr>
          <w:trHeight w:val="253"/>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Age at onset (years)</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7.6 [4.1 – 11.5]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8.60 [5.7 – 10.9]</w:t>
            </w:r>
          </w:p>
        </w:tc>
      </w:tr>
      <w:tr w:rsidR="00D8223E" w:rsidRPr="00D8223E" w:rsidTr="00FD3A7A">
        <w:trPr>
          <w:trHeight w:val="253"/>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Age at diagnosis (years)*</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8.5 [6.3 – 12.7]</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9.7 [7.2 – 12.6]</w:t>
            </w:r>
          </w:p>
        </w:tc>
      </w:tr>
      <w:tr w:rsidR="00D8223E" w:rsidRPr="00D8223E" w:rsidTr="00FD3A7A">
        <w:trPr>
          <w:trHeight w:val="253"/>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Sex (M:F)</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1.7:1</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0.8:1</w:t>
            </w:r>
          </w:p>
        </w:tc>
      </w:tr>
      <w:tr w:rsidR="00D8223E" w:rsidRPr="00D8223E" w:rsidTr="00FD3A7A">
        <w:trPr>
          <w:trHeight w:val="2220"/>
        </w:trPr>
        <w:tc>
          <w:tcPr>
            <w:tcW w:w="5245" w:type="dxa"/>
          </w:tcPr>
          <w:p w:rsidR="00BC234A" w:rsidRPr="00D8223E" w:rsidRDefault="00BC234A" w:rsidP="00FD3A7A">
            <w:pP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Syndromic Diagnosis, n (%):</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Acute Hepatitis (AH)</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Chronic Hepatitis (CH)</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Acute Liver Failure (ALF)</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Compensated Chronic Liver Disease (CLD)</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Decompensated CLD</w:t>
            </w:r>
          </w:p>
          <w:p w:rsidR="00BC234A" w:rsidRPr="00D8223E" w:rsidRDefault="00BC234A" w:rsidP="00BC234A">
            <w:pPr>
              <w:pStyle w:val="ListParagraph"/>
              <w:numPr>
                <w:ilvl w:val="0"/>
                <w:numId w:val="3"/>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Acute on Chronic Liver Failure (ACLF)</w:t>
            </w:r>
          </w:p>
        </w:tc>
        <w:tc>
          <w:tcPr>
            <w:tcW w:w="3119" w:type="dxa"/>
          </w:tcPr>
          <w:p w:rsidR="00BC234A" w:rsidRPr="00D8223E" w:rsidRDefault="00BC234A" w:rsidP="00FD3A7A">
            <w:pPr>
              <w:spacing w:before="10"/>
              <w:jc w:val="center"/>
              <w:rPr>
                <w:rFonts w:ascii="Times New Roman" w:hAnsi="Times New Roman" w:cs="Times New Roman"/>
                <w:color w:val="000000" w:themeColor="text1"/>
                <w:sz w:val="24"/>
                <w:szCs w:val="24"/>
              </w:rPr>
            </w:pP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1 (6.3 %) </w:t>
            </w: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3 (18.8 %)</w:t>
            </w: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 (12.5 %)</w:t>
            </w: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 (25.0 %)</w:t>
            </w: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6 (37.5 %)</w:t>
            </w:r>
          </w:p>
          <w:p w:rsidR="00BC234A" w:rsidRPr="00D8223E" w:rsidRDefault="00BC234A" w:rsidP="00FD3A7A">
            <w:pPr>
              <w:spacing w:before="2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w:t>
            </w:r>
          </w:p>
        </w:tc>
        <w:tc>
          <w:tcPr>
            <w:tcW w:w="2835" w:type="dxa"/>
          </w:tcPr>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 (18.5 %)</w:t>
            </w: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w:t>
            </w: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3 (5.6 %)</w:t>
            </w: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19 (35.2 %)</w:t>
            </w: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 (24 %)</w:t>
            </w:r>
          </w:p>
          <w:p w:rsidR="00BC234A" w:rsidRPr="00D8223E" w:rsidRDefault="00BC234A" w:rsidP="00FD3A7A">
            <w:pPr>
              <w:spacing w:before="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 (16.7 %)</w:t>
            </w:r>
          </w:p>
        </w:tc>
      </w:tr>
      <w:tr w:rsidR="00D8223E" w:rsidRPr="00D8223E" w:rsidTr="00FD3A7A">
        <w:trPr>
          <w:trHeight w:val="197"/>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Acute Presentation (AH + ALF + ACLF),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3 (18.8 %)</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25 (46.3 %)</w:t>
            </w:r>
          </w:p>
        </w:tc>
      </w:tr>
      <w:tr w:rsidR="00D8223E" w:rsidRPr="00D8223E" w:rsidTr="00FD3A7A">
        <w:trPr>
          <w:trHeight w:val="119"/>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Advanced Fibrosis [</w:t>
            </w:r>
            <w:r w:rsidRPr="00D8223E">
              <w:rPr>
                <w:rFonts w:ascii="Times New Roman" w:hAnsi="Times New Roman" w:cs="Times New Roman"/>
                <w:color w:val="000000" w:themeColor="text1"/>
                <w:sz w:val="24"/>
                <w:szCs w:val="24"/>
                <w:u w:val="single"/>
              </w:rPr>
              <w:t>&gt;</w:t>
            </w:r>
            <w:r w:rsidRPr="00D8223E">
              <w:rPr>
                <w:rFonts w:ascii="Times New Roman" w:hAnsi="Times New Roman" w:cs="Times New Roman"/>
                <w:color w:val="000000" w:themeColor="text1"/>
                <w:sz w:val="24"/>
                <w:szCs w:val="24"/>
              </w:rPr>
              <w:t xml:space="preserve"> F4] at Presentation,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 (62.5 %)</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41 (75.9 %)</w:t>
            </w:r>
          </w:p>
        </w:tc>
      </w:tr>
      <w:tr w:rsidR="00D8223E" w:rsidRPr="00D8223E" w:rsidTr="00FD3A7A">
        <w:trPr>
          <w:trHeight w:val="119"/>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Jaundice as Presentation,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16 (100 %)</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47 (87 %)</w:t>
            </w:r>
          </w:p>
        </w:tc>
      </w:tr>
      <w:tr w:rsidR="00D8223E" w:rsidRPr="00D8223E" w:rsidTr="00FD3A7A">
        <w:trPr>
          <w:trHeight w:val="119"/>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Presence of Portal Hypertension,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11 (68.8 %)</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38 (70.4 %)</w:t>
            </w:r>
          </w:p>
        </w:tc>
      </w:tr>
      <w:tr w:rsidR="00D8223E" w:rsidRPr="00D8223E" w:rsidTr="00FD3A7A">
        <w:trPr>
          <w:trHeight w:val="119"/>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Decompensation at Presentation,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6 (37.5 %)</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24 (44.4 %)</w:t>
            </w:r>
          </w:p>
        </w:tc>
      </w:tr>
      <w:tr w:rsidR="00D8223E" w:rsidRPr="00D8223E" w:rsidTr="00FD3A7A">
        <w:trPr>
          <w:trHeight w:val="119"/>
        </w:trPr>
        <w:tc>
          <w:tcPr>
            <w:tcW w:w="5245" w:type="dxa"/>
          </w:tcPr>
          <w:p w:rsidR="00BC234A" w:rsidRPr="00D8223E" w:rsidRDefault="00BC234A" w:rsidP="00FD3A7A">
            <w:pP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Extrahepatic Autoimmune Disorders, n (%)</w:t>
            </w:r>
          </w:p>
        </w:tc>
        <w:tc>
          <w:tcPr>
            <w:tcW w:w="3119"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 (50 %)</w:t>
            </w:r>
          </w:p>
        </w:tc>
        <w:tc>
          <w:tcPr>
            <w:tcW w:w="2835" w:type="dxa"/>
          </w:tcPr>
          <w:p w:rsidR="00BC234A" w:rsidRPr="00D8223E" w:rsidRDefault="00BC234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23 (42.6 %)</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proofErr w:type="spellStart"/>
            <w:r w:rsidRPr="00D8223E">
              <w:rPr>
                <w:rFonts w:ascii="Times New Roman" w:hAnsi="Times New Roman" w:cs="Times New Roman"/>
                <w:color w:val="000000" w:themeColor="text1"/>
                <w:sz w:val="24"/>
                <w:szCs w:val="24"/>
              </w:rPr>
              <w:t>Hemoglobin</w:t>
            </w:r>
            <w:proofErr w:type="spellEnd"/>
            <w:r w:rsidRPr="00D8223E">
              <w:rPr>
                <w:rFonts w:ascii="Times New Roman" w:hAnsi="Times New Roman" w:cs="Times New Roman"/>
                <w:color w:val="000000" w:themeColor="text1"/>
                <w:sz w:val="24"/>
                <w:szCs w:val="24"/>
              </w:rPr>
              <w:t xml:space="preserve"> (g/dl)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10.35 [8.97 – 11.83]</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10.20 [8.4 – 11.7]</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Total Leucocyte Count (/</w:t>
            </w:r>
            <w:proofErr w:type="spellStart"/>
            <w:r w:rsidRPr="00D8223E">
              <w:rPr>
                <w:rFonts w:ascii="Times New Roman" w:hAnsi="Times New Roman" w:cs="Times New Roman"/>
                <w:color w:val="000000" w:themeColor="text1"/>
                <w:sz w:val="24"/>
                <w:szCs w:val="24"/>
              </w:rPr>
              <w:t>cumm</w:t>
            </w:r>
            <w:proofErr w:type="spellEnd"/>
            <w:r w:rsidRPr="00D8223E">
              <w:rPr>
                <w:rFonts w:ascii="Times New Roman" w:hAnsi="Times New Roman" w:cs="Times New Roman"/>
                <w:color w:val="000000" w:themeColor="text1"/>
                <w:sz w:val="24"/>
                <w:szCs w:val="24"/>
              </w:rPr>
              <w:t>)</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7300 [4750 – 10250]</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7400 [5275 – 9750]</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Platelet Count (/</w:t>
            </w:r>
            <w:proofErr w:type="spellStart"/>
            <w:r w:rsidRPr="00D8223E">
              <w:rPr>
                <w:rFonts w:ascii="Times New Roman" w:hAnsi="Times New Roman" w:cs="Times New Roman"/>
                <w:color w:val="000000" w:themeColor="text1"/>
                <w:sz w:val="24"/>
                <w:szCs w:val="24"/>
              </w:rPr>
              <w:t>cumm</w:t>
            </w:r>
            <w:proofErr w:type="spellEnd"/>
            <w:r w:rsidRPr="00D8223E">
              <w:rPr>
                <w:rFonts w:ascii="Times New Roman" w:hAnsi="Times New Roman" w:cs="Times New Roman"/>
                <w:color w:val="000000" w:themeColor="text1"/>
                <w:sz w:val="24"/>
                <w:szCs w:val="24"/>
              </w:rPr>
              <w:t>)</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100,000 [75250 - 206750]</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133000 [89000 – 265250]</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Total Bilirubin (mg/dl)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4.1 [2.13 – 10.10]</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5.1 [1.9 – 13.2]</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Direct Bilirubin (mg/dl)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1.90 [0.8 – 6.35]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2.5 [0.8 – 6.9]</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AST (IU/L)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288 [178 – 909]</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266 [133.5 – 573.3]</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ALT (IU/L)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162 [89 – 1025]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190.5 [97.2 – 376.5]</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SAP (IU/L)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271.5 [186.5 – 457.25]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292 [204.3 – 417]</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GGTP (IU/L)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50 [25.75 – 87]</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41 [29.5 – 66.5]</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Albumin (g/dl)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 [2.22 – 3.6]</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2.7 [2.2 – 3.3]</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INR</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1.55 [1.3 – 2.0]</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 [1.3 – 2.2]</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Total IgG (g/L)</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 [17.6 – 35.3]</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24.4 [19.8 – 31.7]</w:t>
            </w:r>
          </w:p>
        </w:tc>
      </w:tr>
      <w:tr w:rsidR="00D8223E" w:rsidRPr="00D8223E" w:rsidTr="00FD3A7A">
        <w:trPr>
          <w:trHeight w:val="28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ESR (mm/1</w:t>
            </w:r>
            <w:r w:rsidRPr="00D8223E">
              <w:rPr>
                <w:rFonts w:ascii="Times New Roman" w:hAnsi="Times New Roman" w:cs="Times New Roman"/>
                <w:color w:val="000000" w:themeColor="text1"/>
                <w:sz w:val="24"/>
                <w:szCs w:val="24"/>
                <w:vertAlign w:val="superscript"/>
              </w:rPr>
              <w:t>st</w:t>
            </w:r>
            <w:r w:rsidRPr="00D8223E">
              <w:rPr>
                <w:rFonts w:ascii="Times New Roman" w:hAnsi="Times New Roman" w:cs="Times New Roman"/>
                <w:color w:val="000000" w:themeColor="text1"/>
                <w:sz w:val="24"/>
                <w:szCs w:val="24"/>
              </w:rPr>
              <w:t xml:space="preserve"> hour)</w:t>
            </w:r>
            <w:r w:rsidRPr="00D8223E">
              <w:rPr>
                <w:rFonts w:ascii="Times New Roman" w:hAnsi="Times New Roman" w:cs="Times New Roman"/>
                <w:color w:val="000000" w:themeColor="text1"/>
                <w:sz w:val="20"/>
                <w:szCs w:val="20"/>
              </w:rPr>
              <w:t>*</w:t>
            </w:r>
            <w:r w:rsidRPr="00D8223E">
              <w:rPr>
                <w:rFonts w:ascii="Times New Roman" w:hAnsi="Times New Roman" w:cs="Times New Roman"/>
                <w:color w:val="000000" w:themeColor="text1"/>
                <w:sz w:val="20"/>
                <w:szCs w:val="20"/>
                <w:vertAlign w:val="superscript"/>
              </w:rPr>
              <w:t>,</w:t>
            </w:r>
            <w:r w:rsidRPr="00D8223E">
              <w:rPr>
                <w:rFonts w:ascii="Times New Roman" w:hAnsi="Times New Roman" w:cs="Times New Roman"/>
                <w:color w:val="000000" w:themeColor="text1"/>
                <w:sz w:val="20"/>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19 [11 – 48]</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27 [15 – 46]</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Liver Stiffness (K Pa)</w:t>
            </w:r>
            <w:r w:rsidRPr="00D8223E">
              <w:rPr>
                <w:rFonts w:ascii="Times New Roman" w:hAnsi="Times New Roman" w:cs="Times New Roman"/>
                <w:color w:val="000000" w:themeColor="text1"/>
                <w:sz w:val="20"/>
                <w:szCs w:val="20"/>
              </w:rPr>
              <w:t>*</w:t>
            </w:r>
            <w:r w:rsidRPr="00D8223E">
              <w:rPr>
                <w:rFonts w:ascii="Times New Roman" w:hAnsi="Times New Roman" w:cs="Times New Roman"/>
                <w:color w:val="000000" w:themeColor="text1"/>
                <w:sz w:val="20"/>
                <w:szCs w:val="20"/>
                <w:vertAlign w:val="superscript"/>
              </w:rPr>
              <w:t>,</w:t>
            </w:r>
            <w:r w:rsidRPr="00D8223E">
              <w:rPr>
                <w:rFonts w:ascii="Times New Roman" w:hAnsi="Times New Roman" w:cs="Times New Roman"/>
                <w:color w:val="000000" w:themeColor="text1"/>
                <w:sz w:val="20"/>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18.2 [10.7 – 54.5]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27.9 [19.9 – 38.9] </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CTP Score</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 [6 - 9]</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 [7 – 11]</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PELD/MELD Score</w:t>
            </w:r>
            <w:r w:rsidRPr="00D8223E">
              <w:rPr>
                <w:rFonts w:ascii="Times New Roman" w:hAnsi="Times New Roman" w:cs="Times New Roman"/>
                <w:color w:val="000000" w:themeColor="text1"/>
                <w:sz w:val="24"/>
                <w:szCs w:val="20"/>
              </w:rPr>
              <w:t>*</w:t>
            </w:r>
          </w:p>
        </w:tc>
        <w:tc>
          <w:tcPr>
            <w:tcW w:w="3119"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12 [8 – 15.5]</w:t>
            </w:r>
          </w:p>
        </w:tc>
        <w:tc>
          <w:tcPr>
            <w:tcW w:w="2835" w:type="dxa"/>
          </w:tcPr>
          <w:p w:rsidR="00BC234A" w:rsidRPr="00D8223E" w:rsidRDefault="00BC234A" w:rsidP="00FD3A7A">
            <w:pPr>
              <w:spacing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15.5 [9 – 21]</w:t>
            </w:r>
          </w:p>
        </w:tc>
      </w:tr>
      <w:tr w:rsidR="00D8223E" w:rsidRPr="00D8223E" w:rsidTr="00FD3A7A">
        <w:trPr>
          <w:trHeight w:val="125"/>
        </w:trPr>
        <w:tc>
          <w:tcPr>
            <w:tcW w:w="5245" w:type="dxa"/>
          </w:tcPr>
          <w:p w:rsidR="00BC234A" w:rsidRPr="00D8223E" w:rsidRDefault="00BC234A" w:rsidP="00FD3A7A">
            <w:p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Remission, n (%)</w:t>
            </w:r>
          </w:p>
          <w:p w:rsidR="00BC234A" w:rsidRPr="00D8223E" w:rsidRDefault="00BC234A" w:rsidP="00BC234A">
            <w:pPr>
              <w:pStyle w:val="ListParagraph"/>
              <w:numPr>
                <w:ilvl w:val="0"/>
                <w:numId w:val="4"/>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Yes</w:t>
            </w:r>
          </w:p>
          <w:p w:rsidR="00BC234A" w:rsidRPr="00D8223E" w:rsidRDefault="00BC234A" w:rsidP="00BC234A">
            <w:pPr>
              <w:pStyle w:val="ListParagraph"/>
              <w:numPr>
                <w:ilvl w:val="0"/>
                <w:numId w:val="4"/>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No</w:t>
            </w:r>
          </w:p>
          <w:p w:rsidR="00BC234A" w:rsidRPr="00D8223E" w:rsidRDefault="00BC234A" w:rsidP="00BC234A">
            <w:pPr>
              <w:pStyle w:val="ListParagraph"/>
              <w:numPr>
                <w:ilvl w:val="0"/>
                <w:numId w:val="4"/>
              </w:numPr>
              <w:spacing w:line="276"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Not Applicable (LT or No Follow up)</w:t>
            </w:r>
          </w:p>
        </w:tc>
        <w:tc>
          <w:tcPr>
            <w:tcW w:w="3119" w:type="dxa"/>
          </w:tcPr>
          <w:p w:rsidR="00BC234A" w:rsidRPr="00D8223E" w:rsidRDefault="00BC234A" w:rsidP="00FD3A7A">
            <w:pPr>
              <w:spacing w:before="10" w:after="10"/>
              <w:jc w:val="center"/>
              <w:rPr>
                <w:rFonts w:ascii="Times New Roman" w:hAnsi="Times New Roman" w:cs="Times New Roman"/>
                <w:color w:val="000000" w:themeColor="text1"/>
                <w:sz w:val="24"/>
                <w:szCs w:val="24"/>
              </w:rPr>
            </w:pP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 (81.3 %)</w:t>
            </w: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 (6.3 %)</w:t>
            </w: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 (12.5 %)</w:t>
            </w:r>
          </w:p>
        </w:tc>
        <w:tc>
          <w:tcPr>
            <w:tcW w:w="2835" w:type="dxa"/>
          </w:tcPr>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45 (83.3 %)</w:t>
            </w: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 (7.4 %)</w:t>
            </w:r>
          </w:p>
          <w:p w:rsidR="00BC234A" w:rsidRPr="00D8223E" w:rsidRDefault="00BC234A" w:rsidP="00FD3A7A">
            <w:pPr>
              <w:spacing w:before="10" w:after="10" w:line="276"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 (9.3 %)</w:t>
            </w:r>
          </w:p>
        </w:tc>
      </w:tr>
    </w:tbl>
    <w:p w:rsidR="00BC234A" w:rsidRPr="00D8223E" w:rsidRDefault="00BC234A" w:rsidP="00BC234A">
      <w:pPr>
        <w:pStyle w:val="ListParagraph"/>
        <w:ind w:left="0"/>
        <w:rPr>
          <w:rFonts w:ascii="Times New Roman" w:hAnsi="Times New Roman" w:cs="Times New Roman"/>
          <w:color w:val="000000" w:themeColor="text1"/>
          <w:sz w:val="16"/>
          <w:szCs w:val="20"/>
        </w:rPr>
      </w:pPr>
    </w:p>
    <w:p w:rsidR="00BC234A" w:rsidRPr="00D8223E" w:rsidRDefault="00BC234A" w:rsidP="00BC234A">
      <w:pPr>
        <w:pStyle w:val="ListParagraph"/>
        <w:spacing w:after="0"/>
        <w:ind w:left="0"/>
        <w:rPr>
          <w:rFonts w:ascii="Times New Roman" w:hAnsi="Times New Roman" w:cs="Times New Roman"/>
          <w:color w:val="000000" w:themeColor="text1"/>
          <w:sz w:val="16"/>
          <w:szCs w:val="20"/>
        </w:rPr>
      </w:pPr>
    </w:p>
    <w:p w:rsidR="00BC234A" w:rsidRPr="00D8223E" w:rsidRDefault="00BC234A" w:rsidP="00BC234A">
      <w:pPr>
        <w:pStyle w:val="ListParagraph"/>
        <w:spacing w:after="0"/>
        <w:ind w:left="0"/>
        <w:rPr>
          <w:rFonts w:ascii="Times New Roman" w:hAnsi="Times New Roman" w:cs="Times New Roman"/>
          <w:color w:val="000000" w:themeColor="text1"/>
          <w:sz w:val="16"/>
          <w:szCs w:val="16"/>
        </w:rPr>
      </w:pPr>
      <w:r w:rsidRPr="00D8223E">
        <w:rPr>
          <w:rFonts w:ascii="Times New Roman" w:hAnsi="Times New Roman" w:cs="Times New Roman"/>
          <w:color w:val="000000" w:themeColor="text1"/>
          <w:sz w:val="16"/>
          <w:szCs w:val="20"/>
        </w:rPr>
        <w:t>*Data as Median (Interquartile Range/IQR 25</w:t>
      </w:r>
      <w:r w:rsidRPr="00D8223E">
        <w:rPr>
          <w:rFonts w:ascii="Times New Roman" w:hAnsi="Times New Roman" w:cs="Times New Roman"/>
          <w:color w:val="000000" w:themeColor="text1"/>
          <w:sz w:val="16"/>
          <w:szCs w:val="20"/>
          <w:vertAlign w:val="superscript"/>
        </w:rPr>
        <w:t>th</w:t>
      </w:r>
      <w:r w:rsidRPr="00D8223E">
        <w:rPr>
          <w:rFonts w:ascii="Times New Roman" w:hAnsi="Times New Roman" w:cs="Times New Roman"/>
          <w:color w:val="000000" w:themeColor="text1"/>
          <w:sz w:val="16"/>
          <w:szCs w:val="20"/>
        </w:rPr>
        <w:t xml:space="preserve"> to 75</w:t>
      </w:r>
      <w:r w:rsidRPr="00D8223E">
        <w:rPr>
          <w:rFonts w:ascii="Times New Roman" w:hAnsi="Times New Roman" w:cs="Times New Roman"/>
          <w:color w:val="000000" w:themeColor="text1"/>
          <w:sz w:val="16"/>
          <w:szCs w:val="20"/>
          <w:vertAlign w:val="superscript"/>
        </w:rPr>
        <w:t>th</w:t>
      </w:r>
      <w:r w:rsidRPr="00D8223E">
        <w:rPr>
          <w:rFonts w:ascii="Times New Roman" w:hAnsi="Times New Roman" w:cs="Times New Roman"/>
          <w:color w:val="000000" w:themeColor="text1"/>
          <w:sz w:val="16"/>
          <w:szCs w:val="20"/>
        </w:rPr>
        <w:t xml:space="preserve"> percentile), </w:t>
      </w:r>
      <w:r w:rsidRPr="00D8223E">
        <w:rPr>
          <w:rFonts w:ascii="Times New Roman" w:hAnsi="Times New Roman" w:cs="Times New Roman"/>
          <w:color w:val="000000" w:themeColor="text1"/>
          <w:sz w:val="16"/>
          <w:szCs w:val="16"/>
        </w:rPr>
        <w:t>**Available in 15 and 50 subjects respectively, ***Available in 13 and 42 subjects respectively</w:t>
      </w:r>
    </w:p>
    <w:p w:rsidR="00BC234A" w:rsidRPr="00D8223E" w:rsidRDefault="00BC234A" w:rsidP="00BC234A">
      <w:pPr>
        <w:pStyle w:val="ListParagraph"/>
        <w:spacing w:after="0"/>
        <w:ind w:left="0"/>
        <w:rPr>
          <w:rFonts w:ascii="Times New Roman" w:hAnsi="Times New Roman" w:cs="Times New Roman"/>
          <w:b/>
          <w:color w:val="000000" w:themeColor="text1"/>
          <w:sz w:val="18"/>
          <w:szCs w:val="18"/>
        </w:rPr>
      </w:pPr>
    </w:p>
    <w:p w:rsidR="00BC234A" w:rsidRPr="00D8223E" w:rsidRDefault="00BC234A" w:rsidP="00BC234A">
      <w:pPr>
        <w:pStyle w:val="ListParagraph"/>
        <w:spacing w:after="0"/>
        <w:ind w:left="0"/>
        <w:rPr>
          <w:color w:val="000000" w:themeColor="text1"/>
          <w:sz w:val="16"/>
          <w:szCs w:val="16"/>
        </w:rPr>
      </w:pPr>
      <w:r w:rsidRPr="00D8223E">
        <w:rPr>
          <w:rFonts w:ascii="Times New Roman" w:hAnsi="Times New Roman" w:cs="Times New Roman"/>
          <w:b/>
          <w:color w:val="000000" w:themeColor="text1"/>
          <w:sz w:val="18"/>
          <w:szCs w:val="18"/>
        </w:rPr>
        <w:lastRenderedPageBreak/>
        <w:t>Abbreviations:</w:t>
      </w:r>
      <w:r w:rsidRPr="00D8223E">
        <w:rPr>
          <w:rFonts w:ascii="Times New Roman" w:hAnsi="Times New Roman" w:cs="Times New Roman"/>
          <w:color w:val="000000" w:themeColor="text1"/>
          <w:sz w:val="16"/>
          <w:szCs w:val="16"/>
        </w:rPr>
        <w:t xml:space="preserve"> AIH- Autoimmune hepatitis, ASC- Autoimmune </w:t>
      </w:r>
      <w:proofErr w:type="spellStart"/>
      <w:r w:rsidRPr="00D8223E">
        <w:rPr>
          <w:rFonts w:ascii="Times New Roman" w:hAnsi="Times New Roman" w:cs="Times New Roman"/>
          <w:color w:val="000000" w:themeColor="text1"/>
          <w:sz w:val="16"/>
          <w:szCs w:val="16"/>
        </w:rPr>
        <w:t>sclerosing</w:t>
      </w:r>
      <w:proofErr w:type="spellEnd"/>
      <w:r w:rsidRPr="00D8223E">
        <w:rPr>
          <w:rFonts w:ascii="Times New Roman" w:hAnsi="Times New Roman" w:cs="Times New Roman"/>
          <w:color w:val="000000" w:themeColor="text1"/>
          <w:sz w:val="16"/>
          <w:szCs w:val="16"/>
        </w:rPr>
        <w:t xml:space="preserve"> cholangitis, ALT- Alanine Aminotransferase, AST- Aspartate Aminotransferase, INR- International normalised ratio, LT- Liver transplantation, SAP- Serum alkaline phosphatase, GGTP- Gamma </w:t>
      </w:r>
      <w:proofErr w:type="spellStart"/>
      <w:r w:rsidRPr="00D8223E">
        <w:rPr>
          <w:rFonts w:ascii="Times New Roman" w:hAnsi="Times New Roman" w:cs="Times New Roman"/>
          <w:color w:val="000000" w:themeColor="text1"/>
          <w:sz w:val="16"/>
          <w:szCs w:val="16"/>
        </w:rPr>
        <w:t>glutamyl</w:t>
      </w:r>
      <w:proofErr w:type="spellEnd"/>
      <w:r w:rsidRPr="00D8223E">
        <w:rPr>
          <w:rFonts w:ascii="Times New Roman" w:hAnsi="Times New Roman" w:cs="Times New Roman"/>
          <w:color w:val="000000" w:themeColor="text1"/>
          <w:sz w:val="16"/>
          <w:szCs w:val="16"/>
        </w:rPr>
        <w:t xml:space="preserve"> </w:t>
      </w:r>
      <w:proofErr w:type="spellStart"/>
      <w:r w:rsidRPr="00D8223E">
        <w:rPr>
          <w:rFonts w:ascii="Times New Roman" w:hAnsi="Times New Roman" w:cs="Times New Roman"/>
          <w:color w:val="000000" w:themeColor="text1"/>
          <w:sz w:val="16"/>
          <w:szCs w:val="16"/>
        </w:rPr>
        <w:t>transpeptidase</w:t>
      </w:r>
      <w:proofErr w:type="spellEnd"/>
      <w:r w:rsidRPr="00D8223E">
        <w:rPr>
          <w:rFonts w:ascii="Times New Roman" w:hAnsi="Times New Roman" w:cs="Times New Roman"/>
          <w:color w:val="000000" w:themeColor="text1"/>
          <w:sz w:val="16"/>
          <w:szCs w:val="16"/>
        </w:rPr>
        <w:t xml:space="preserve">, ESR- Erythrocyte sedimentation rate, CTP- Child </w:t>
      </w:r>
      <w:proofErr w:type="spellStart"/>
      <w:r w:rsidRPr="00D8223E">
        <w:rPr>
          <w:rFonts w:ascii="Times New Roman" w:hAnsi="Times New Roman" w:cs="Times New Roman"/>
          <w:color w:val="000000" w:themeColor="text1"/>
          <w:sz w:val="16"/>
          <w:szCs w:val="16"/>
        </w:rPr>
        <w:t>Turcott</w:t>
      </w:r>
      <w:proofErr w:type="spellEnd"/>
      <w:r w:rsidRPr="00D8223E">
        <w:rPr>
          <w:rFonts w:ascii="Times New Roman" w:hAnsi="Times New Roman" w:cs="Times New Roman"/>
          <w:color w:val="000000" w:themeColor="text1"/>
          <w:sz w:val="16"/>
          <w:szCs w:val="16"/>
        </w:rPr>
        <w:t xml:space="preserve"> Pugh, MELD- Model for end-stage liver disease, PELD- Pediatric end-stage liver disease</w:t>
      </w:r>
    </w:p>
    <w:p w:rsidR="00BC234A" w:rsidRPr="00D8223E" w:rsidRDefault="00BC234A" w:rsidP="00BC234A">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BC234A">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5E07A6" w:rsidP="00BC234A">
      <w:pPr>
        <w:rPr>
          <w:rFonts w:ascii="Times New Roman" w:hAnsi="Times New Roman" w:cs="Times New Roman"/>
          <w:b/>
          <w:color w:val="000000" w:themeColor="text1"/>
          <w:sz w:val="24"/>
        </w:rPr>
      </w:pPr>
      <w:r w:rsidRPr="00D8223E">
        <w:rPr>
          <w:rFonts w:ascii="Times New Roman" w:hAnsi="Times New Roman" w:cs="Times New Roman"/>
          <w:b/>
          <w:color w:val="000000" w:themeColor="text1"/>
          <w:sz w:val="24"/>
        </w:rPr>
        <w:lastRenderedPageBreak/>
        <w:t>SDC-9</w:t>
      </w:r>
      <w:r w:rsidR="00BC234A" w:rsidRPr="00D8223E">
        <w:rPr>
          <w:rFonts w:ascii="Times New Roman" w:hAnsi="Times New Roman" w:cs="Times New Roman"/>
          <w:b/>
          <w:color w:val="000000" w:themeColor="text1"/>
          <w:sz w:val="24"/>
        </w:rPr>
        <w:t>: Baseline characteristics of AILD and Non AILD subjects</w:t>
      </w:r>
    </w:p>
    <w:tbl>
      <w:tblPr>
        <w:tblStyle w:val="TableGrid"/>
        <w:tblW w:w="11406" w:type="dxa"/>
        <w:tblInd w:w="-1089" w:type="dxa"/>
        <w:tblLook w:val="04A0" w:firstRow="1" w:lastRow="0" w:firstColumn="1" w:lastColumn="0" w:noHBand="0" w:noVBand="1"/>
      </w:tblPr>
      <w:tblGrid>
        <w:gridCol w:w="2663"/>
        <w:gridCol w:w="2157"/>
        <w:gridCol w:w="2498"/>
        <w:gridCol w:w="2384"/>
        <w:gridCol w:w="1704"/>
      </w:tblGrid>
      <w:tr w:rsidR="00D8223E" w:rsidRPr="00D8223E" w:rsidTr="00D24CF7">
        <w:trPr>
          <w:trHeight w:val="541"/>
        </w:trPr>
        <w:tc>
          <w:tcPr>
            <w:tcW w:w="2663"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Parameter</w:t>
            </w:r>
          </w:p>
        </w:tc>
        <w:tc>
          <w:tcPr>
            <w:tcW w:w="2157"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AILD (n = 85)</w:t>
            </w:r>
          </w:p>
        </w:tc>
        <w:tc>
          <w:tcPr>
            <w:tcW w:w="2498"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Non AILD (n = 85)</w:t>
            </w:r>
          </w:p>
        </w:tc>
        <w:tc>
          <w:tcPr>
            <w:tcW w:w="2384"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Effect Size, 95 % CI**</w:t>
            </w:r>
          </w:p>
        </w:tc>
        <w:tc>
          <w:tcPr>
            <w:tcW w:w="1704"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p-value***</w:t>
            </w:r>
          </w:p>
        </w:tc>
      </w:tr>
      <w:tr w:rsidR="00D8223E" w:rsidRPr="00D8223E" w:rsidTr="00D24CF7">
        <w:trPr>
          <w:trHeight w:val="541"/>
        </w:trPr>
        <w:tc>
          <w:tcPr>
            <w:tcW w:w="2663" w:type="dxa"/>
          </w:tcPr>
          <w:p w:rsidR="00BC234A" w:rsidRPr="00D8223E" w:rsidRDefault="00BC234A" w:rsidP="00FD3A7A">
            <w:p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Age</w:t>
            </w:r>
            <w:r w:rsidRPr="00D8223E">
              <w:rPr>
                <w:rFonts w:ascii="Times New Roman" w:hAnsi="Times New Roman" w:cs="Times New Roman"/>
                <w:color w:val="000000" w:themeColor="text1"/>
                <w:sz w:val="24"/>
                <w:szCs w:val="20"/>
              </w:rPr>
              <w:t>*</w:t>
            </w:r>
          </w:p>
        </w:tc>
        <w:tc>
          <w:tcPr>
            <w:tcW w:w="2157"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9.9 [7.5 – 14]</w:t>
            </w:r>
          </w:p>
        </w:tc>
        <w:tc>
          <w:tcPr>
            <w:tcW w:w="2498"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11.7 [8 – 15]</w:t>
            </w:r>
          </w:p>
        </w:tc>
        <w:tc>
          <w:tcPr>
            <w:tcW w:w="2384"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-0.9, -2.2 to 0.3</w:t>
            </w:r>
          </w:p>
        </w:tc>
        <w:tc>
          <w:tcPr>
            <w:tcW w:w="1704"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0.132</w:t>
            </w:r>
          </w:p>
        </w:tc>
      </w:tr>
      <w:tr w:rsidR="00D8223E" w:rsidRPr="00D8223E" w:rsidTr="00D24CF7">
        <w:trPr>
          <w:trHeight w:val="541"/>
        </w:trPr>
        <w:tc>
          <w:tcPr>
            <w:tcW w:w="2663" w:type="dxa"/>
          </w:tcPr>
          <w:p w:rsidR="00BC234A" w:rsidRPr="00D8223E" w:rsidRDefault="00BC234A" w:rsidP="00FD3A7A">
            <w:pPr>
              <w:spacing w:line="480" w:lineRule="auto"/>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Sex (M:F)</w:t>
            </w:r>
          </w:p>
        </w:tc>
        <w:tc>
          <w:tcPr>
            <w:tcW w:w="2157"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1.07:1</w:t>
            </w:r>
          </w:p>
        </w:tc>
        <w:tc>
          <w:tcPr>
            <w:tcW w:w="2498"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2.15:1</w:t>
            </w:r>
          </w:p>
        </w:tc>
        <w:tc>
          <w:tcPr>
            <w:tcW w:w="2384"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0.5,0.3 to 0.9</w:t>
            </w:r>
          </w:p>
        </w:tc>
        <w:tc>
          <w:tcPr>
            <w:tcW w:w="1704" w:type="dxa"/>
          </w:tcPr>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0.041</w:t>
            </w:r>
          </w:p>
        </w:tc>
      </w:tr>
      <w:tr w:rsidR="00D8223E" w:rsidRPr="00D8223E" w:rsidTr="00D24CF7">
        <w:trPr>
          <w:trHeight w:val="4581"/>
        </w:trPr>
        <w:tc>
          <w:tcPr>
            <w:tcW w:w="2663" w:type="dxa"/>
          </w:tcPr>
          <w:p w:rsidR="00BC234A" w:rsidRPr="00D8223E" w:rsidRDefault="00BC234A" w:rsidP="00FD3A7A">
            <w:p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Laboratory Parameters</w:t>
            </w:r>
            <w:r w:rsidRPr="00D8223E">
              <w:rPr>
                <w:rFonts w:ascii="Times New Roman" w:hAnsi="Times New Roman" w:cs="Times New Roman"/>
                <w:color w:val="000000" w:themeColor="text1"/>
                <w:sz w:val="24"/>
                <w:szCs w:val="20"/>
              </w:rPr>
              <w:t>*</w:t>
            </w:r>
          </w:p>
          <w:p w:rsidR="00BC234A" w:rsidRPr="00D8223E" w:rsidRDefault="00BC234A" w:rsidP="00BC234A">
            <w:pPr>
              <w:pStyle w:val="ListParagraph"/>
              <w:numPr>
                <w:ilvl w:val="0"/>
                <w:numId w:val="6"/>
              </w:num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Total Bilirubin (mg/dl)</w:t>
            </w:r>
          </w:p>
          <w:p w:rsidR="00BC234A" w:rsidRPr="00D8223E" w:rsidRDefault="00BC234A" w:rsidP="00BC234A">
            <w:pPr>
              <w:pStyle w:val="ListParagraph"/>
              <w:numPr>
                <w:ilvl w:val="0"/>
                <w:numId w:val="6"/>
              </w:numPr>
              <w:spacing w:line="480" w:lineRule="auto"/>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AST (IU/L)</w:t>
            </w:r>
          </w:p>
          <w:p w:rsidR="00BC234A" w:rsidRPr="00D8223E" w:rsidRDefault="00BC234A" w:rsidP="00BC234A">
            <w:pPr>
              <w:pStyle w:val="ListParagraph"/>
              <w:numPr>
                <w:ilvl w:val="0"/>
                <w:numId w:val="6"/>
              </w:numPr>
              <w:spacing w:line="480" w:lineRule="auto"/>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ALT (IU/L)</w:t>
            </w:r>
          </w:p>
          <w:p w:rsidR="00BC234A" w:rsidRPr="00D8223E" w:rsidRDefault="00BC234A" w:rsidP="00BC234A">
            <w:pPr>
              <w:pStyle w:val="ListParagraph"/>
              <w:numPr>
                <w:ilvl w:val="0"/>
                <w:numId w:val="6"/>
              </w:num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GGTP (IU/L)</w:t>
            </w:r>
          </w:p>
          <w:p w:rsidR="00BC234A" w:rsidRPr="00D8223E" w:rsidRDefault="00BC234A" w:rsidP="00BC234A">
            <w:pPr>
              <w:pStyle w:val="ListParagraph"/>
              <w:numPr>
                <w:ilvl w:val="0"/>
                <w:numId w:val="6"/>
              </w:num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Albumin (g/dl)</w:t>
            </w:r>
          </w:p>
          <w:p w:rsidR="00BC234A" w:rsidRPr="00D8223E" w:rsidRDefault="00BC234A" w:rsidP="00BC234A">
            <w:pPr>
              <w:pStyle w:val="ListParagraph"/>
              <w:numPr>
                <w:ilvl w:val="0"/>
                <w:numId w:val="6"/>
              </w:num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INR</w:t>
            </w:r>
          </w:p>
          <w:p w:rsidR="00BC234A" w:rsidRPr="00D8223E" w:rsidRDefault="00BC234A" w:rsidP="00D24CF7">
            <w:pPr>
              <w:pStyle w:val="ListParagraph"/>
              <w:numPr>
                <w:ilvl w:val="0"/>
                <w:numId w:val="6"/>
              </w:numPr>
              <w:spacing w:line="480" w:lineRule="auto"/>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 xml:space="preserve">PELD/MELD </w:t>
            </w:r>
          </w:p>
        </w:tc>
        <w:tc>
          <w:tcPr>
            <w:tcW w:w="2157"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5.4 [2.2 – 11.30]</w:t>
            </w:r>
          </w:p>
          <w:p w:rsidR="00D24CF7" w:rsidRPr="00D8223E" w:rsidRDefault="00D24CF7" w:rsidP="00FD3A7A">
            <w:pPr>
              <w:spacing w:line="480" w:lineRule="auto"/>
              <w:jc w:val="center"/>
              <w:rPr>
                <w:rFonts w:ascii="Times New Roman" w:hAnsi="Times New Roman" w:cs="Times New Roman"/>
                <w:b/>
                <w:color w:val="000000" w:themeColor="text1"/>
                <w:sz w:val="24"/>
                <w:szCs w:val="24"/>
              </w:rPr>
            </w:pP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260 [125 – 452]</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b/>
                <w:color w:val="000000" w:themeColor="text1"/>
                <w:sz w:val="24"/>
                <w:szCs w:val="24"/>
              </w:rPr>
              <w:t>138 [87 – 353]</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44 [30 – 69]</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2.6 [2.15 – 3.30]</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1.7 [1.3 – 2.1]</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15 [8 – 21]</w:t>
            </w:r>
          </w:p>
        </w:tc>
        <w:tc>
          <w:tcPr>
            <w:tcW w:w="2498"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2.4 [1.1 – 7.9]</w:t>
            </w:r>
          </w:p>
          <w:p w:rsidR="00D24CF7" w:rsidRPr="00D8223E" w:rsidRDefault="00D24CF7" w:rsidP="00FD3A7A">
            <w:pPr>
              <w:spacing w:line="480" w:lineRule="auto"/>
              <w:jc w:val="center"/>
              <w:rPr>
                <w:rFonts w:ascii="Times New Roman" w:hAnsi="Times New Roman" w:cs="Times New Roman"/>
                <w:b/>
                <w:color w:val="000000" w:themeColor="text1"/>
                <w:sz w:val="24"/>
                <w:szCs w:val="24"/>
              </w:rPr>
            </w:pP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105 [55 – 184]</w:t>
            </w: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66 [35 – 133]</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51 [25 – 76]</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2.8 [2.0 – 3.5]</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1.4 [1.2 – 2.0]</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13 [6 - 22]</w:t>
            </w:r>
          </w:p>
        </w:tc>
        <w:tc>
          <w:tcPr>
            <w:tcW w:w="2384"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1.4, -1.5 to 4.3</w:t>
            </w:r>
          </w:p>
          <w:p w:rsidR="00D24CF7" w:rsidRPr="00D8223E" w:rsidRDefault="00D24CF7" w:rsidP="00FD3A7A">
            <w:pPr>
              <w:spacing w:line="480" w:lineRule="auto"/>
              <w:jc w:val="center"/>
              <w:rPr>
                <w:rFonts w:ascii="Times New Roman" w:hAnsi="Times New Roman" w:cs="Times New Roman"/>
                <w:b/>
                <w:color w:val="000000" w:themeColor="text1"/>
                <w:sz w:val="24"/>
                <w:szCs w:val="24"/>
              </w:rPr>
            </w:pP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233.9, 101.6 to 366.2</w:t>
            </w: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190.3, 81.3 to 299.2</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-7.1, -33.2 to 19.1</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-0.1, -0.3 to 0.2</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-0.01, -0.3 to 0.3</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1.1, -2.2 to 4.4</w:t>
            </w:r>
          </w:p>
        </w:tc>
        <w:tc>
          <w:tcPr>
            <w:tcW w:w="1704" w:type="dxa"/>
          </w:tcPr>
          <w:p w:rsidR="00BC234A" w:rsidRPr="00D8223E" w:rsidRDefault="00BC234A" w:rsidP="00FD3A7A">
            <w:pPr>
              <w:spacing w:line="480" w:lineRule="auto"/>
              <w:jc w:val="center"/>
              <w:rPr>
                <w:rFonts w:ascii="Times New Roman" w:hAnsi="Times New Roman" w:cs="Times New Roman"/>
                <w:color w:val="000000" w:themeColor="text1"/>
                <w:sz w:val="24"/>
                <w:szCs w:val="24"/>
              </w:rPr>
            </w:pP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0.344</w:t>
            </w:r>
          </w:p>
          <w:p w:rsidR="00D24CF7" w:rsidRPr="00D8223E" w:rsidRDefault="00D24CF7" w:rsidP="00FD3A7A">
            <w:pPr>
              <w:spacing w:line="480" w:lineRule="auto"/>
              <w:jc w:val="center"/>
              <w:rPr>
                <w:rFonts w:ascii="Times New Roman" w:hAnsi="Times New Roman" w:cs="Times New Roman"/>
                <w:b/>
                <w:color w:val="000000" w:themeColor="text1"/>
                <w:sz w:val="24"/>
                <w:szCs w:val="24"/>
              </w:rPr>
            </w:pP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0.001</w:t>
            </w:r>
          </w:p>
          <w:p w:rsidR="00BC234A" w:rsidRPr="00D8223E" w:rsidRDefault="00BC234A" w:rsidP="00FD3A7A">
            <w:pPr>
              <w:spacing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0.001</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0.595</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0.459</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0.934</w:t>
            </w:r>
          </w:p>
          <w:p w:rsidR="00BC234A" w:rsidRPr="00D8223E" w:rsidRDefault="00BC234A" w:rsidP="00FD3A7A">
            <w:pPr>
              <w:spacing w:line="480" w:lineRule="auto"/>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0.503</w:t>
            </w:r>
          </w:p>
        </w:tc>
      </w:tr>
    </w:tbl>
    <w:p w:rsidR="00BC234A" w:rsidRPr="00D8223E" w:rsidRDefault="00BC234A" w:rsidP="00BC234A">
      <w:pPr>
        <w:pStyle w:val="ListParagraph"/>
        <w:ind w:left="0"/>
        <w:rPr>
          <w:rFonts w:ascii="Times New Roman" w:hAnsi="Times New Roman" w:cs="Times New Roman"/>
          <w:color w:val="000000" w:themeColor="text1"/>
          <w:sz w:val="16"/>
          <w:szCs w:val="20"/>
        </w:rPr>
      </w:pPr>
    </w:p>
    <w:p w:rsidR="00BC234A" w:rsidRPr="00D8223E" w:rsidRDefault="00BC234A" w:rsidP="00BC234A">
      <w:pPr>
        <w:pStyle w:val="ListParagraph"/>
        <w:ind w:left="0"/>
        <w:rPr>
          <w:rFonts w:ascii="Times New Roman" w:hAnsi="Times New Roman" w:cs="Times New Roman"/>
          <w:color w:val="000000" w:themeColor="text1"/>
          <w:sz w:val="18"/>
          <w:szCs w:val="18"/>
        </w:rPr>
      </w:pPr>
      <w:r w:rsidRPr="00D8223E">
        <w:rPr>
          <w:rFonts w:ascii="Times New Roman" w:hAnsi="Times New Roman" w:cs="Times New Roman"/>
          <w:color w:val="000000" w:themeColor="text1"/>
          <w:sz w:val="18"/>
          <w:szCs w:val="18"/>
        </w:rPr>
        <w:t>*Data as Median (Interquartile Range/IQR 25</w:t>
      </w:r>
      <w:r w:rsidRPr="00D8223E">
        <w:rPr>
          <w:rFonts w:ascii="Times New Roman" w:hAnsi="Times New Roman" w:cs="Times New Roman"/>
          <w:color w:val="000000" w:themeColor="text1"/>
          <w:sz w:val="18"/>
          <w:szCs w:val="18"/>
          <w:vertAlign w:val="superscript"/>
        </w:rPr>
        <w:t>th</w:t>
      </w:r>
      <w:r w:rsidRPr="00D8223E">
        <w:rPr>
          <w:rFonts w:ascii="Times New Roman" w:hAnsi="Times New Roman" w:cs="Times New Roman"/>
          <w:color w:val="000000" w:themeColor="text1"/>
          <w:sz w:val="18"/>
          <w:szCs w:val="18"/>
        </w:rPr>
        <w:t xml:space="preserve"> to 75</w:t>
      </w:r>
      <w:r w:rsidRPr="00D8223E">
        <w:rPr>
          <w:rFonts w:ascii="Times New Roman" w:hAnsi="Times New Roman" w:cs="Times New Roman"/>
          <w:color w:val="000000" w:themeColor="text1"/>
          <w:sz w:val="18"/>
          <w:szCs w:val="18"/>
          <w:vertAlign w:val="superscript"/>
        </w:rPr>
        <w:t>th</w:t>
      </w:r>
      <w:r w:rsidRPr="00D8223E">
        <w:rPr>
          <w:rFonts w:ascii="Times New Roman" w:hAnsi="Times New Roman" w:cs="Times New Roman"/>
          <w:color w:val="000000" w:themeColor="text1"/>
          <w:sz w:val="18"/>
          <w:szCs w:val="18"/>
        </w:rPr>
        <w:t xml:space="preserve"> percentile), </w:t>
      </w:r>
      <w:r w:rsidRPr="00D8223E">
        <w:rPr>
          <w:rFonts w:ascii="Times New Roman" w:hAnsi="Times New Roman" w:cs="Times New Roman"/>
          <w:b/>
          <w:color w:val="000000" w:themeColor="text1"/>
          <w:sz w:val="18"/>
          <w:szCs w:val="18"/>
        </w:rPr>
        <w:t xml:space="preserve">** </w:t>
      </w:r>
      <w:r w:rsidRPr="00D8223E">
        <w:rPr>
          <w:rFonts w:ascii="Times New Roman" w:hAnsi="Times New Roman" w:cs="Times New Roman"/>
          <w:color w:val="000000" w:themeColor="text1"/>
          <w:sz w:val="18"/>
          <w:szCs w:val="18"/>
        </w:rPr>
        <w:t>Mean Difference/95 % CI for comparison of means and OR/95 % CI for comparison of proportions, *** p-value &lt; 0.05 as significant</w:t>
      </w:r>
    </w:p>
    <w:p w:rsidR="00BC234A" w:rsidRPr="00D8223E" w:rsidRDefault="00BC234A" w:rsidP="00BC234A">
      <w:pPr>
        <w:pStyle w:val="ListParagraph"/>
        <w:ind w:left="0"/>
        <w:rPr>
          <w:rFonts w:ascii="Times New Roman" w:hAnsi="Times New Roman" w:cs="Times New Roman"/>
          <w:color w:val="000000" w:themeColor="text1"/>
          <w:sz w:val="18"/>
          <w:szCs w:val="18"/>
        </w:rPr>
      </w:pPr>
    </w:p>
    <w:p w:rsidR="00BC234A" w:rsidRPr="00D8223E" w:rsidRDefault="00BC234A" w:rsidP="00BC234A">
      <w:pPr>
        <w:spacing w:after="0" w:line="240" w:lineRule="auto"/>
        <w:ind w:left="-284"/>
        <w:jc w:val="both"/>
        <w:rPr>
          <w:rFonts w:ascii="Times New Roman" w:hAnsi="Times New Roman" w:cs="Times New Roman"/>
          <w:color w:val="000000" w:themeColor="text1"/>
          <w:sz w:val="18"/>
          <w:szCs w:val="18"/>
        </w:rPr>
      </w:pPr>
      <w:r w:rsidRPr="00D8223E">
        <w:rPr>
          <w:rFonts w:ascii="Times New Roman" w:hAnsi="Times New Roman" w:cs="Times New Roman"/>
          <w:b/>
          <w:color w:val="000000" w:themeColor="text1"/>
          <w:sz w:val="18"/>
          <w:szCs w:val="18"/>
        </w:rPr>
        <w:t>Abbreviations:</w:t>
      </w:r>
      <w:r w:rsidRPr="00D8223E">
        <w:rPr>
          <w:rFonts w:ascii="Times New Roman" w:hAnsi="Times New Roman" w:cs="Times New Roman"/>
          <w:color w:val="000000" w:themeColor="text1"/>
          <w:sz w:val="18"/>
          <w:szCs w:val="18"/>
        </w:rPr>
        <w:t xml:space="preserve"> AILD- Autoimmune Liver Disease, ALT- Alanine Aminotransferase, AST- Aspartate Aminotransferase, INR- International normalised ratio, GGTP- Gamma </w:t>
      </w:r>
      <w:proofErr w:type="spellStart"/>
      <w:r w:rsidRPr="00D8223E">
        <w:rPr>
          <w:rFonts w:ascii="Times New Roman" w:hAnsi="Times New Roman" w:cs="Times New Roman"/>
          <w:color w:val="000000" w:themeColor="text1"/>
          <w:sz w:val="18"/>
          <w:szCs w:val="18"/>
        </w:rPr>
        <w:t>glutamyl</w:t>
      </w:r>
      <w:proofErr w:type="spellEnd"/>
      <w:r w:rsidRPr="00D8223E">
        <w:rPr>
          <w:rFonts w:ascii="Times New Roman" w:hAnsi="Times New Roman" w:cs="Times New Roman"/>
          <w:color w:val="000000" w:themeColor="text1"/>
          <w:sz w:val="18"/>
          <w:szCs w:val="18"/>
        </w:rPr>
        <w:t xml:space="preserve"> </w:t>
      </w:r>
      <w:proofErr w:type="spellStart"/>
      <w:r w:rsidRPr="00D8223E">
        <w:rPr>
          <w:rFonts w:ascii="Times New Roman" w:hAnsi="Times New Roman" w:cs="Times New Roman"/>
          <w:color w:val="000000" w:themeColor="text1"/>
          <w:sz w:val="18"/>
          <w:szCs w:val="18"/>
        </w:rPr>
        <w:t>transpeptidase</w:t>
      </w:r>
      <w:proofErr w:type="spellEnd"/>
      <w:r w:rsidRPr="00D8223E">
        <w:rPr>
          <w:rFonts w:ascii="Times New Roman" w:hAnsi="Times New Roman" w:cs="Times New Roman"/>
          <w:color w:val="000000" w:themeColor="text1"/>
          <w:sz w:val="18"/>
          <w:szCs w:val="18"/>
        </w:rPr>
        <w:t>, MELD- Model for end-stage liver disease</w:t>
      </w:r>
      <w:r w:rsidR="00D24CF7" w:rsidRPr="00D8223E">
        <w:rPr>
          <w:rFonts w:ascii="Times New Roman" w:hAnsi="Times New Roman" w:cs="Times New Roman"/>
          <w:color w:val="000000" w:themeColor="text1"/>
          <w:sz w:val="18"/>
          <w:szCs w:val="18"/>
        </w:rPr>
        <w:t xml:space="preserve"> score</w:t>
      </w:r>
      <w:r w:rsidRPr="00D8223E">
        <w:rPr>
          <w:rFonts w:ascii="Times New Roman" w:hAnsi="Times New Roman" w:cs="Times New Roman"/>
          <w:color w:val="000000" w:themeColor="text1"/>
          <w:sz w:val="18"/>
          <w:szCs w:val="18"/>
        </w:rPr>
        <w:t>, PELD- Pediatric end-stage liver disease</w:t>
      </w:r>
      <w:r w:rsidR="00D24CF7" w:rsidRPr="00D8223E">
        <w:rPr>
          <w:rFonts w:ascii="Times New Roman" w:hAnsi="Times New Roman" w:cs="Times New Roman"/>
          <w:color w:val="000000" w:themeColor="text1"/>
          <w:sz w:val="18"/>
          <w:szCs w:val="18"/>
        </w:rPr>
        <w:t xml:space="preserve"> score</w:t>
      </w:r>
      <w:r w:rsidRPr="00D8223E">
        <w:rPr>
          <w:rFonts w:ascii="Times New Roman" w:hAnsi="Times New Roman" w:cs="Times New Roman"/>
          <w:color w:val="000000" w:themeColor="text1"/>
          <w:sz w:val="18"/>
          <w:szCs w:val="18"/>
        </w:rPr>
        <w:t>, OR- Odd’s Ratio, CI- Confidence interval</w:t>
      </w:r>
    </w:p>
    <w:p w:rsidR="00BC234A" w:rsidRPr="00D8223E" w:rsidRDefault="00BC234A" w:rsidP="00BC234A">
      <w:pPr>
        <w:spacing w:after="0" w:line="240" w:lineRule="auto"/>
        <w:jc w:val="both"/>
        <w:rPr>
          <w:rFonts w:ascii="Times New Roman" w:hAnsi="Times New Roman" w:cs="Times New Roman"/>
          <w:color w:val="000000" w:themeColor="text1"/>
          <w:sz w:val="16"/>
          <w:szCs w:val="16"/>
        </w:rPr>
      </w:pPr>
    </w:p>
    <w:p w:rsidR="00BC234A" w:rsidRPr="00D8223E" w:rsidRDefault="00BC234A" w:rsidP="00BC234A">
      <w:pPr>
        <w:rPr>
          <w:color w:val="000000" w:themeColor="text1"/>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A7975" w:rsidRPr="00D8223E" w:rsidRDefault="00BA7975" w:rsidP="00BA7975">
      <w:pPr>
        <w:jc w:val="both"/>
        <w:rPr>
          <w:rFonts w:ascii="Times New Roman" w:hAnsi="Times New Roman" w:cs="Times New Roman"/>
          <w:bCs/>
          <w:color w:val="000000" w:themeColor="text1"/>
          <w:sz w:val="24"/>
          <w:szCs w:val="24"/>
        </w:rPr>
      </w:pPr>
    </w:p>
    <w:p w:rsidR="00BA7975" w:rsidRPr="00D8223E" w:rsidRDefault="00BA7975" w:rsidP="00BA7975">
      <w:pPr>
        <w:jc w:val="both"/>
        <w:rPr>
          <w:rFonts w:ascii="Times New Roman" w:hAnsi="Times New Roman" w:cs="Times New Roman"/>
          <w:bCs/>
          <w:color w:val="000000" w:themeColor="text1"/>
          <w:sz w:val="24"/>
          <w:szCs w:val="24"/>
        </w:rPr>
      </w:pPr>
    </w:p>
    <w:p w:rsidR="00BA7975" w:rsidRPr="00D8223E" w:rsidRDefault="00BA7975" w:rsidP="00BA7975">
      <w:pPr>
        <w:jc w:val="both"/>
        <w:rPr>
          <w:rFonts w:ascii="Times New Roman" w:hAnsi="Times New Roman" w:cs="Times New Roman"/>
          <w:bCs/>
          <w:color w:val="000000" w:themeColor="text1"/>
          <w:sz w:val="24"/>
          <w:szCs w:val="24"/>
        </w:rPr>
      </w:pPr>
    </w:p>
    <w:p w:rsidR="00D24CF7" w:rsidRPr="00D8223E" w:rsidRDefault="00D24CF7" w:rsidP="00BA7975">
      <w:pPr>
        <w:jc w:val="both"/>
        <w:rPr>
          <w:rFonts w:ascii="Times New Roman" w:hAnsi="Times New Roman" w:cs="Times New Roman"/>
          <w:bCs/>
          <w:color w:val="000000" w:themeColor="text1"/>
          <w:sz w:val="24"/>
          <w:szCs w:val="24"/>
        </w:rPr>
      </w:pPr>
    </w:p>
    <w:p w:rsidR="00D24CF7" w:rsidRPr="00D8223E" w:rsidRDefault="00D24CF7" w:rsidP="00BA7975">
      <w:pPr>
        <w:jc w:val="both"/>
        <w:rPr>
          <w:rFonts w:ascii="Times New Roman" w:hAnsi="Times New Roman" w:cs="Times New Roman"/>
          <w:b/>
          <w:bCs/>
          <w:color w:val="000000" w:themeColor="text1"/>
          <w:sz w:val="24"/>
          <w:szCs w:val="24"/>
        </w:rPr>
      </w:pPr>
    </w:p>
    <w:p w:rsidR="00BA7975" w:rsidRPr="00D8223E" w:rsidRDefault="009863BE" w:rsidP="00BA7975">
      <w:pPr>
        <w:jc w:val="both"/>
        <w:rPr>
          <w:rFonts w:ascii="Times New Roman" w:hAnsi="Times New Roman" w:cs="Times New Roman"/>
          <w:b/>
          <w:color w:val="000000" w:themeColor="text1"/>
          <w:sz w:val="24"/>
          <w:szCs w:val="24"/>
        </w:rPr>
      </w:pPr>
      <w:r w:rsidRPr="00D8223E">
        <w:rPr>
          <w:rFonts w:ascii="Times New Roman" w:hAnsi="Times New Roman" w:cs="Times New Roman"/>
          <w:b/>
          <w:bCs/>
          <w:color w:val="000000" w:themeColor="text1"/>
          <w:sz w:val="24"/>
          <w:szCs w:val="24"/>
        </w:rPr>
        <w:lastRenderedPageBreak/>
        <w:t>SDC-1</w:t>
      </w:r>
      <w:r w:rsidR="00B22B84" w:rsidRPr="00D8223E">
        <w:rPr>
          <w:rFonts w:ascii="Times New Roman" w:hAnsi="Times New Roman" w:cs="Times New Roman"/>
          <w:b/>
          <w:bCs/>
          <w:color w:val="000000" w:themeColor="text1"/>
          <w:sz w:val="24"/>
          <w:szCs w:val="24"/>
        </w:rPr>
        <w:t>0</w:t>
      </w:r>
      <w:r w:rsidR="00BA7975" w:rsidRPr="00D8223E">
        <w:rPr>
          <w:rFonts w:ascii="Times New Roman" w:hAnsi="Times New Roman" w:cs="Times New Roman"/>
          <w:b/>
          <w:bCs/>
          <w:color w:val="000000" w:themeColor="text1"/>
          <w:sz w:val="24"/>
          <w:szCs w:val="24"/>
        </w:rPr>
        <w:t xml:space="preserve">: Comparison of </w:t>
      </w:r>
      <w:r w:rsidR="00BA7975" w:rsidRPr="00D8223E">
        <w:rPr>
          <w:rFonts w:ascii="Times New Roman" w:hAnsi="Times New Roman" w:cs="Times New Roman"/>
          <w:b/>
          <w:bCs/>
          <w:color w:val="000000" w:themeColor="text1"/>
          <w:sz w:val="24"/>
          <w:szCs w:val="24"/>
          <w:shd w:val="clear" w:color="auto" w:fill="FFFFFF"/>
        </w:rPr>
        <w:t>receiver operating characteristic (ROC) curves of simplified (year 2008) score, original (year 1999, pre-treatment) score and new proposed (year 2017) score [</w:t>
      </w:r>
      <w:r w:rsidR="00BA7975" w:rsidRPr="00D8223E">
        <w:rPr>
          <w:rFonts w:ascii="Times New Roman" w:hAnsi="Times New Roman" w:cs="Times New Roman"/>
          <w:b/>
          <w:color w:val="000000" w:themeColor="text1"/>
          <w:sz w:val="24"/>
          <w:szCs w:val="24"/>
        </w:rPr>
        <w:t xml:space="preserve">For overall cohort, </w:t>
      </w:r>
      <w:proofErr w:type="spellStart"/>
      <w:r w:rsidR="00BA7975" w:rsidRPr="00D8223E">
        <w:rPr>
          <w:rFonts w:ascii="Times New Roman" w:hAnsi="Times New Roman" w:cs="Times New Roman"/>
          <w:b/>
          <w:color w:val="000000" w:themeColor="text1"/>
          <w:sz w:val="24"/>
          <w:szCs w:val="24"/>
        </w:rPr>
        <w:t>i.e</w:t>
      </w:r>
      <w:proofErr w:type="spellEnd"/>
      <w:r w:rsidR="00BA7975" w:rsidRPr="00D8223E">
        <w:rPr>
          <w:rFonts w:ascii="Times New Roman" w:hAnsi="Times New Roman" w:cs="Times New Roman"/>
          <w:b/>
          <w:color w:val="000000" w:themeColor="text1"/>
          <w:sz w:val="24"/>
          <w:szCs w:val="24"/>
        </w:rPr>
        <w:t>, 85 AILD subjects, and 85 Non-AILD Control subjects</w:t>
      </w:r>
      <w:r w:rsidR="00BA7975" w:rsidRPr="00D8223E">
        <w:rPr>
          <w:rFonts w:ascii="Times New Roman" w:hAnsi="Times New Roman" w:cs="Times New Roman"/>
          <w:b/>
          <w:bCs/>
          <w:color w:val="000000" w:themeColor="text1"/>
          <w:sz w:val="24"/>
          <w:szCs w:val="24"/>
          <w:shd w:val="clear" w:color="auto" w:fill="FFFFFF"/>
        </w:rPr>
        <w:t>]</w:t>
      </w:r>
    </w:p>
    <w:p w:rsidR="00BA7975" w:rsidRPr="00D8223E" w:rsidRDefault="00BA7975" w:rsidP="00BA7975">
      <w:pPr>
        <w:autoSpaceDE w:val="0"/>
        <w:autoSpaceDN w:val="0"/>
        <w:adjustRightInd w:val="0"/>
        <w:spacing w:after="0" w:line="480" w:lineRule="auto"/>
        <w:jc w:val="center"/>
        <w:rPr>
          <w:rFonts w:ascii="Times New Roman" w:hAnsi="Times New Roman" w:cs="Times New Roman"/>
          <w:b/>
          <w:bCs/>
          <w:color w:val="000000" w:themeColor="text1"/>
          <w:sz w:val="28"/>
          <w:szCs w:val="24"/>
        </w:rPr>
      </w:pPr>
      <w:r w:rsidRPr="00D8223E">
        <w:rPr>
          <w:rFonts w:ascii="Times New Roman" w:hAnsi="Times New Roman" w:cs="Times New Roman"/>
          <w:b/>
          <w:bCs/>
          <w:noProof/>
          <w:color w:val="000000" w:themeColor="text1"/>
          <w:sz w:val="28"/>
          <w:szCs w:val="24"/>
          <w:lang w:val="en-US" w:eastAsia="en-US"/>
        </w:rPr>
        <w:drawing>
          <wp:inline distT="0" distB="0" distL="0" distR="0">
            <wp:extent cx="4992565" cy="4043612"/>
            <wp:effectExtent l="19050" t="0" r="0" b="0"/>
            <wp:docPr id="2" name="Picture 1" descr="F:\AI DS AIH\Final\AILD ILB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 DS AIH\Final\AILD ILBS\Figure 4.jpg"/>
                    <pic:cNvPicPr>
                      <a:picLocks noChangeAspect="1" noChangeArrowheads="1"/>
                    </pic:cNvPicPr>
                  </pic:nvPicPr>
                  <pic:blipFill>
                    <a:blip r:embed="rId7" cstate="print"/>
                    <a:srcRect t="4266"/>
                    <a:stretch>
                      <a:fillRect/>
                    </a:stretch>
                  </pic:blipFill>
                  <pic:spPr bwMode="auto">
                    <a:xfrm>
                      <a:off x="0" y="0"/>
                      <a:ext cx="4992565" cy="4043612"/>
                    </a:xfrm>
                    <a:prstGeom prst="rect">
                      <a:avLst/>
                    </a:prstGeom>
                    <a:noFill/>
                    <a:ln w="9525">
                      <a:noFill/>
                      <a:miter lim="800000"/>
                      <a:headEnd/>
                      <a:tailEnd/>
                    </a:ln>
                  </pic:spPr>
                </pic:pic>
              </a:graphicData>
            </a:graphic>
          </wp:inline>
        </w:drawing>
      </w:r>
    </w:p>
    <w:p w:rsidR="00BA7975" w:rsidRPr="00D8223E" w:rsidRDefault="00CB11F1" w:rsidP="00CB11F1">
      <w:pPr>
        <w:autoSpaceDE w:val="0"/>
        <w:autoSpaceDN w:val="0"/>
        <w:adjustRightInd w:val="0"/>
        <w:spacing w:after="0" w:line="480" w:lineRule="auto"/>
        <w:rPr>
          <w:rFonts w:ascii="Times New Roman" w:hAnsi="Times New Roman" w:cs="Times New Roman"/>
          <w:b/>
          <w:bCs/>
          <w:color w:val="000000" w:themeColor="text1"/>
          <w:sz w:val="28"/>
          <w:szCs w:val="24"/>
        </w:rPr>
      </w:pPr>
      <w:r w:rsidRPr="00D8223E">
        <w:rPr>
          <w:rFonts w:ascii="Times New Roman" w:hAnsi="Times New Roman" w:cs="Times New Roman"/>
          <w:b/>
          <w:color w:val="000000" w:themeColor="text1"/>
          <w:sz w:val="18"/>
          <w:szCs w:val="18"/>
        </w:rPr>
        <w:t>Abbreviations:</w:t>
      </w:r>
      <w:r w:rsidRPr="00D8223E">
        <w:rPr>
          <w:rFonts w:ascii="Times New Roman" w:hAnsi="Times New Roman" w:cs="Times New Roman"/>
          <w:color w:val="000000" w:themeColor="text1"/>
          <w:sz w:val="18"/>
          <w:szCs w:val="18"/>
        </w:rPr>
        <w:t xml:space="preserve"> AILD- Autoimmune Liver Disease</w:t>
      </w: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D3A7A" w:rsidRPr="00D8223E" w:rsidRDefault="00FD3A7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D3A7A" w:rsidRPr="00D8223E" w:rsidRDefault="00FD3A7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D3A7A" w:rsidRPr="00D8223E" w:rsidRDefault="00FD3A7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D3A7A" w:rsidRPr="00D8223E" w:rsidRDefault="00FD3A7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25786" w:rsidRPr="00D8223E" w:rsidRDefault="00F25786"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5A13CA" w:rsidRPr="00D8223E" w:rsidRDefault="00C24CEA" w:rsidP="005A13CA">
      <w:pPr>
        <w:jc w:val="both"/>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SDC-1</w:t>
      </w:r>
      <w:r w:rsidR="00B22B84" w:rsidRPr="00D8223E">
        <w:rPr>
          <w:rFonts w:ascii="Times New Roman" w:hAnsi="Times New Roman" w:cs="Times New Roman"/>
          <w:b/>
          <w:color w:val="000000" w:themeColor="text1"/>
          <w:sz w:val="24"/>
          <w:szCs w:val="24"/>
        </w:rPr>
        <w:t>1</w:t>
      </w:r>
      <w:r w:rsidR="005A13CA" w:rsidRPr="00D8223E">
        <w:rPr>
          <w:rFonts w:ascii="Times New Roman" w:hAnsi="Times New Roman" w:cs="Times New Roman"/>
          <w:b/>
          <w:color w:val="000000" w:themeColor="text1"/>
          <w:sz w:val="24"/>
          <w:szCs w:val="24"/>
        </w:rPr>
        <w:t>: Comparison of the three diagnostic scores: Original (year 1999, pre-treatment) score, Simplified (year 2008) score, and New proposed (year 2017) score [</w:t>
      </w:r>
      <w:r w:rsidR="005A13CA" w:rsidRPr="00D8223E">
        <w:rPr>
          <w:rFonts w:ascii="Times New Roman" w:hAnsi="Times New Roman" w:cs="Times New Roman"/>
          <w:b/>
          <w:bCs/>
          <w:color w:val="000000" w:themeColor="text1"/>
          <w:sz w:val="24"/>
          <w:szCs w:val="24"/>
          <w:shd w:val="clear" w:color="auto" w:fill="FFFFFF"/>
        </w:rPr>
        <w:t>For only total AIH subjects, after excluding ASC cases</w:t>
      </w:r>
      <w:r w:rsidR="005A13CA" w:rsidRPr="00D8223E">
        <w:rPr>
          <w:rFonts w:ascii="Times New Roman" w:hAnsi="Times New Roman" w:cs="Times New Roman"/>
          <w:b/>
          <w:color w:val="000000" w:themeColor="text1"/>
          <w:sz w:val="24"/>
          <w:szCs w:val="24"/>
        </w:rPr>
        <w:t>]</w:t>
      </w:r>
    </w:p>
    <w:p w:rsidR="005A13CA" w:rsidRPr="00D8223E" w:rsidRDefault="005A13CA" w:rsidP="005A13CA">
      <w:pPr>
        <w:rPr>
          <w:rFonts w:ascii="Times New Roman" w:hAnsi="Times New Roman" w:cs="Times New Roman"/>
          <w:color w:val="000000" w:themeColor="text1"/>
          <w:sz w:val="24"/>
          <w:szCs w:val="24"/>
        </w:rPr>
      </w:pPr>
    </w:p>
    <w:tbl>
      <w:tblPr>
        <w:tblStyle w:val="TableGrid"/>
        <w:tblW w:w="10773" w:type="dxa"/>
        <w:tblInd w:w="-459" w:type="dxa"/>
        <w:tblLook w:val="04A0" w:firstRow="1" w:lastRow="0" w:firstColumn="1" w:lastColumn="0" w:noHBand="0" w:noVBand="1"/>
      </w:tblPr>
      <w:tblGrid>
        <w:gridCol w:w="1830"/>
        <w:gridCol w:w="1283"/>
        <w:gridCol w:w="1283"/>
        <w:gridCol w:w="1373"/>
        <w:gridCol w:w="1382"/>
        <w:gridCol w:w="1389"/>
        <w:gridCol w:w="2233"/>
      </w:tblGrid>
      <w:tr w:rsidR="00D8223E" w:rsidRPr="00D8223E" w:rsidTr="00FD3A7A">
        <w:trPr>
          <w:trHeight w:val="877"/>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Score</w:t>
            </w:r>
          </w:p>
        </w:tc>
        <w:tc>
          <w:tcPr>
            <w:tcW w:w="1283"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Sensitivity</w:t>
            </w:r>
          </w:p>
        </w:tc>
        <w:tc>
          <w:tcPr>
            <w:tcW w:w="1283"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Specificity</w:t>
            </w:r>
          </w:p>
        </w:tc>
        <w:tc>
          <w:tcPr>
            <w:tcW w:w="1373"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Positive Predictive Value</w:t>
            </w:r>
          </w:p>
        </w:tc>
        <w:tc>
          <w:tcPr>
            <w:tcW w:w="1382"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Negative Predictive Value</w:t>
            </w:r>
          </w:p>
        </w:tc>
        <w:tc>
          <w:tcPr>
            <w:tcW w:w="1389"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Correctly Classified</w:t>
            </w:r>
          </w:p>
        </w:tc>
        <w:tc>
          <w:tcPr>
            <w:tcW w:w="2233"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AUROC </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(95 % C.I)</w:t>
            </w:r>
          </w:p>
        </w:tc>
      </w:tr>
      <w:tr w:rsidR="00D8223E" w:rsidRPr="00D8223E" w:rsidTr="00FD3A7A">
        <w:trPr>
          <w:trHeight w:val="931"/>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Original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(Cut off </w:t>
            </w:r>
            <w:r w:rsidRPr="00D8223E">
              <w:rPr>
                <w:rFonts w:ascii="Times New Roman" w:hAnsi="Times New Roman" w:cs="Times New Roman"/>
                <w:b/>
                <w:color w:val="000000" w:themeColor="text1"/>
                <w:sz w:val="24"/>
                <w:szCs w:val="24"/>
                <w:u w:val="single"/>
              </w:rPr>
              <w:t>&gt;</w:t>
            </w:r>
            <w:r w:rsidRPr="00D8223E">
              <w:rPr>
                <w:rFonts w:ascii="Times New Roman" w:hAnsi="Times New Roman" w:cs="Times New Roman"/>
                <w:b/>
                <w:color w:val="000000" w:themeColor="text1"/>
                <w:sz w:val="24"/>
                <w:szCs w:val="24"/>
              </w:rPr>
              <w:t xml:space="preserve"> 10)</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81 %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97.2 %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97.1 %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81.2 %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88.4 %</w:t>
            </w:r>
          </w:p>
        </w:tc>
        <w:tc>
          <w:tcPr>
            <w:tcW w:w="2233" w:type="dxa"/>
            <w:vMerge w:val="restart"/>
          </w:tcPr>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0.979 (0.962 – 0.996)</w:t>
            </w:r>
          </w:p>
          <w:p w:rsidR="005A13CA" w:rsidRPr="00D8223E" w:rsidRDefault="005A13CA" w:rsidP="00FD3A7A">
            <w:pPr>
              <w:jc w:val="center"/>
              <w:rPr>
                <w:rFonts w:ascii="Times New Roman" w:hAnsi="Times New Roman" w:cs="Times New Roman"/>
                <w:color w:val="000000" w:themeColor="text1"/>
                <w:sz w:val="24"/>
                <w:szCs w:val="24"/>
              </w:rPr>
            </w:pPr>
          </w:p>
        </w:tc>
      </w:tr>
      <w:tr w:rsidR="00D8223E" w:rsidRPr="00D8223E" w:rsidTr="00FD3A7A">
        <w:trPr>
          <w:trHeight w:val="931"/>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Original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(Cut off &gt; 15)</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98.1 %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81.6 %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72.9 %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98.8 %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87.1 %</w:t>
            </w:r>
          </w:p>
        </w:tc>
        <w:tc>
          <w:tcPr>
            <w:tcW w:w="2233" w:type="dxa"/>
            <w:vMerge/>
          </w:tcPr>
          <w:p w:rsidR="005A13CA" w:rsidRPr="00D8223E" w:rsidRDefault="005A13CA" w:rsidP="00FD3A7A">
            <w:pPr>
              <w:jc w:val="center"/>
              <w:rPr>
                <w:rFonts w:ascii="Times New Roman" w:hAnsi="Times New Roman" w:cs="Times New Roman"/>
                <w:color w:val="000000" w:themeColor="text1"/>
                <w:sz w:val="24"/>
                <w:szCs w:val="24"/>
              </w:rPr>
            </w:pPr>
          </w:p>
        </w:tc>
      </w:tr>
      <w:tr w:rsidR="00D8223E" w:rsidRPr="00D8223E" w:rsidTr="00FD3A7A">
        <w:trPr>
          <w:trHeight w:val="877"/>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Simplified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(Cut off </w:t>
            </w:r>
            <w:r w:rsidRPr="00D8223E">
              <w:rPr>
                <w:rFonts w:ascii="Times New Roman" w:hAnsi="Times New Roman" w:cs="Times New Roman"/>
                <w:b/>
                <w:color w:val="000000" w:themeColor="text1"/>
                <w:sz w:val="24"/>
                <w:szCs w:val="24"/>
                <w:u w:val="single"/>
              </w:rPr>
              <w:t>&gt;</w:t>
            </w:r>
            <w:r w:rsidRPr="00D8223E">
              <w:rPr>
                <w:rFonts w:ascii="Times New Roman" w:hAnsi="Times New Roman" w:cs="Times New Roman"/>
                <w:b/>
                <w:color w:val="000000" w:themeColor="text1"/>
                <w:sz w:val="24"/>
                <w:szCs w:val="24"/>
              </w:rPr>
              <w:t xml:space="preserve"> 6 )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93 %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95.2 %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94.3 %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94.1 %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94.2 %</w:t>
            </w:r>
          </w:p>
        </w:tc>
        <w:tc>
          <w:tcPr>
            <w:tcW w:w="2233" w:type="dxa"/>
            <w:vMerge w:val="restart"/>
          </w:tcPr>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0.981 (0.964 – 0.997)</w:t>
            </w:r>
          </w:p>
          <w:p w:rsidR="005A13CA" w:rsidRPr="00D8223E" w:rsidRDefault="005A13CA" w:rsidP="00FD3A7A">
            <w:pPr>
              <w:jc w:val="center"/>
              <w:rPr>
                <w:rFonts w:ascii="Times New Roman" w:hAnsi="Times New Roman" w:cs="Times New Roman"/>
                <w:color w:val="000000" w:themeColor="text1"/>
                <w:sz w:val="24"/>
                <w:szCs w:val="24"/>
              </w:rPr>
            </w:pPr>
          </w:p>
        </w:tc>
      </w:tr>
      <w:tr w:rsidR="00D8223E" w:rsidRPr="00D8223E" w:rsidTr="00FD3A7A">
        <w:trPr>
          <w:trHeight w:val="877"/>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Simplified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(Cut off </w:t>
            </w:r>
            <w:r w:rsidRPr="00D8223E">
              <w:rPr>
                <w:rFonts w:ascii="Times New Roman" w:hAnsi="Times New Roman" w:cs="Times New Roman"/>
                <w:b/>
                <w:color w:val="000000" w:themeColor="text1"/>
                <w:sz w:val="24"/>
                <w:szCs w:val="24"/>
                <w:u w:val="single"/>
              </w:rPr>
              <w:t>&gt;</w:t>
            </w:r>
            <w:r w:rsidRPr="00D8223E">
              <w:rPr>
                <w:rFonts w:ascii="Times New Roman" w:hAnsi="Times New Roman" w:cs="Times New Roman"/>
                <w:b/>
                <w:color w:val="000000" w:themeColor="text1"/>
                <w:sz w:val="24"/>
                <w:szCs w:val="24"/>
              </w:rPr>
              <w:t xml:space="preserve"> 7)</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100 %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75.9 %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61.4 %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100 %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82.6 %</w:t>
            </w:r>
          </w:p>
        </w:tc>
        <w:tc>
          <w:tcPr>
            <w:tcW w:w="2233" w:type="dxa"/>
            <w:vMerge/>
          </w:tcPr>
          <w:p w:rsidR="005A13CA" w:rsidRPr="00D8223E" w:rsidRDefault="005A13CA" w:rsidP="00FD3A7A">
            <w:pPr>
              <w:jc w:val="center"/>
              <w:rPr>
                <w:rFonts w:ascii="Times New Roman" w:hAnsi="Times New Roman" w:cs="Times New Roman"/>
                <w:color w:val="000000" w:themeColor="text1"/>
                <w:sz w:val="24"/>
                <w:szCs w:val="24"/>
              </w:rPr>
            </w:pPr>
          </w:p>
        </w:tc>
      </w:tr>
      <w:tr w:rsidR="00D8223E" w:rsidRPr="00D8223E" w:rsidTr="00FD3A7A">
        <w:trPr>
          <w:trHeight w:val="931"/>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New proposed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(Cut off </w:t>
            </w:r>
            <w:r w:rsidRPr="00D8223E">
              <w:rPr>
                <w:rFonts w:ascii="Times New Roman" w:hAnsi="Times New Roman" w:cs="Times New Roman"/>
                <w:b/>
                <w:color w:val="000000" w:themeColor="text1"/>
                <w:sz w:val="24"/>
                <w:szCs w:val="24"/>
                <w:u w:val="single"/>
              </w:rPr>
              <w:t>&gt;</w:t>
            </w:r>
            <w:r w:rsidRPr="00D8223E">
              <w:rPr>
                <w:rFonts w:ascii="Times New Roman" w:hAnsi="Times New Roman" w:cs="Times New Roman"/>
                <w:b/>
                <w:color w:val="000000" w:themeColor="text1"/>
                <w:sz w:val="24"/>
                <w:szCs w:val="24"/>
              </w:rPr>
              <w:t xml:space="preserve"> 7)</w:t>
            </w:r>
          </w:p>
          <w:p w:rsidR="005A13CA" w:rsidRPr="00D8223E" w:rsidRDefault="005A13CA" w:rsidP="00FD3A7A">
            <w:pPr>
              <w:jc w:val="center"/>
              <w:rPr>
                <w:rFonts w:ascii="Times New Roman" w:hAnsi="Times New Roman" w:cs="Times New Roman"/>
                <w:b/>
                <w:color w:val="000000" w:themeColor="text1"/>
                <w:sz w:val="24"/>
                <w:szCs w:val="24"/>
              </w:rPr>
            </w:pP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92.9 %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94.1 %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92.9 %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94.1 %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93.5 %</w:t>
            </w:r>
          </w:p>
        </w:tc>
        <w:tc>
          <w:tcPr>
            <w:tcW w:w="2233" w:type="dxa"/>
            <w:vMerge w:val="restart"/>
          </w:tcPr>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p>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0.976 (0.954 – 0.998)</w:t>
            </w:r>
          </w:p>
          <w:p w:rsidR="005A13CA" w:rsidRPr="00D8223E" w:rsidRDefault="005A13CA" w:rsidP="00FD3A7A">
            <w:pPr>
              <w:jc w:val="center"/>
              <w:rPr>
                <w:rFonts w:ascii="Times New Roman" w:hAnsi="Times New Roman" w:cs="Times New Roman"/>
                <w:color w:val="000000" w:themeColor="text1"/>
                <w:sz w:val="24"/>
                <w:szCs w:val="24"/>
              </w:rPr>
            </w:pPr>
          </w:p>
        </w:tc>
      </w:tr>
      <w:tr w:rsidR="00D8223E" w:rsidRPr="00D8223E" w:rsidTr="00FD3A7A">
        <w:trPr>
          <w:trHeight w:val="931"/>
        </w:trPr>
        <w:tc>
          <w:tcPr>
            <w:tcW w:w="1830" w:type="dxa"/>
          </w:tcPr>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New proposed score</w:t>
            </w:r>
          </w:p>
          <w:p w:rsidR="005A13CA" w:rsidRPr="00D8223E" w:rsidRDefault="005A13CA" w:rsidP="00FD3A7A">
            <w:pPr>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t xml:space="preserve">(Cut off </w:t>
            </w:r>
            <w:r w:rsidRPr="00D8223E">
              <w:rPr>
                <w:rFonts w:ascii="Times New Roman" w:hAnsi="Times New Roman" w:cs="Times New Roman"/>
                <w:b/>
                <w:color w:val="000000" w:themeColor="text1"/>
                <w:sz w:val="24"/>
                <w:szCs w:val="24"/>
                <w:u w:val="single"/>
              </w:rPr>
              <w:t>&gt;</w:t>
            </w:r>
            <w:r w:rsidRPr="00D8223E">
              <w:rPr>
                <w:rFonts w:ascii="Times New Roman" w:hAnsi="Times New Roman" w:cs="Times New Roman"/>
                <w:b/>
                <w:color w:val="000000" w:themeColor="text1"/>
                <w:sz w:val="24"/>
                <w:szCs w:val="24"/>
              </w:rPr>
              <w:t xml:space="preserve"> 8)</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94.4 %</w:t>
            </w:r>
          </w:p>
        </w:tc>
        <w:tc>
          <w:tcPr>
            <w:tcW w:w="128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81.2 %</w:t>
            </w:r>
          </w:p>
        </w:tc>
        <w:tc>
          <w:tcPr>
            <w:tcW w:w="1373"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72.9 %</w:t>
            </w:r>
          </w:p>
        </w:tc>
        <w:tc>
          <w:tcPr>
            <w:tcW w:w="1382"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96.5 %</w:t>
            </w:r>
          </w:p>
        </w:tc>
        <w:tc>
          <w:tcPr>
            <w:tcW w:w="1389" w:type="dxa"/>
          </w:tcPr>
          <w:p w:rsidR="005A13CA" w:rsidRPr="00D8223E" w:rsidRDefault="005A13CA" w:rsidP="00FD3A7A">
            <w:pPr>
              <w:jc w:val="center"/>
              <w:rPr>
                <w:rFonts w:ascii="Times New Roman" w:hAnsi="Times New Roman" w:cs="Times New Roman"/>
                <w:color w:val="000000" w:themeColor="text1"/>
                <w:sz w:val="24"/>
                <w:szCs w:val="24"/>
              </w:rPr>
            </w:pPr>
            <w:r w:rsidRPr="00D8223E">
              <w:rPr>
                <w:rFonts w:ascii="Times New Roman" w:hAnsi="Times New Roman" w:cs="Times New Roman"/>
                <w:color w:val="000000" w:themeColor="text1"/>
                <w:sz w:val="24"/>
                <w:szCs w:val="24"/>
              </w:rPr>
              <w:t>85.8 %</w:t>
            </w:r>
          </w:p>
        </w:tc>
        <w:tc>
          <w:tcPr>
            <w:tcW w:w="2233" w:type="dxa"/>
            <w:vMerge/>
          </w:tcPr>
          <w:p w:rsidR="005A13CA" w:rsidRPr="00D8223E" w:rsidRDefault="005A13CA" w:rsidP="00FD3A7A">
            <w:pPr>
              <w:jc w:val="center"/>
              <w:rPr>
                <w:rFonts w:ascii="Times New Roman" w:hAnsi="Times New Roman" w:cs="Times New Roman"/>
                <w:color w:val="000000" w:themeColor="text1"/>
                <w:sz w:val="24"/>
                <w:szCs w:val="24"/>
              </w:rPr>
            </w:pPr>
          </w:p>
        </w:tc>
      </w:tr>
    </w:tbl>
    <w:p w:rsidR="005A13CA" w:rsidRPr="00D8223E" w:rsidRDefault="005A13CA" w:rsidP="005A13CA">
      <w:pPr>
        <w:rPr>
          <w:rFonts w:ascii="Times New Roman" w:hAnsi="Times New Roman" w:cs="Times New Roman"/>
          <w:color w:val="000000" w:themeColor="text1"/>
          <w:sz w:val="24"/>
          <w:szCs w:val="24"/>
        </w:rPr>
      </w:pPr>
    </w:p>
    <w:p w:rsidR="005A13CA" w:rsidRPr="00D8223E" w:rsidRDefault="005A13CA" w:rsidP="005A13CA">
      <w:pPr>
        <w:spacing w:after="0" w:line="240" w:lineRule="auto"/>
        <w:ind w:left="-284"/>
        <w:jc w:val="both"/>
        <w:rPr>
          <w:rFonts w:ascii="Times New Roman" w:hAnsi="Times New Roman" w:cs="Times New Roman"/>
          <w:color w:val="000000" w:themeColor="text1"/>
          <w:sz w:val="20"/>
          <w:szCs w:val="20"/>
        </w:rPr>
      </w:pPr>
      <w:r w:rsidRPr="00D8223E">
        <w:rPr>
          <w:rFonts w:ascii="Times New Roman" w:hAnsi="Times New Roman" w:cs="Times New Roman"/>
          <w:color w:val="000000" w:themeColor="text1"/>
          <w:sz w:val="20"/>
          <w:szCs w:val="20"/>
        </w:rPr>
        <w:t xml:space="preserve">Abbreviations: AUROC- Area under </w:t>
      </w:r>
      <w:r w:rsidRPr="00D8223E">
        <w:rPr>
          <w:rFonts w:ascii="Times New Roman" w:hAnsi="Times New Roman" w:cs="Times New Roman"/>
          <w:bCs/>
          <w:color w:val="000000" w:themeColor="text1"/>
          <w:sz w:val="20"/>
          <w:szCs w:val="20"/>
          <w:shd w:val="clear" w:color="auto" w:fill="FFFFFF"/>
        </w:rPr>
        <w:t>receiver operating characteristic curve</w:t>
      </w:r>
      <w:r w:rsidRPr="00D8223E">
        <w:rPr>
          <w:rFonts w:ascii="Times New Roman" w:hAnsi="Times New Roman" w:cs="Times New Roman"/>
          <w:color w:val="000000" w:themeColor="text1"/>
          <w:sz w:val="20"/>
          <w:szCs w:val="20"/>
        </w:rPr>
        <w:t>, CI- Confidence interval</w:t>
      </w:r>
    </w:p>
    <w:p w:rsidR="005A13CA" w:rsidRPr="00D8223E" w:rsidRDefault="005A13CA" w:rsidP="005A13CA">
      <w:pPr>
        <w:rPr>
          <w:rFonts w:ascii="Times New Roman" w:hAnsi="Times New Roman" w:cs="Times New Roman"/>
          <w:color w:val="000000" w:themeColor="text1"/>
          <w:sz w:val="20"/>
          <w:szCs w:val="20"/>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C234A" w:rsidRPr="00D8223E" w:rsidRDefault="00BC234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25786" w:rsidRPr="00D8223E" w:rsidRDefault="00F25786"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CB11F1">
      <w:pPr>
        <w:autoSpaceDE w:val="0"/>
        <w:autoSpaceDN w:val="0"/>
        <w:adjustRightInd w:val="0"/>
        <w:spacing w:after="0" w:line="240" w:lineRule="auto"/>
        <w:jc w:val="both"/>
        <w:rPr>
          <w:rFonts w:ascii="Times New Roman" w:hAnsi="Times New Roman" w:cs="Times New Roman"/>
          <w:b/>
          <w:bCs/>
          <w:color w:val="000000" w:themeColor="text1"/>
          <w:sz w:val="24"/>
          <w:szCs w:val="24"/>
          <w:shd w:val="clear" w:color="auto" w:fill="FFFFFF"/>
        </w:rPr>
      </w:pPr>
      <w:r w:rsidRPr="00D8223E">
        <w:rPr>
          <w:rFonts w:ascii="Times New Roman" w:hAnsi="Times New Roman" w:cs="Times New Roman"/>
          <w:b/>
          <w:color w:val="000000" w:themeColor="text1"/>
          <w:sz w:val="24"/>
          <w:szCs w:val="24"/>
        </w:rPr>
        <w:lastRenderedPageBreak/>
        <w:t>SDC-1</w:t>
      </w:r>
      <w:r w:rsidR="00B22B84" w:rsidRPr="00D8223E">
        <w:rPr>
          <w:rFonts w:ascii="Times New Roman" w:hAnsi="Times New Roman" w:cs="Times New Roman"/>
          <w:b/>
          <w:color w:val="000000" w:themeColor="text1"/>
          <w:sz w:val="24"/>
          <w:szCs w:val="24"/>
        </w:rPr>
        <w:t>2</w:t>
      </w:r>
      <w:r w:rsidRPr="00D8223E">
        <w:rPr>
          <w:rFonts w:ascii="Times New Roman" w:hAnsi="Times New Roman" w:cs="Times New Roman"/>
          <w:b/>
          <w:bCs/>
          <w:color w:val="000000" w:themeColor="text1"/>
          <w:sz w:val="24"/>
          <w:szCs w:val="24"/>
        </w:rPr>
        <w:t xml:space="preserve">: Comparison of </w:t>
      </w:r>
      <w:r w:rsidRPr="00D8223E">
        <w:rPr>
          <w:rFonts w:ascii="Times New Roman" w:hAnsi="Times New Roman" w:cs="Times New Roman"/>
          <w:b/>
          <w:bCs/>
          <w:color w:val="000000" w:themeColor="text1"/>
          <w:sz w:val="24"/>
          <w:szCs w:val="24"/>
          <w:shd w:val="clear" w:color="auto" w:fill="FFFFFF"/>
        </w:rPr>
        <w:t>receiver operating characteristic (ROC) curves of simplified (year 2008) score, original (year 1999, pre-treatment) score and new proposed (year 2017) score [For only total AIH subjects, after excluding ASC cases]</w:t>
      </w:r>
    </w:p>
    <w:p w:rsidR="00CB11F1" w:rsidRPr="00D8223E" w:rsidRDefault="00CB11F1" w:rsidP="00CB11F1">
      <w:pPr>
        <w:autoSpaceDE w:val="0"/>
        <w:autoSpaceDN w:val="0"/>
        <w:adjustRightInd w:val="0"/>
        <w:spacing w:after="0" w:line="480" w:lineRule="auto"/>
        <w:jc w:val="center"/>
        <w:rPr>
          <w:rFonts w:ascii="Times New Roman" w:hAnsi="Times New Roman" w:cs="Times New Roman"/>
          <w:b/>
          <w:bCs/>
          <w:color w:val="000000" w:themeColor="text1"/>
          <w:sz w:val="28"/>
          <w:szCs w:val="24"/>
        </w:rPr>
      </w:pPr>
    </w:p>
    <w:p w:rsidR="00CB11F1" w:rsidRPr="00D8223E" w:rsidRDefault="00CB11F1" w:rsidP="00CB11F1">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p>
    <w:p w:rsidR="00CB11F1" w:rsidRPr="00D8223E" w:rsidRDefault="00CB11F1" w:rsidP="00CB11F1">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D8223E">
        <w:rPr>
          <w:rFonts w:ascii="Times New Roman" w:eastAsiaTheme="minorHAnsi" w:hAnsi="Times New Roman" w:cs="Times New Roman"/>
          <w:noProof/>
          <w:color w:val="000000" w:themeColor="text1"/>
          <w:sz w:val="24"/>
          <w:szCs w:val="24"/>
          <w:lang w:val="en-US" w:eastAsia="en-US"/>
        </w:rPr>
        <w:drawing>
          <wp:inline distT="0" distB="0" distL="0" distR="0">
            <wp:extent cx="5722327" cy="406266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6035" b="5281"/>
                    <a:stretch>
                      <a:fillRect/>
                    </a:stretch>
                  </pic:blipFill>
                  <pic:spPr bwMode="auto">
                    <a:xfrm>
                      <a:off x="0" y="0"/>
                      <a:ext cx="5722327" cy="4062667"/>
                    </a:xfrm>
                    <a:prstGeom prst="rect">
                      <a:avLst/>
                    </a:prstGeom>
                    <a:noFill/>
                    <a:ln w="9525">
                      <a:noFill/>
                      <a:miter lim="800000"/>
                      <a:headEnd/>
                      <a:tailEnd/>
                    </a:ln>
                  </pic:spPr>
                </pic:pic>
              </a:graphicData>
            </a:graphic>
          </wp:inline>
        </w:drawing>
      </w:r>
    </w:p>
    <w:p w:rsidR="00BA7975" w:rsidRPr="00D8223E" w:rsidRDefault="00F25786" w:rsidP="00F25786">
      <w:pPr>
        <w:autoSpaceDE w:val="0"/>
        <w:autoSpaceDN w:val="0"/>
        <w:adjustRightInd w:val="0"/>
        <w:spacing w:after="0" w:line="480" w:lineRule="auto"/>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18"/>
          <w:szCs w:val="18"/>
        </w:rPr>
        <w:t>Abbreviations:</w:t>
      </w:r>
      <w:r w:rsidRPr="00D8223E">
        <w:rPr>
          <w:rFonts w:ascii="Times New Roman" w:hAnsi="Times New Roman" w:cs="Times New Roman"/>
          <w:color w:val="000000" w:themeColor="text1"/>
          <w:sz w:val="16"/>
          <w:szCs w:val="16"/>
        </w:rPr>
        <w:t xml:space="preserve"> AIH- Autoimmune hepatitis, ASC- Autoimmune </w:t>
      </w:r>
      <w:proofErr w:type="spellStart"/>
      <w:r w:rsidRPr="00D8223E">
        <w:rPr>
          <w:rFonts w:ascii="Times New Roman" w:hAnsi="Times New Roman" w:cs="Times New Roman"/>
          <w:color w:val="000000" w:themeColor="text1"/>
          <w:sz w:val="16"/>
          <w:szCs w:val="16"/>
        </w:rPr>
        <w:t>sclerosing</w:t>
      </w:r>
      <w:proofErr w:type="spellEnd"/>
      <w:r w:rsidRPr="00D8223E">
        <w:rPr>
          <w:rFonts w:ascii="Times New Roman" w:hAnsi="Times New Roman" w:cs="Times New Roman"/>
          <w:color w:val="000000" w:themeColor="text1"/>
          <w:sz w:val="16"/>
          <w:szCs w:val="16"/>
        </w:rPr>
        <w:t xml:space="preserve"> cholangitis</w:t>
      </w: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B11F1" w:rsidRPr="00D8223E" w:rsidRDefault="00CB11F1"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C24CEA" w:rsidRPr="00D8223E" w:rsidRDefault="00C24CEA"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25786" w:rsidRPr="00D8223E" w:rsidRDefault="00F25786"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25786" w:rsidRPr="00D8223E" w:rsidRDefault="00F25786"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F31197" w:rsidRPr="00D8223E" w:rsidRDefault="00F3119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D8223E">
        <w:rPr>
          <w:rFonts w:ascii="Times New Roman" w:hAnsi="Times New Roman" w:cs="Times New Roman"/>
          <w:b/>
          <w:color w:val="000000" w:themeColor="text1"/>
          <w:sz w:val="24"/>
          <w:szCs w:val="24"/>
        </w:rPr>
        <w:lastRenderedPageBreak/>
        <w:t>References</w:t>
      </w:r>
    </w:p>
    <w:p w:rsidR="001A65B3" w:rsidRPr="00D8223E" w:rsidRDefault="00D8223E" w:rsidP="001A65B3">
      <w:pPr>
        <w:pStyle w:val="ListParagraph"/>
        <w:numPr>
          <w:ilvl w:val="0"/>
          <w:numId w:val="1"/>
        </w:numPr>
        <w:shd w:val="clear" w:color="auto" w:fill="FFFFFF"/>
        <w:spacing w:line="480" w:lineRule="auto"/>
        <w:jc w:val="both"/>
        <w:rPr>
          <w:rFonts w:ascii="Times New Roman" w:hAnsi="Times New Roman" w:cs="Times New Roman"/>
          <w:color w:val="000000" w:themeColor="text1"/>
          <w:sz w:val="24"/>
          <w:szCs w:val="24"/>
        </w:rPr>
      </w:pPr>
      <w:hyperlink r:id="rId9" w:history="1">
        <w:proofErr w:type="spellStart"/>
        <w:r w:rsidR="001A65B3" w:rsidRPr="00D8223E">
          <w:rPr>
            <w:rStyle w:val="Hyperlink"/>
            <w:rFonts w:ascii="Times New Roman" w:hAnsi="Times New Roman" w:cs="Times New Roman"/>
            <w:color w:val="000000" w:themeColor="text1"/>
            <w:sz w:val="24"/>
            <w:szCs w:val="24"/>
            <w:u w:val="none"/>
          </w:rPr>
          <w:t>Balitzer</w:t>
        </w:r>
        <w:proofErr w:type="spellEnd"/>
        <w:r w:rsidR="001A65B3" w:rsidRPr="00D8223E">
          <w:rPr>
            <w:rStyle w:val="Hyperlink"/>
            <w:rFonts w:ascii="Times New Roman" w:hAnsi="Times New Roman" w:cs="Times New Roman"/>
            <w:color w:val="000000" w:themeColor="text1"/>
            <w:sz w:val="24"/>
            <w:szCs w:val="24"/>
            <w:u w:val="none"/>
          </w:rPr>
          <w:t xml:space="preserve"> D</w:t>
        </w:r>
      </w:hyperlink>
      <w:r w:rsidR="001A65B3" w:rsidRPr="00D8223E">
        <w:rPr>
          <w:rFonts w:ascii="Times New Roman" w:hAnsi="Times New Roman" w:cs="Times New Roman"/>
          <w:color w:val="000000" w:themeColor="text1"/>
          <w:sz w:val="24"/>
          <w:szCs w:val="24"/>
        </w:rPr>
        <w:t>, </w:t>
      </w:r>
      <w:proofErr w:type="spellStart"/>
      <w:r w:rsidR="00CF4D78" w:rsidRPr="00D8223E">
        <w:rPr>
          <w:rFonts w:ascii="Times New Roman" w:hAnsi="Times New Roman" w:cs="Times New Roman"/>
          <w:color w:val="000000" w:themeColor="text1"/>
          <w:sz w:val="24"/>
          <w:szCs w:val="24"/>
        </w:rPr>
        <w:fldChar w:fldCharType="begin"/>
      </w:r>
      <w:r w:rsidR="001A65B3" w:rsidRPr="00D8223E">
        <w:rPr>
          <w:rFonts w:ascii="Times New Roman" w:hAnsi="Times New Roman" w:cs="Times New Roman"/>
          <w:color w:val="000000" w:themeColor="text1"/>
          <w:sz w:val="24"/>
          <w:szCs w:val="24"/>
        </w:rPr>
        <w:instrText xml:space="preserve"> HYPERLINK "https://www.ncbi.nlm.nih.gov/pubmed/?term=Shafizadeh%20N%5BAuthor%5D&amp;cauthor=true&amp;cauthor_uid=28106105" </w:instrText>
      </w:r>
      <w:r w:rsidR="00CF4D78" w:rsidRPr="00D8223E">
        <w:rPr>
          <w:rFonts w:ascii="Times New Roman" w:hAnsi="Times New Roman" w:cs="Times New Roman"/>
          <w:color w:val="000000" w:themeColor="text1"/>
          <w:sz w:val="24"/>
          <w:szCs w:val="24"/>
        </w:rPr>
        <w:fldChar w:fldCharType="separate"/>
      </w:r>
      <w:r w:rsidR="001A65B3" w:rsidRPr="00D8223E">
        <w:rPr>
          <w:rStyle w:val="Hyperlink"/>
          <w:rFonts w:ascii="Times New Roman" w:hAnsi="Times New Roman" w:cs="Times New Roman"/>
          <w:color w:val="000000" w:themeColor="text1"/>
          <w:sz w:val="24"/>
          <w:szCs w:val="24"/>
          <w:u w:val="none"/>
        </w:rPr>
        <w:t>Shafizadeh</w:t>
      </w:r>
      <w:proofErr w:type="spellEnd"/>
      <w:r w:rsidR="001A65B3" w:rsidRPr="00D8223E">
        <w:rPr>
          <w:rStyle w:val="Hyperlink"/>
          <w:rFonts w:ascii="Times New Roman" w:hAnsi="Times New Roman" w:cs="Times New Roman"/>
          <w:color w:val="000000" w:themeColor="text1"/>
          <w:sz w:val="24"/>
          <w:szCs w:val="24"/>
          <w:u w:val="none"/>
        </w:rPr>
        <w:t xml:space="preserve"> N</w:t>
      </w:r>
      <w:r w:rsidR="00CF4D78" w:rsidRPr="00D8223E">
        <w:rPr>
          <w:rFonts w:ascii="Times New Roman" w:hAnsi="Times New Roman" w:cs="Times New Roman"/>
          <w:color w:val="000000" w:themeColor="text1"/>
          <w:sz w:val="24"/>
          <w:szCs w:val="24"/>
        </w:rPr>
        <w:fldChar w:fldCharType="end"/>
      </w:r>
      <w:r w:rsidR="001A65B3" w:rsidRPr="00D8223E">
        <w:rPr>
          <w:rFonts w:ascii="Times New Roman" w:hAnsi="Times New Roman" w:cs="Times New Roman"/>
          <w:color w:val="000000" w:themeColor="text1"/>
          <w:sz w:val="24"/>
          <w:szCs w:val="24"/>
        </w:rPr>
        <w:t>, </w:t>
      </w:r>
      <w:hyperlink r:id="rId10" w:history="1">
        <w:r w:rsidR="001A65B3" w:rsidRPr="00D8223E">
          <w:rPr>
            <w:rStyle w:val="Hyperlink"/>
            <w:rFonts w:ascii="Times New Roman" w:hAnsi="Times New Roman" w:cs="Times New Roman"/>
            <w:color w:val="000000" w:themeColor="text1"/>
            <w:sz w:val="24"/>
            <w:szCs w:val="24"/>
            <w:u w:val="none"/>
          </w:rPr>
          <w:t>Peters MG</w:t>
        </w:r>
      </w:hyperlink>
      <w:r w:rsidR="001A65B3" w:rsidRPr="00D8223E">
        <w:rPr>
          <w:rFonts w:ascii="Times New Roman" w:hAnsi="Times New Roman" w:cs="Times New Roman"/>
          <w:color w:val="000000" w:themeColor="text1"/>
          <w:sz w:val="24"/>
          <w:szCs w:val="24"/>
        </w:rPr>
        <w:t>, et al</w:t>
      </w:r>
      <w:r w:rsidR="001A65B3" w:rsidRPr="00D8223E">
        <w:rPr>
          <w:b/>
          <w:color w:val="000000" w:themeColor="text1"/>
          <w:sz w:val="24"/>
          <w:szCs w:val="24"/>
        </w:rPr>
        <w:t xml:space="preserve">. </w:t>
      </w:r>
      <w:r w:rsidR="001A65B3" w:rsidRPr="00D8223E">
        <w:rPr>
          <w:rFonts w:ascii="Times New Roman" w:hAnsi="Times New Roman" w:cs="Times New Roman"/>
          <w:color w:val="000000" w:themeColor="text1"/>
          <w:sz w:val="24"/>
          <w:szCs w:val="24"/>
        </w:rPr>
        <w:t xml:space="preserve">Autoimmune hepatitis: review of histologic features included in the simplified criteria proposed by the international autoimmune hepatitis group and proposal for new histologic criteria. </w:t>
      </w:r>
      <w:r w:rsidRPr="00D8223E">
        <w:rPr>
          <w:color w:val="000000" w:themeColor="text1"/>
        </w:rPr>
        <w:fldChar w:fldCharType="begin"/>
      </w:r>
      <w:r w:rsidRPr="00D8223E">
        <w:rPr>
          <w:color w:val="000000" w:themeColor="text1"/>
        </w:rPr>
        <w:instrText xml:space="preserve"> HYPERLINK "https://www.ncbi.nlm.nih.gov/pubmed/28106105" \o "Modern pathology : an official journal of the United States and Canadian Academy of Pathology, Inc." </w:instrText>
      </w:r>
      <w:r w:rsidRPr="00D8223E">
        <w:rPr>
          <w:color w:val="000000" w:themeColor="text1"/>
        </w:rPr>
        <w:fldChar w:fldCharType="separate"/>
      </w:r>
      <w:r w:rsidR="001A65B3" w:rsidRPr="00D8223E">
        <w:rPr>
          <w:rStyle w:val="Hyperlink"/>
          <w:rFonts w:ascii="Times New Roman" w:hAnsi="Times New Roman" w:cs="Times New Roman"/>
          <w:color w:val="000000" w:themeColor="text1"/>
          <w:sz w:val="24"/>
          <w:szCs w:val="24"/>
          <w:u w:val="none"/>
        </w:rPr>
        <w:t xml:space="preserve">Mod </w:t>
      </w:r>
      <w:proofErr w:type="spellStart"/>
      <w:r w:rsidR="001A65B3" w:rsidRPr="00D8223E">
        <w:rPr>
          <w:rStyle w:val="Hyperlink"/>
          <w:rFonts w:ascii="Times New Roman" w:hAnsi="Times New Roman" w:cs="Times New Roman"/>
          <w:color w:val="000000" w:themeColor="text1"/>
          <w:sz w:val="24"/>
          <w:szCs w:val="24"/>
          <w:u w:val="none"/>
        </w:rPr>
        <w:t>Pathol</w:t>
      </w:r>
      <w:proofErr w:type="spellEnd"/>
      <w:r w:rsidR="001A65B3" w:rsidRPr="00D8223E">
        <w:rPr>
          <w:rStyle w:val="Hyperlink"/>
          <w:rFonts w:ascii="Times New Roman" w:hAnsi="Times New Roman" w:cs="Times New Roman"/>
          <w:color w:val="000000" w:themeColor="text1"/>
          <w:sz w:val="24"/>
          <w:szCs w:val="24"/>
          <w:u w:val="none"/>
        </w:rPr>
        <w:t>.</w:t>
      </w:r>
      <w:r w:rsidRPr="00D8223E">
        <w:rPr>
          <w:rStyle w:val="Hyperlink"/>
          <w:rFonts w:ascii="Times New Roman" w:hAnsi="Times New Roman" w:cs="Times New Roman"/>
          <w:color w:val="000000" w:themeColor="text1"/>
          <w:sz w:val="24"/>
          <w:szCs w:val="24"/>
          <w:u w:val="none"/>
        </w:rPr>
        <w:fldChar w:fldCharType="end"/>
      </w:r>
      <w:r w:rsidR="001A65B3" w:rsidRPr="00D8223E">
        <w:rPr>
          <w:rFonts w:ascii="Times New Roman" w:hAnsi="Times New Roman" w:cs="Times New Roman"/>
          <w:color w:val="000000" w:themeColor="text1"/>
          <w:sz w:val="24"/>
          <w:szCs w:val="24"/>
        </w:rPr>
        <w:t xml:space="preserve"> 2017;30(5):773-783. </w:t>
      </w:r>
    </w:p>
    <w:p w:rsidR="001A65B3" w:rsidRPr="00D8223E" w:rsidRDefault="00D8223E" w:rsidP="001A65B3">
      <w:pPr>
        <w:pStyle w:val="ListParagraph"/>
        <w:numPr>
          <w:ilvl w:val="0"/>
          <w:numId w:val="1"/>
        </w:numPr>
        <w:shd w:val="clear" w:color="auto" w:fill="FFFFFF"/>
        <w:spacing w:line="480" w:lineRule="auto"/>
        <w:jc w:val="both"/>
        <w:rPr>
          <w:rFonts w:ascii="Times New Roman" w:hAnsi="Times New Roman" w:cs="Times New Roman"/>
          <w:color w:val="000000" w:themeColor="text1"/>
          <w:sz w:val="24"/>
          <w:szCs w:val="24"/>
        </w:rPr>
      </w:pPr>
      <w:hyperlink r:id="rId11" w:history="1">
        <w:proofErr w:type="spellStart"/>
        <w:r w:rsidR="001A65B3" w:rsidRPr="00D8223E">
          <w:rPr>
            <w:rStyle w:val="Hyperlink"/>
            <w:rFonts w:ascii="Times New Roman" w:hAnsi="Times New Roman" w:cs="Times New Roman"/>
            <w:color w:val="000000" w:themeColor="text1"/>
            <w:sz w:val="24"/>
            <w:szCs w:val="24"/>
            <w:u w:val="none"/>
          </w:rPr>
          <w:t>Tiniakos</w:t>
        </w:r>
        <w:proofErr w:type="spellEnd"/>
        <w:r w:rsidR="001A65B3" w:rsidRPr="00D8223E">
          <w:rPr>
            <w:rStyle w:val="Hyperlink"/>
            <w:rFonts w:ascii="Times New Roman" w:hAnsi="Times New Roman" w:cs="Times New Roman"/>
            <w:color w:val="000000" w:themeColor="text1"/>
            <w:sz w:val="24"/>
            <w:szCs w:val="24"/>
            <w:u w:val="none"/>
          </w:rPr>
          <w:t xml:space="preserve"> DG</w:t>
        </w:r>
      </w:hyperlink>
      <w:r w:rsidR="001A65B3" w:rsidRPr="00D8223E">
        <w:rPr>
          <w:rFonts w:ascii="Times New Roman" w:hAnsi="Times New Roman" w:cs="Times New Roman"/>
          <w:color w:val="000000" w:themeColor="text1"/>
          <w:sz w:val="24"/>
          <w:szCs w:val="24"/>
        </w:rPr>
        <w:t>, </w:t>
      </w:r>
      <w:hyperlink r:id="rId12" w:history="1">
        <w:r w:rsidR="001A65B3" w:rsidRPr="00D8223E">
          <w:rPr>
            <w:rStyle w:val="Hyperlink"/>
            <w:rFonts w:ascii="Times New Roman" w:hAnsi="Times New Roman" w:cs="Times New Roman"/>
            <w:color w:val="000000" w:themeColor="text1"/>
            <w:sz w:val="24"/>
            <w:szCs w:val="24"/>
            <w:u w:val="none"/>
          </w:rPr>
          <w:t>Brain JG</w:t>
        </w:r>
      </w:hyperlink>
      <w:r w:rsidR="001A65B3" w:rsidRPr="00D8223E">
        <w:rPr>
          <w:rFonts w:ascii="Times New Roman" w:hAnsi="Times New Roman" w:cs="Times New Roman"/>
          <w:color w:val="000000" w:themeColor="text1"/>
          <w:sz w:val="24"/>
          <w:szCs w:val="24"/>
        </w:rPr>
        <w:t>, </w:t>
      </w:r>
      <w:hyperlink r:id="rId13" w:history="1">
        <w:r w:rsidR="001A65B3" w:rsidRPr="00D8223E">
          <w:rPr>
            <w:rStyle w:val="Hyperlink"/>
            <w:rFonts w:ascii="Times New Roman" w:hAnsi="Times New Roman" w:cs="Times New Roman"/>
            <w:color w:val="000000" w:themeColor="text1"/>
            <w:sz w:val="24"/>
            <w:szCs w:val="24"/>
            <w:u w:val="none"/>
          </w:rPr>
          <w:t>Bury YA</w:t>
        </w:r>
      </w:hyperlink>
      <w:r w:rsidR="001A65B3" w:rsidRPr="00D8223E">
        <w:rPr>
          <w:rFonts w:ascii="Times New Roman" w:hAnsi="Times New Roman" w:cs="Times New Roman"/>
          <w:color w:val="000000" w:themeColor="text1"/>
          <w:sz w:val="24"/>
          <w:szCs w:val="24"/>
        </w:rPr>
        <w:t xml:space="preserve">. Role of Histopathology in Autoimmune Hepatitis. </w:t>
      </w:r>
      <w:r w:rsidRPr="00D8223E">
        <w:rPr>
          <w:color w:val="000000" w:themeColor="text1"/>
        </w:rPr>
        <w:fldChar w:fldCharType="begin"/>
      </w:r>
      <w:r w:rsidRPr="00D8223E">
        <w:rPr>
          <w:color w:val="000000" w:themeColor="text1"/>
        </w:rPr>
        <w:instrText xml:space="preserve"> HYPERLINK "https://www.ncbi.nlm.nih.gov/pubmed/?term=Role+of+Histopathology+in+Autoimmune+Hepatitis+AND+Dig+Dis+2015%3B33(suppl+2)%3A53-64" \o "Digestive diseases (Basel, Switzerland)." </w:instrText>
      </w:r>
      <w:r w:rsidRPr="00D8223E">
        <w:rPr>
          <w:color w:val="000000" w:themeColor="text1"/>
        </w:rPr>
        <w:fldChar w:fldCharType="separate"/>
      </w:r>
      <w:r w:rsidR="001A65B3" w:rsidRPr="00D8223E">
        <w:rPr>
          <w:rStyle w:val="Hyperlink"/>
          <w:rFonts w:ascii="Times New Roman" w:hAnsi="Times New Roman" w:cs="Times New Roman"/>
          <w:color w:val="000000" w:themeColor="text1"/>
          <w:sz w:val="24"/>
          <w:szCs w:val="24"/>
          <w:u w:val="none"/>
        </w:rPr>
        <w:t>Dig Dis.</w:t>
      </w:r>
      <w:r w:rsidRPr="00D8223E">
        <w:rPr>
          <w:rStyle w:val="Hyperlink"/>
          <w:rFonts w:ascii="Times New Roman" w:hAnsi="Times New Roman" w:cs="Times New Roman"/>
          <w:color w:val="000000" w:themeColor="text1"/>
          <w:sz w:val="24"/>
          <w:szCs w:val="24"/>
          <w:u w:val="none"/>
        </w:rPr>
        <w:fldChar w:fldCharType="end"/>
      </w:r>
      <w:r w:rsidR="001A65B3" w:rsidRPr="00D8223E">
        <w:rPr>
          <w:rFonts w:ascii="Times New Roman" w:hAnsi="Times New Roman" w:cs="Times New Roman"/>
          <w:color w:val="000000" w:themeColor="text1"/>
          <w:sz w:val="24"/>
          <w:szCs w:val="24"/>
        </w:rPr>
        <w:t xml:space="preserve"> 2015;33 </w:t>
      </w:r>
      <w:proofErr w:type="spellStart"/>
      <w:r w:rsidR="001A65B3" w:rsidRPr="00D8223E">
        <w:rPr>
          <w:rFonts w:ascii="Times New Roman" w:hAnsi="Times New Roman" w:cs="Times New Roman"/>
          <w:color w:val="000000" w:themeColor="text1"/>
          <w:sz w:val="24"/>
          <w:szCs w:val="24"/>
        </w:rPr>
        <w:t>Suppl</w:t>
      </w:r>
      <w:proofErr w:type="spellEnd"/>
      <w:r w:rsidR="001A65B3" w:rsidRPr="00D8223E">
        <w:rPr>
          <w:rFonts w:ascii="Times New Roman" w:hAnsi="Times New Roman" w:cs="Times New Roman"/>
          <w:color w:val="000000" w:themeColor="text1"/>
          <w:sz w:val="24"/>
          <w:szCs w:val="24"/>
        </w:rPr>
        <w:t xml:space="preserve"> 2:53-64. </w:t>
      </w:r>
    </w:p>
    <w:p w:rsidR="00F31197" w:rsidRPr="00D8223E" w:rsidRDefault="00D8223E"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Style w:val="Hyperlink1"/>
          <w:rFonts w:ascii="Times New Roman" w:eastAsia="Times New Roman" w:hAnsi="Times New Roman" w:cs="Times New Roman"/>
          <w:color w:val="000000" w:themeColor="text1"/>
          <w:sz w:val="24"/>
          <w:szCs w:val="24"/>
        </w:rPr>
      </w:pPr>
      <w:hyperlink r:id="rId14" w:history="1">
        <w:r w:rsidR="00F31197" w:rsidRPr="00D8223E">
          <w:rPr>
            <w:rStyle w:val="Hyperlink"/>
            <w:rFonts w:ascii="Times New Roman" w:hAnsi="Times New Roman" w:cs="Times New Roman"/>
            <w:color w:val="000000" w:themeColor="text1"/>
            <w:sz w:val="24"/>
            <w:szCs w:val="24"/>
            <w:u w:val="none"/>
            <w:shd w:val="clear" w:color="auto" w:fill="FFFFFF"/>
          </w:rPr>
          <w:t>Squires RH Jr</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hyperlink r:id="rId15" w:history="1">
        <w:proofErr w:type="spellStart"/>
        <w:r w:rsidR="00F31197" w:rsidRPr="00D8223E">
          <w:rPr>
            <w:rStyle w:val="Hyperlink"/>
            <w:rFonts w:ascii="Times New Roman" w:hAnsi="Times New Roman" w:cs="Times New Roman"/>
            <w:color w:val="000000" w:themeColor="text1"/>
            <w:sz w:val="24"/>
            <w:szCs w:val="24"/>
            <w:u w:val="none"/>
            <w:shd w:val="clear" w:color="auto" w:fill="FFFFFF"/>
          </w:rPr>
          <w:t>Shneider</w:t>
        </w:r>
        <w:proofErr w:type="spellEnd"/>
        <w:r w:rsidR="00F31197" w:rsidRPr="00D8223E">
          <w:rPr>
            <w:rStyle w:val="Hyperlink"/>
            <w:rFonts w:ascii="Times New Roman" w:hAnsi="Times New Roman" w:cs="Times New Roman"/>
            <w:color w:val="000000" w:themeColor="text1"/>
            <w:sz w:val="24"/>
            <w:szCs w:val="24"/>
            <w:u w:val="none"/>
            <w:shd w:val="clear" w:color="auto" w:fill="FFFFFF"/>
          </w:rPr>
          <w:t xml:space="preserve"> BL</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hyperlink r:id="rId16" w:history="1">
        <w:proofErr w:type="spellStart"/>
        <w:r w:rsidR="00F31197" w:rsidRPr="00D8223E">
          <w:rPr>
            <w:rStyle w:val="Hyperlink"/>
            <w:rFonts w:ascii="Times New Roman" w:hAnsi="Times New Roman" w:cs="Times New Roman"/>
            <w:color w:val="000000" w:themeColor="text1"/>
            <w:sz w:val="24"/>
            <w:szCs w:val="24"/>
            <w:u w:val="none"/>
            <w:shd w:val="clear" w:color="auto" w:fill="FFFFFF"/>
          </w:rPr>
          <w:t>Bucuvalas</w:t>
        </w:r>
        <w:proofErr w:type="spellEnd"/>
        <w:r w:rsidR="00F31197" w:rsidRPr="00D8223E">
          <w:rPr>
            <w:rStyle w:val="Hyperlink"/>
            <w:rFonts w:ascii="Times New Roman" w:hAnsi="Times New Roman" w:cs="Times New Roman"/>
            <w:color w:val="000000" w:themeColor="text1"/>
            <w:sz w:val="24"/>
            <w:szCs w:val="24"/>
            <w:u w:val="none"/>
            <w:shd w:val="clear" w:color="auto" w:fill="FFFFFF"/>
          </w:rPr>
          <w:t xml:space="preserve"> J</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r w:rsidR="00F31197" w:rsidRPr="00D8223E">
        <w:rPr>
          <w:rStyle w:val="Hyperlink1"/>
          <w:rFonts w:ascii="Times New Roman" w:hAnsi="Times New Roman" w:cs="Times New Roman"/>
          <w:color w:val="000000" w:themeColor="text1"/>
          <w:sz w:val="24"/>
          <w:szCs w:val="24"/>
        </w:rPr>
        <w:t xml:space="preserve">et al. Acute liver failure in children: the first 348 patients in the pediatric acute liver failure study group. </w:t>
      </w:r>
      <w:hyperlink r:id="rId17" w:history="1">
        <w:r w:rsidR="00F31197" w:rsidRPr="00D8223E">
          <w:rPr>
            <w:rStyle w:val="Hyperlink1"/>
            <w:rFonts w:ascii="Times New Roman" w:hAnsi="Times New Roman" w:cs="Times New Roman"/>
            <w:color w:val="000000" w:themeColor="text1"/>
            <w:sz w:val="24"/>
            <w:szCs w:val="24"/>
          </w:rPr>
          <w:t>J Pediatr.</w:t>
        </w:r>
      </w:hyperlink>
      <w:r w:rsidR="00F31197" w:rsidRPr="00D8223E">
        <w:rPr>
          <w:rStyle w:val="Hyperlink1"/>
          <w:rFonts w:ascii="Times New Roman" w:hAnsi="Times New Roman" w:cs="Times New Roman"/>
          <w:color w:val="000000" w:themeColor="text1"/>
          <w:sz w:val="24"/>
          <w:szCs w:val="24"/>
        </w:rPr>
        <w:t> 2006;148:652-658.</w:t>
      </w:r>
    </w:p>
    <w:p w:rsidR="00F31197" w:rsidRPr="00D8223E" w:rsidRDefault="00F31197" w:rsidP="00F31197">
      <w:pPr>
        <w:pStyle w:val="ListParagraph"/>
        <w:numPr>
          <w:ilvl w:val="0"/>
          <w:numId w:val="1"/>
        </w:numPr>
        <w:autoSpaceDE w:val="0"/>
        <w:autoSpaceDN w:val="0"/>
        <w:adjustRightInd w:val="0"/>
        <w:spacing w:before="240" w:line="480" w:lineRule="auto"/>
        <w:jc w:val="both"/>
        <w:rPr>
          <w:rFonts w:ascii="Times New Roman" w:hAnsi="Times New Roman" w:cs="Times New Roman"/>
          <w:color w:val="000000" w:themeColor="text1"/>
          <w:sz w:val="24"/>
          <w:szCs w:val="24"/>
        </w:rPr>
      </w:pPr>
      <w:proofErr w:type="spellStart"/>
      <w:r w:rsidRPr="00D8223E">
        <w:rPr>
          <w:rFonts w:ascii="Times New Roman" w:eastAsiaTheme="minorHAnsi" w:hAnsi="Times New Roman" w:cs="Times New Roman"/>
          <w:color w:val="000000" w:themeColor="text1"/>
          <w:sz w:val="24"/>
          <w:szCs w:val="24"/>
          <w:lang w:eastAsia="en-US"/>
        </w:rPr>
        <w:t>Ishak</w:t>
      </w:r>
      <w:proofErr w:type="spellEnd"/>
      <w:r w:rsidRPr="00D8223E">
        <w:rPr>
          <w:rFonts w:ascii="Times New Roman" w:eastAsiaTheme="minorHAnsi" w:hAnsi="Times New Roman" w:cs="Times New Roman"/>
          <w:color w:val="000000" w:themeColor="text1"/>
          <w:sz w:val="24"/>
          <w:szCs w:val="24"/>
          <w:lang w:eastAsia="en-US"/>
        </w:rPr>
        <w:t xml:space="preserve"> K, </w:t>
      </w:r>
      <w:proofErr w:type="spellStart"/>
      <w:r w:rsidRPr="00D8223E">
        <w:rPr>
          <w:rFonts w:ascii="Times New Roman" w:eastAsiaTheme="minorHAnsi" w:hAnsi="Times New Roman" w:cs="Times New Roman"/>
          <w:color w:val="000000" w:themeColor="text1"/>
          <w:sz w:val="24"/>
          <w:szCs w:val="24"/>
          <w:lang w:eastAsia="en-US"/>
        </w:rPr>
        <w:t>Baptista</w:t>
      </w:r>
      <w:proofErr w:type="spellEnd"/>
      <w:r w:rsidRPr="00D8223E">
        <w:rPr>
          <w:rFonts w:ascii="Times New Roman" w:eastAsiaTheme="minorHAnsi" w:hAnsi="Times New Roman" w:cs="Times New Roman"/>
          <w:color w:val="000000" w:themeColor="text1"/>
          <w:sz w:val="24"/>
          <w:szCs w:val="24"/>
          <w:lang w:eastAsia="en-US"/>
        </w:rPr>
        <w:t xml:space="preserve"> A, Bianchi L, et al. Histological grading and staging of chronic </w:t>
      </w:r>
      <w:proofErr w:type="spellStart"/>
      <w:r w:rsidRPr="00D8223E">
        <w:rPr>
          <w:rFonts w:ascii="Times New Roman" w:eastAsiaTheme="minorHAnsi" w:hAnsi="Times New Roman" w:cs="Times New Roman"/>
          <w:color w:val="000000" w:themeColor="text1"/>
          <w:sz w:val="24"/>
          <w:szCs w:val="24"/>
          <w:lang w:eastAsia="en-US"/>
        </w:rPr>
        <w:t>hepatitis.J</w:t>
      </w:r>
      <w:proofErr w:type="spellEnd"/>
      <w:r w:rsidRPr="00D8223E">
        <w:rPr>
          <w:rFonts w:ascii="Times New Roman" w:eastAsiaTheme="minorHAnsi" w:hAnsi="Times New Roman" w:cs="Times New Roman"/>
          <w:color w:val="000000" w:themeColor="text1"/>
          <w:sz w:val="24"/>
          <w:szCs w:val="24"/>
          <w:lang w:eastAsia="en-US"/>
        </w:rPr>
        <w:t xml:space="preserve"> </w:t>
      </w:r>
      <w:proofErr w:type="spellStart"/>
      <w:r w:rsidRPr="00D8223E">
        <w:rPr>
          <w:rFonts w:ascii="Times New Roman" w:eastAsiaTheme="minorHAnsi" w:hAnsi="Times New Roman" w:cs="Times New Roman"/>
          <w:color w:val="000000" w:themeColor="text1"/>
          <w:sz w:val="24"/>
          <w:szCs w:val="24"/>
          <w:lang w:eastAsia="en-US"/>
        </w:rPr>
        <w:t>Hepatol</w:t>
      </w:r>
      <w:proofErr w:type="spellEnd"/>
      <w:r w:rsidRPr="00D8223E">
        <w:rPr>
          <w:rFonts w:ascii="Times New Roman" w:eastAsiaTheme="minorHAnsi" w:hAnsi="Times New Roman" w:cs="Times New Roman"/>
          <w:color w:val="000000" w:themeColor="text1"/>
          <w:sz w:val="24"/>
          <w:szCs w:val="24"/>
          <w:lang w:eastAsia="en-US"/>
        </w:rPr>
        <w:t xml:space="preserve"> 1995;22:696-699.</w:t>
      </w:r>
    </w:p>
    <w:p w:rsidR="00F31197" w:rsidRPr="00D8223E" w:rsidRDefault="00D8223E"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Style w:val="Hyperlink1"/>
          <w:rFonts w:ascii="Times New Roman" w:eastAsia="Times New Roman" w:hAnsi="Times New Roman" w:cs="Times New Roman"/>
          <w:color w:val="000000" w:themeColor="text1"/>
          <w:sz w:val="24"/>
          <w:szCs w:val="24"/>
        </w:rPr>
      </w:pPr>
      <w:hyperlink r:id="rId18" w:history="1">
        <w:r w:rsidR="00F31197" w:rsidRPr="00D8223E">
          <w:rPr>
            <w:rStyle w:val="Hyperlink"/>
            <w:rFonts w:ascii="Times New Roman" w:hAnsi="Times New Roman" w:cs="Times New Roman"/>
            <w:color w:val="000000" w:themeColor="text1"/>
            <w:sz w:val="24"/>
            <w:szCs w:val="24"/>
            <w:u w:val="none"/>
            <w:shd w:val="clear" w:color="auto" w:fill="FFFFFF"/>
          </w:rPr>
          <w:t>Sarin SK</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hyperlink r:id="rId19" w:history="1">
        <w:proofErr w:type="spellStart"/>
        <w:r w:rsidR="00F31197" w:rsidRPr="00D8223E">
          <w:rPr>
            <w:rStyle w:val="Hyperlink"/>
            <w:rFonts w:ascii="Times New Roman" w:hAnsi="Times New Roman" w:cs="Times New Roman"/>
            <w:color w:val="000000" w:themeColor="text1"/>
            <w:sz w:val="24"/>
            <w:szCs w:val="24"/>
            <w:u w:val="none"/>
            <w:shd w:val="clear" w:color="auto" w:fill="FFFFFF"/>
          </w:rPr>
          <w:t>Kedarisetty</w:t>
        </w:r>
        <w:proofErr w:type="spellEnd"/>
        <w:r w:rsidR="00F31197" w:rsidRPr="00D8223E">
          <w:rPr>
            <w:rStyle w:val="Hyperlink"/>
            <w:rFonts w:ascii="Times New Roman" w:hAnsi="Times New Roman" w:cs="Times New Roman"/>
            <w:color w:val="000000" w:themeColor="text1"/>
            <w:sz w:val="24"/>
            <w:szCs w:val="24"/>
            <w:u w:val="none"/>
            <w:shd w:val="clear" w:color="auto" w:fill="FFFFFF"/>
          </w:rPr>
          <w:t xml:space="preserve"> CK</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hyperlink r:id="rId20" w:history="1">
        <w:r w:rsidR="00F31197" w:rsidRPr="00D8223E">
          <w:rPr>
            <w:rStyle w:val="Hyperlink"/>
            <w:rFonts w:ascii="Times New Roman" w:hAnsi="Times New Roman" w:cs="Times New Roman"/>
            <w:color w:val="000000" w:themeColor="text1"/>
            <w:sz w:val="24"/>
            <w:szCs w:val="24"/>
            <w:u w:val="none"/>
            <w:shd w:val="clear" w:color="auto" w:fill="FFFFFF"/>
          </w:rPr>
          <w:t>Abbas Z</w:t>
        </w:r>
      </w:hyperlink>
      <w:r w:rsidR="00F31197" w:rsidRPr="00D8223E">
        <w:rPr>
          <w:rFonts w:ascii="Times New Roman" w:hAnsi="Times New Roman" w:cs="Times New Roman"/>
          <w:color w:val="000000" w:themeColor="text1"/>
          <w:sz w:val="24"/>
          <w:szCs w:val="24"/>
          <w:shd w:val="clear" w:color="auto" w:fill="FFFFFF"/>
        </w:rPr>
        <w:t>,</w:t>
      </w:r>
      <w:r w:rsidR="00F31197" w:rsidRPr="00D8223E">
        <w:rPr>
          <w:rStyle w:val="apple-converted-space"/>
          <w:rFonts w:ascii="Times New Roman" w:hAnsi="Times New Roman" w:cs="Times New Roman"/>
          <w:color w:val="000000" w:themeColor="text1"/>
          <w:sz w:val="24"/>
          <w:szCs w:val="24"/>
          <w:shd w:val="clear" w:color="auto" w:fill="FFFFFF"/>
        </w:rPr>
        <w:t> </w:t>
      </w:r>
      <w:r w:rsidR="00F31197" w:rsidRPr="00D8223E">
        <w:rPr>
          <w:rStyle w:val="Hyperlink1"/>
          <w:rFonts w:ascii="Times New Roman" w:hAnsi="Times New Roman" w:cs="Times New Roman"/>
          <w:color w:val="000000" w:themeColor="text1"/>
          <w:sz w:val="24"/>
          <w:szCs w:val="24"/>
        </w:rPr>
        <w:t>et al; </w:t>
      </w:r>
      <w:hyperlink r:id="rId21" w:history="1">
        <w:r w:rsidR="00F31197" w:rsidRPr="00D8223E">
          <w:rPr>
            <w:rStyle w:val="Hyperlink1"/>
            <w:rFonts w:ascii="Times New Roman" w:hAnsi="Times New Roman" w:cs="Times New Roman"/>
            <w:color w:val="000000" w:themeColor="text1"/>
            <w:sz w:val="24"/>
            <w:szCs w:val="24"/>
          </w:rPr>
          <w:t>APASL ACLF </w:t>
        </w:r>
        <w:proofErr w:type="spellStart"/>
        <w:r w:rsidR="00F31197" w:rsidRPr="00D8223E">
          <w:rPr>
            <w:rStyle w:val="Hyperlink1"/>
            <w:rFonts w:ascii="Times New Roman" w:hAnsi="Times New Roman" w:cs="Times New Roman"/>
            <w:color w:val="000000" w:themeColor="text1"/>
            <w:sz w:val="24"/>
            <w:szCs w:val="24"/>
          </w:rPr>
          <w:t>Working</w:t>
        </w:r>
        <w:proofErr w:type="spellEnd"/>
        <w:r w:rsidR="00F31197" w:rsidRPr="00D8223E">
          <w:rPr>
            <w:rStyle w:val="Hyperlink1"/>
            <w:rFonts w:ascii="Times New Roman" w:hAnsi="Times New Roman" w:cs="Times New Roman"/>
            <w:color w:val="000000" w:themeColor="text1"/>
            <w:sz w:val="24"/>
            <w:szCs w:val="24"/>
          </w:rPr>
          <w:t xml:space="preserve"> Party</w:t>
        </w:r>
      </w:hyperlink>
      <w:r w:rsidR="00F31197" w:rsidRPr="00D8223E">
        <w:rPr>
          <w:rStyle w:val="Hyperlink1"/>
          <w:rFonts w:ascii="Times New Roman" w:hAnsi="Times New Roman" w:cs="Times New Roman"/>
          <w:color w:val="000000" w:themeColor="text1"/>
          <w:sz w:val="24"/>
          <w:szCs w:val="24"/>
        </w:rPr>
        <w:t xml:space="preserve">. Acute-on-chronic liver failure: consensus recommendations of the Asian Pacific Association for the Study of the Liver (APASL) 2014. </w:t>
      </w:r>
      <w:hyperlink r:id="rId22" w:history="1">
        <w:r w:rsidR="00F31197" w:rsidRPr="00D8223E">
          <w:rPr>
            <w:rStyle w:val="Hyperlink1"/>
            <w:rFonts w:ascii="Times New Roman" w:hAnsi="Times New Roman" w:cs="Times New Roman"/>
            <w:color w:val="000000" w:themeColor="text1"/>
            <w:sz w:val="24"/>
            <w:szCs w:val="24"/>
          </w:rPr>
          <w:t>Hepatol Int.</w:t>
        </w:r>
      </w:hyperlink>
      <w:r w:rsidR="00F31197" w:rsidRPr="00D8223E">
        <w:rPr>
          <w:rStyle w:val="Hyperlink1"/>
          <w:rFonts w:ascii="Times New Roman" w:hAnsi="Times New Roman" w:cs="Times New Roman"/>
          <w:color w:val="000000" w:themeColor="text1"/>
          <w:sz w:val="24"/>
          <w:szCs w:val="24"/>
        </w:rPr>
        <w:t> </w:t>
      </w:r>
      <w:proofErr w:type="gramStart"/>
      <w:r w:rsidR="00F31197" w:rsidRPr="00D8223E">
        <w:rPr>
          <w:rStyle w:val="Hyperlink1"/>
          <w:rFonts w:ascii="Times New Roman" w:hAnsi="Times New Roman" w:cs="Times New Roman"/>
          <w:color w:val="000000" w:themeColor="text1"/>
          <w:sz w:val="24"/>
          <w:szCs w:val="24"/>
        </w:rPr>
        <w:t>2014;8:453</w:t>
      </w:r>
      <w:proofErr w:type="gramEnd"/>
      <w:r w:rsidR="00F31197" w:rsidRPr="00D8223E">
        <w:rPr>
          <w:rStyle w:val="Hyperlink1"/>
          <w:rFonts w:ascii="Times New Roman" w:hAnsi="Times New Roman" w:cs="Times New Roman"/>
          <w:color w:val="000000" w:themeColor="text1"/>
          <w:sz w:val="24"/>
          <w:szCs w:val="24"/>
        </w:rPr>
        <w:t xml:space="preserve">-71. </w:t>
      </w:r>
    </w:p>
    <w:p w:rsidR="00F31197" w:rsidRPr="00D8223E" w:rsidRDefault="00D8223E"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Style w:val="Hyperlink1"/>
          <w:rFonts w:ascii="Times New Roman" w:eastAsia="Times New Roman" w:hAnsi="Times New Roman" w:cs="Times New Roman"/>
          <w:color w:val="000000" w:themeColor="text1"/>
          <w:sz w:val="24"/>
          <w:szCs w:val="24"/>
        </w:rPr>
      </w:pPr>
      <w:hyperlink r:id="rId23" w:history="1">
        <w:r w:rsidR="00F31197" w:rsidRPr="00D8223E">
          <w:rPr>
            <w:rStyle w:val="Hyperlink1"/>
            <w:rFonts w:ascii="Times New Roman" w:hAnsi="Times New Roman" w:cs="Times New Roman"/>
            <w:color w:val="000000" w:themeColor="text1"/>
            <w:sz w:val="24"/>
            <w:szCs w:val="24"/>
            <w:lang w:val="en-US"/>
          </w:rPr>
          <w:t>Garcia-</w:t>
        </w:r>
        <w:proofErr w:type="spellStart"/>
        <w:r w:rsidR="00F31197" w:rsidRPr="00D8223E">
          <w:rPr>
            <w:rStyle w:val="Hyperlink1"/>
            <w:rFonts w:ascii="Times New Roman" w:hAnsi="Times New Roman" w:cs="Times New Roman"/>
            <w:color w:val="000000" w:themeColor="text1"/>
            <w:sz w:val="24"/>
            <w:szCs w:val="24"/>
            <w:lang w:val="en-US"/>
          </w:rPr>
          <w:t>Tsao</w:t>
        </w:r>
        <w:proofErr w:type="spellEnd"/>
        <w:r w:rsidR="00F31197" w:rsidRPr="00D8223E">
          <w:rPr>
            <w:rStyle w:val="Hyperlink1"/>
            <w:rFonts w:ascii="Times New Roman" w:hAnsi="Times New Roman" w:cs="Times New Roman"/>
            <w:color w:val="000000" w:themeColor="text1"/>
            <w:sz w:val="24"/>
            <w:szCs w:val="24"/>
            <w:lang w:val="en-US"/>
          </w:rPr>
          <w:t> G</w:t>
        </w:r>
      </w:hyperlink>
      <w:r w:rsidR="00F31197" w:rsidRPr="00D8223E">
        <w:rPr>
          <w:rStyle w:val="Hyperlink1"/>
          <w:rFonts w:ascii="Times New Roman" w:hAnsi="Times New Roman" w:cs="Times New Roman"/>
          <w:color w:val="000000" w:themeColor="text1"/>
          <w:sz w:val="24"/>
          <w:szCs w:val="24"/>
          <w:lang w:val="en-US"/>
        </w:rPr>
        <w:t>, </w:t>
      </w:r>
      <w:proofErr w:type="spellStart"/>
      <w:r w:rsidR="00CF4D78" w:rsidRPr="00D8223E">
        <w:rPr>
          <w:color w:val="000000" w:themeColor="text1"/>
        </w:rPr>
        <w:fldChar w:fldCharType="begin"/>
      </w:r>
      <w:r w:rsidR="00C820FC" w:rsidRPr="00D8223E">
        <w:rPr>
          <w:color w:val="000000" w:themeColor="text1"/>
        </w:rPr>
        <w:instrText>HYPERLINK "http://www.ncbi.nlm.nih.gov/pubmed/?term=Sanyal%2520AJ%255BAuthor%255D&amp;cauthor=true&amp;cauthor_uid=17879356"</w:instrText>
      </w:r>
      <w:r w:rsidR="00CF4D78" w:rsidRPr="00D8223E">
        <w:rPr>
          <w:color w:val="000000" w:themeColor="text1"/>
        </w:rPr>
        <w:fldChar w:fldCharType="separate"/>
      </w:r>
      <w:r w:rsidR="00F31197" w:rsidRPr="00D8223E">
        <w:rPr>
          <w:rStyle w:val="Hyperlink1"/>
          <w:rFonts w:ascii="Times New Roman" w:hAnsi="Times New Roman" w:cs="Times New Roman"/>
          <w:color w:val="000000" w:themeColor="text1"/>
          <w:sz w:val="24"/>
          <w:szCs w:val="24"/>
          <w:lang w:val="en-US"/>
        </w:rPr>
        <w:t>Sanyal</w:t>
      </w:r>
      <w:proofErr w:type="spellEnd"/>
      <w:r w:rsidR="00F31197" w:rsidRPr="00D8223E">
        <w:rPr>
          <w:rStyle w:val="Hyperlink1"/>
          <w:rFonts w:ascii="Times New Roman" w:hAnsi="Times New Roman" w:cs="Times New Roman"/>
          <w:color w:val="000000" w:themeColor="text1"/>
          <w:sz w:val="24"/>
          <w:szCs w:val="24"/>
          <w:lang w:val="en-US"/>
        </w:rPr>
        <w:t xml:space="preserve"> AJ</w:t>
      </w:r>
      <w:r w:rsidR="00CF4D78" w:rsidRPr="00D8223E">
        <w:rPr>
          <w:color w:val="000000" w:themeColor="text1"/>
        </w:rPr>
        <w:fldChar w:fldCharType="end"/>
      </w:r>
      <w:r w:rsidR="00F31197" w:rsidRPr="00D8223E">
        <w:rPr>
          <w:rStyle w:val="Hyperlink1"/>
          <w:rFonts w:ascii="Times New Roman" w:hAnsi="Times New Roman" w:cs="Times New Roman"/>
          <w:color w:val="000000" w:themeColor="text1"/>
          <w:sz w:val="24"/>
          <w:szCs w:val="24"/>
          <w:lang w:val="en-US"/>
        </w:rPr>
        <w:t>, </w:t>
      </w:r>
      <w:hyperlink r:id="rId24" w:history="1">
        <w:r w:rsidR="00F31197" w:rsidRPr="00D8223E">
          <w:rPr>
            <w:rStyle w:val="Hyperlink1"/>
            <w:rFonts w:ascii="Times New Roman" w:hAnsi="Times New Roman" w:cs="Times New Roman"/>
            <w:color w:val="000000" w:themeColor="text1"/>
            <w:sz w:val="24"/>
            <w:szCs w:val="24"/>
            <w:lang w:val="en-US"/>
          </w:rPr>
          <w:t>Grace ND</w:t>
        </w:r>
      </w:hyperlink>
      <w:r w:rsidR="00F31197" w:rsidRPr="00D8223E">
        <w:rPr>
          <w:rStyle w:val="Hyperlink1"/>
          <w:rFonts w:ascii="Times New Roman" w:hAnsi="Times New Roman" w:cs="Times New Roman"/>
          <w:color w:val="000000" w:themeColor="text1"/>
          <w:sz w:val="24"/>
          <w:szCs w:val="24"/>
          <w:lang w:val="en-US"/>
        </w:rPr>
        <w:t>, et al; </w:t>
      </w:r>
      <w:hyperlink r:id="rId25" w:history="1">
        <w:r w:rsidR="00F31197" w:rsidRPr="00D8223E">
          <w:rPr>
            <w:rStyle w:val="Hyperlink1"/>
            <w:rFonts w:ascii="Times New Roman" w:hAnsi="Times New Roman" w:cs="Times New Roman"/>
            <w:color w:val="000000" w:themeColor="text1"/>
            <w:sz w:val="24"/>
            <w:szCs w:val="24"/>
            <w:lang w:val="en-US"/>
          </w:rPr>
          <w:t>Practice Guidelines Committee of the American Association for the Study of Liver Diseases</w:t>
        </w:r>
      </w:hyperlink>
      <w:r w:rsidR="00F31197" w:rsidRPr="00D8223E">
        <w:rPr>
          <w:rStyle w:val="Hyperlink1"/>
          <w:rFonts w:ascii="Times New Roman" w:hAnsi="Times New Roman" w:cs="Times New Roman"/>
          <w:color w:val="000000" w:themeColor="text1"/>
          <w:sz w:val="24"/>
          <w:szCs w:val="24"/>
          <w:lang w:val="en-US"/>
        </w:rPr>
        <w:t>; </w:t>
      </w:r>
      <w:hyperlink r:id="rId26" w:history="1">
        <w:r w:rsidR="00F31197" w:rsidRPr="00D8223E">
          <w:rPr>
            <w:rStyle w:val="Hyperlink1"/>
            <w:rFonts w:ascii="Times New Roman" w:hAnsi="Times New Roman" w:cs="Times New Roman"/>
            <w:color w:val="000000" w:themeColor="text1"/>
            <w:sz w:val="24"/>
            <w:szCs w:val="24"/>
            <w:lang w:val="en-US"/>
          </w:rPr>
          <w:t>Practice Parameters Committee of the American College of Gastroenterology</w:t>
        </w:r>
      </w:hyperlink>
      <w:r w:rsidR="00F31197" w:rsidRPr="00D8223E">
        <w:rPr>
          <w:rStyle w:val="Hyperlink1"/>
          <w:rFonts w:ascii="Times New Roman" w:hAnsi="Times New Roman" w:cs="Times New Roman"/>
          <w:color w:val="000000" w:themeColor="text1"/>
          <w:sz w:val="24"/>
          <w:szCs w:val="24"/>
          <w:lang w:val="en-US"/>
        </w:rPr>
        <w:t xml:space="preserve">. </w:t>
      </w:r>
      <w:r w:rsidR="00F31197" w:rsidRPr="00D8223E">
        <w:rPr>
          <w:rStyle w:val="ref-vol"/>
          <w:rFonts w:ascii="Times New Roman" w:hAnsi="Times New Roman" w:cs="Times New Roman"/>
          <w:color w:val="000000" w:themeColor="text1"/>
          <w:kern w:val="36"/>
          <w:sz w:val="24"/>
          <w:szCs w:val="24"/>
        </w:rPr>
        <w:t xml:space="preserve">Prevention and management of gastroesophageal varices and </w:t>
      </w:r>
      <w:proofErr w:type="spellStart"/>
      <w:r w:rsidR="00F31197" w:rsidRPr="00D8223E">
        <w:rPr>
          <w:rStyle w:val="ref-vol"/>
          <w:rFonts w:ascii="Times New Roman" w:hAnsi="Times New Roman" w:cs="Times New Roman"/>
          <w:color w:val="000000" w:themeColor="text1"/>
          <w:kern w:val="36"/>
          <w:sz w:val="24"/>
          <w:szCs w:val="24"/>
        </w:rPr>
        <w:t>variceal</w:t>
      </w:r>
      <w:proofErr w:type="spellEnd"/>
      <w:r w:rsidR="00F31197" w:rsidRPr="00D8223E">
        <w:rPr>
          <w:rStyle w:val="ref-vol"/>
          <w:rFonts w:ascii="Times New Roman" w:hAnsi="Times New Roman" w:cs="Times New Roman"/>
          <w:color w:val="000000" w:themeColor="text1"/>
          <w:kern w:val="36"/>
          <w:sz w:val="24"/>
          <w:szCs w:val="24"/>
        </w:rPr>
        <w:t xml:space="preserve"> </w:t>
      </w:r>
      <w:proofErr w:type="spellStart"/>
      <w:r w:rsidR="00F31197" w:rsidRPr="00D8223E">
        <w:rPr>
          <w:rStyle w:val="ref-vol"/>
          <w:rFonts w:ascii="Times New Roman" w:hAnsi="Times New Roman" w:cs="Times New Roman"/>
          <w:color w:val="000000" w:themeColor="text1"/>
          <w:kern w:val="36"/>
          <w:sz w:val="24"/>
          <w:szCs w:val="24"/>
        </w:rPr>
        <w:t>hemorrhage</w:t>
      </w:r>
      <w:proofErr w:type="spellEnd"/>
      <w:r w:rsidR="00F31197" w:rsidRPr="00D8223E">
        <w:rPr>
          <w:rStyle w:val="ref-vol"/>
          <w:rFonts w:ascii="Times New Roman" w:hAnsi="Times New Roman" w:cs="Times New Roman"/>
          <w:color w:val="000000" w:themeColor="text1"/>
          <w:kern w:val="36"/>
          <w:sz w:val="24"/>
          <w:szCs w:val="24"/>
        </w:rPr>
        <w:t xml:space="preserve"> in </w:t>
      </w:r>
      <w:proofErr w:type="spellStart"/>
      <w:r w:rsidR="00F31197" w:rsidRPr="00D8223E">
        <w:rPr>
          <w:rStyle w:val="ref-vol"/>
          <w:rFonts w:ascii="Times New Roman" w:hAnsi="Times New Roman" w:cs="Times New Roman"/>
          <w:color w:val="000000" w:themeColor="text1"/>
          <w:kern w:val="36"/>
          <w:sz w:val="24"/>
          <w:szCs w:val="24"/>
        </w:rPr>
        <w:t>cirrhosis</w:t>
      </w:r>
      <w:proofErr w:type="spellEnd"/>
      <w:r w:rsidR="00F31197" w:rsidRPr="00D8223E">
        <w:rPr>
          <w:rStyle w:val="ref-vol"/>
          <w:rFonts w:ascii="Times New Roman" w:hAnsi="Times New Roman" w:cs="Times New Roman"/>
          <w:color w:val="000000" w:themeColor="text1"/>
          <w:kern w:val="36"/>
          <w:sz w:val="24"/>
          <w:szCs w:val="24"/>
        </w:rPr>
        <w:t>.</w:t>
      </w:r>
      <w:hyperlink r:id="rId27" w:history="1">
        <w:r w:rsidR="00F31197" w:rsidRPr="00D8223E">
          <w:rPr>
            <w:rStyle w:val="Hyperlink1"/>
            <w:rFonts w:ascii="Times New Roman" w:hAnsi="Times New Roman" w:cs="Times New Roman"/>
            <w:color w:val="000000" w:themeColor="text1"/>
            <w:sz w:val="24"/>
            <w:szCs w:val="24"/>
            <w:lang w:val="en-US"/>
          </w:rPr>
          <w:t>Hepatology.</w:t>
        </w:r>
      </w:hyperlink>
      <w:r w:rsidR="00F31197" w:rsidRPr="00D8223E">
        <w:rPr>
          <w:rStyle w:val="Hyperlink1"/>
          <w:rFonts w:ascii="Times New Roman" w:hAnsi="Times New Roman" w:cs="Times New Roman"/>
          <w:color w:val="000000" w:themeColor="text1"/>
          <w:sz w:val="24"/>
          <w:szCs w:val="24"/>
          <w:lang w:val="en-US"/>
        </w:rPr>
        <w:t> 2007 ;46(3):922-38.</w:t>
      </w:r>
    </w:p>
    <w:p w:rsidR="00F31197" w:rsidRPr="00D8223E" w:rsidRDefault="00D8223E"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Style w:val="Hyperlink1"/>
          <w:rFonts w:ascii="Times New Roman" w:eastAsia="Times New Roman" w:hAnsi="Times New Roman" w:cs="Times New Roman"/>
          <w:color w:val="000000" w:themeColor="text1"/>
          <w:sz w:val="24"/>
          <w:szCs w:val="24"/>
        </w:rPr>
      </w:pPr>
      <w:hyperlink r:id="rId28" w:history="1">
        <w:r w:rsidR="00F31197" w:rsidRPr="00D8223E">
          <w:rPr>
            <w:rStyle w:val="Hyperlink1"/>
            <w:rFonts w:ascii="Times New Roman" w:hAnsi="Times New Roman" w:cs="Times New Roman"/>
            <w:color w:val="000000" w:themeColor="text1"/>
            <w:sz w:val="24"/>
            <w:szCs w:val="24"/>
            <w:lang w:val="en-US"/>
          </w:rPr>
          <w:t>Sarin SK</w:t>
        </w:r>
      </w:hyperlink>
      <w:r w:rsidR="00F31197" w:rsidRPr="00D8223E">
        <w:rPr>
          <w:rStyle w:val="Hyperlink1"/>
          <w:rFonts w:ascii="Times New Roman" w:hAnsi="Times New Roman" w:cs="Times New Roman"/>
          <w:color w:val="000000" w:themeColor="text1"/>
          <w:sz w:val="24"/>
          <w:szCs w:val="24"/>
          <w:lang w:val="en-US"/>
        </w:rPr>
        <w:t>, </w:t>
      </w:r>
      <w:proofErr w:type="spellStart"/>
      <w:r w:rsidR="00CF4D78" w:rsidRPr="00D8223E">
        <w:rPr>
          <w:rFonts w:ascii="Times New Roman" w:hAnsi="Times New Roman" w:cs="Times New Roman"/>
          <w:color w:val="000000" w:themeColor="text1"/>
          <w:sz w:val="24"/>
          <w:szCs w:val="24"/>
        </w:rPr>
        <w:fldChar w:fldCharType="begin"/>
      </w:r>
      <w:r w:rsidR="00F31197" w:rsidRPr="00D8223E">
        <w:rPr>
          <w:rFonts w:ascii="Times New Roman" w:hAnsi="Times New Roman" w:cs="Times New Roman"/>
          <w:color w:val="000000" w:themeColor="text1"/>
          <w:sz w:val="24"/>
          <w:szCs w:val="24"/>
        </w:rPr>
        <w:instrText>HYPERLINK "http://www.ncbi.nlm.nih.gov/pubmed/?term=Lahoti%2520D%255BAuthor%255D&amp;cauthor=true&amp;cauthor_uid=1446890"</w:instrText>
      </w:r>
      <w:r w:rsidR="00CF4D78" w:rsidRPr="00D8223E">
        <w:rPr>
          <w:rFonts w:ascii="Times New Roman" w:hAnsi="Times New Roman" w:cs="Times New Roman"/>
          <w:color w:val="000000" w:themeColor="text1"/>
          <w:sz w:val="24"/>
          <w:szCs w:val="24"/>
        </w:rPr>
        <w:fldChar w:fldCharType="separate"/>
      </w:r>
      <w:r w:rsidR="00F31197" w:rsidRPr="00D8223E">
        <w:rPr>
          <w:rStyle w:val="Hyperlink1"/>
          <w:rFonts w:ascii="Times New Roman" w:hAnsi="Times New Roman" w:cs="Times New Roman"/>
          <w:color w:val="000000" w:themeColor="text1"/>
          <w:sz w:val="24"/>
          <w:szCs w:val="24"/>
          <w:lang w:val="en-US"/>
        </w:rPr>
        <w:t>Lahoti</w:t>
      </w:r>
      <w:proofErr w:type="spellEnd"/>
      <w:r w:rsidR="00F31197" w:rsidRPr="00D8223E">
        <w:rPr>
          <w:rStyle w:val="Hyperlink1"/>
          <w:rFonts w:ascii="Times New Roman" w:hAnsi="Times New Roman" w:cs="Times New Roman"/>
          <w:color w:val="000000" w:themeColor="text1"/>
          <w:sz w:val="24"/>
          <w:szCs w:val="24"/>
          <w:lang w:val="en-US"/>
        </w:rPr>
        <w:t xml:space="preserve"> D</w:t>
      </w:r>
      <w:r w:rsidR="00CF4D78" w:rsidRPr="00D8223E">
        <w:rPr>
          <w:rFonts w:ascii="Times New Roman" w:hAnsi="Times New Roman" w:cs="Times New Roman"/>
          <w:color w:val="000000" w:themeColor="text1"/>
          <w:sz w:val="24"/>
          <w:szCs w:val="24"/>
        </w:rPr>
        <w:fldChar w:fldCharType="end"/>
      </w:r>
      <w:r w:rsidR="00F31197" w:rsidRPr="00D8223E">
        <w:rPr>
          <w:rStyle w:val="Hyperlink1"/>
          <w:rFonts w:ascii="Times New Roman" w:hAnsi="Times New Roman" w:cs="Times New Roman"/>
          <w:color w:val="000000" w:themeColor="text1"/>
          <w:sz w:val="24"/>
          <w:szCs w:val="24"/>
          <w:lang w:val="en-US"/>
        </w:rPr>
        <w:t>, </w:t>
      </w:r>
      <w:proofErr w:type="spellStart"/>
      <w:r w:rsidR="00CF4D78" w:rsidRPr="00D8223E">
        <w:rPr>
          <w:rFonts w:ascii="Times New Roman" w:hAnsi="Times New Roman" w:cs="Times New Roman"/>
          <w:color w:val="000000" w:themeColor="text1"/>
          <w:sz w:val="24"/>
          <w:szCs w:val="24"/>
        </w:rPr>
        <w:fldChar w:fldCharType="begin"/>
      </w:r>
      <w:r w:rsidR="00F31197" w:rsidRPr="00D8223E">
        <w:rPr>
          <w:rFonts w:ascii="Times New Roman" w:hAnsi="Times New Roman" w:cs="Times New Roman"/>
          <w:color w:val="000000" w:themeColor="text1"/>
          <w:sz w:val="24"/>
          <w:szCs w:val="24"/>
        </w:rPr>
        <w:instrText>HYPERLINK "http://www.ncbi.nlm.nih.gov/pubmed/?term=Saxena%2520SP%255BAuthor%255D&amp;cauthor=true&amp;cauthor_uid=1446890"</w:instrText>
      </w:r>
      <w:r w:rsidR="00CF4D78" w:rsidRPr="00D8223E">
        <w:rPr>
          <w:rFonts w:ascii="Times New Roman" w:hAnsi="Times New Roman" w:cs="Times New Roman"/>
          <w:color w:val="000000" w:themeColor="text1"/>
          <w:sz w:val="24"/>
          <w:szCs w:val="24"/>
        </w:rPr>
        <w:fldChar w:fldCharType="separate"/>
      </w:r>
      <w:r w:rsidR="00F31197" w:rsidRPr="00D8223E">
        <w:rPr>
          <w:rStyle w:val="Hyperlink1"/>
          <w:rFonts w:ascii="Times New Roman" w:hAnsi="Times New Roman" w:cs="Times New Roman"/>
          <w:color w:val="000000" w:themeColor="text1"/>
          <w:sz w:val="24"/>
          <w:szCs w:val="24"/>
          <w:lang w:val="en-US"/>
        </w:rPr>
        <w:t>Saxena</w:t>
      </w:r>
      <w:proofErr w:type="spellEnd"/>
      <w:r w:rsidR="00F31197" w:rsidRPr="00D8223E">
        <w:rPr>
          <w:rStyle w:val="Hyperlink1"/>
          <w:rFonts w:ascii="Times New Roman" w:hAnsi="Times New Roman" w:cs="Times New Roman"/>
          <w:color w:val="000000" w:themeColor="text1"/>
          <w:sz w:val="24"/>
          <w:szCs w:val="24"/>
          <w:lang w:val="en-US"/>
        </w:rPr>
        <w:t xml:space="preserve"> SP</w:t>
      </w:r>
      <w:r w:rsidR="00CF4D78" w:rsidRPr="00D8223E">
        <w:rPr>
          <w:rFonts w:ascii="Times New Roman" w:hAnsi="Times New Roman" w:cs="Times New Roman"/>
          <w:color w:val="000000" w:themeColor="text1"/>
          <w:sz w:val="24"/>
          <w:szCs w:val="24"/>
        </w:rPr>
        <w:fldChar w:fldCharType="end"/>
      </w:r>
      <w:r w:rsidR="00F31197" w:rsidRPr="00D8223E">
        <w:rPr>
          <w:rStyle w:val="Hyperlink1"/>
          <w:rFonts w:ascii="Times New Roman" w:hAnsi="Times New Roman" w:cs="Times New Roman"/>
          <w:color w:val="000000" w:themeColor="text1"/>
          <w:sz w:val="24"/>
          <w:szCs w:val="24"/>
          <w:lang w:val="en-US"/>
        </w:rPr>
        <w:t>, </w:t>
      </w:r>
      <w:r w:rsidR="00F31197" w:rsidRPr="00D8223E">
        <w:rPr>
          <w:rFonts w:ascii="Times New Roman" w:hAnsi="Times New Roman" w:cs="Times New Roman"/>
          <w:color w:val="000000" w:themeColor="text1"/>
          <w:sz w:val="24"/>
          <w:szCs w:val="24"/>
        </w:rPr>
        <w:t>et al</w:t>
      </w:r>
      <w:r w:rsidR="00F31197" w:rsidRPr="00D8223E">
        <w:rPr>
          <w:rStyle w:val="Hyperlink1"/>
          <w:rFonts w:ascii="Times New Roman" w:hAnsi="Times New Roman" w:cs="Times New Roman"/>
          <w:color w:val="000000" w:themeColor="text1"/>
          <w:sz w:val="24"/>
          <w:szCs w:val="24"/>
          <w:lang w:val="en-US"/>
        </w:rPr>
        <w:t xml:space="preserve">. </w:t>
      </w:r>
      <w:r w:rsidR="00F31197" w:rsidRPr="00D8223E">
        <w:rPr>
          <w:rStyle w:val="ref-vol"/>
          <w:rFonts w:ascii="Times New Roman" w:hAnsi="Times New Roman" w:cs="Times New Roman"/>
          <w:color w:val="000000" w:themeColor="text1"/>
          <w:kern w:val="36"/>
          <w:sz w:val="24"/>
          <w:szCs w:val="24"/>
        </w:rPr>
        <w:t xml:space="preserve">Prevalence, classification and natural history of gastric varices: a long-term follow-up study in 568 </w:t>
      </w:r>
      <w:proofErr w:type="spellStart"/>
      <w:r w:rsidR="00F31197" w:rsidRPr="00D8223E">
        <w:rPr>
          <w:rStyle w:val="ref-vol"/>
          <w:rFonts w:ascii="Times New Roman" w:hAnsi="Times New Roman" w:cs="Times New Roman"/>
          <w:color w:val="000000" w:themeColor="text1"/>
          <w:kern w:val="36"/>
          <w:sz w:val="24"/>
          <w:szCs w:val="24"/>
        </w:rPr>
        <w:t>portal</w:t>
      </w:r>
      <w:proofErr w:type="spellEnd"/>
      <w:r w:rsidR="00F31197" w:rsidRPr="00D8223E">
        <w:rPr>
          <w:rStyle w:val="ref-vol"/>
          <w:rFonts w:ascii="Times New Roman" w:hAnsi="Times New Roman" w:cs="Times New Roman"/>
          <w:color w:val="000000" w:themeColor="text1"/>
          <w:kern w:val="36"/>
          <w:sz w:val="24"/>
          <w:szCs w:val="24"/>
        </w:rPr>
        <w:t xml:space="preserve"> </w:t>
      </w:r>
      <w:proofErr w:type="spellStart"/>
      <w:r w:rsidR="00F31197" w:rsidRPr="00D8223E">
        <w:rPr>
          <w:rStyle w:val="ref-vol"/>
          <w:rFonts w:ascii="Times New Roman" w:hAnsi="Times New Roman" w:cs="Times New Roman"/>
          <w:color w:val="000000" w:themeColor="text1"/>
          <w:kern w:val="36"/>
          <w:sz w:val="24"/>
          <w:szCs w:val="24"/>
        </w:rPr>
        <w:t>hypertension</w:t>
      </w:r>
      <w:proofErr w:type="spellEnd"/>
      <w:r w:rsidR="00F31197" w:rsidRPr="00D8223E">
        <w:rPr>
          <w:rStyle w:val="ref-vol"/>
          <w:rFonts w:ascii="Times New Roman" w:hAnsi="Times New Roman" w:cs="Times New Roman"/>
          <w:color w:val="000000" w:themeColor="text1"/>
          <w:kern w:val="36"/>
          <w:sz w:val="24"/>
          <w:szCs w:val="24"/>
        </w:rPr>
        <w:t xml:space="preserve"> </w:t>
      </w:r>
      <w:proofErr w:type="spellStart"/>
      <w:r w:rsidR="00F31197" w:rsidRPr="00D8223E">
        <w:rPr>
          <w:rStyle w:val="ref-vol"/>
          <w:rFonts w:ascii="Times New Roman" w:hAnsi="Times New Roman" w:cs="Times New Roman"/>
          <w:color w:val="000000" w:themeColor="text1"/>
          <w:kern w:val="36"/>
          <w:sz w:val="24"/>
          <w:szCs w:val="24"/>
        </w:rPr>
        <w:t>patients</w:t>
      </w:r>
      <w:proofErr w:type="spellEnd"/>
      <w:r w:rsidR="00F31197" w:rsidRPr="00D8223E">
        <w:rPr>
          <w:rStyle w:val="ref-vol"/>
          <w:rFonts w:ascii="Times New Roman" w:hAnsi="Times New Roman" w:cs="Times New Roman"/>
          <w:color w:val="000000" w:themeColor="text1"/>
          <w:kern w:val="36"/>
          <w:sz w:val="24"/>
          <w:szCs w:val="24"/>
        </w:rPr>
        <w:t>.</w:t>
      </w:r>
      <w:hyperlink r:id="rId29" w:history="1">
        <w:r w:rsidR="00F31197" w:rsidRPr="00D8223E">
          <w:rPr>
            <w:rStyle w:val="Hyperlink1"/>
            <w:rFonts w:ascii="Times New Roman" w:hAnsi="Times New Roman" w:cs="Times New Roman"/>
            <w:color w:val="000000" w:themeColor="text1"/>
            <w:sz w:val="24"/>
            <w:szCs w:val="24"/>
            <w:lang w:val="en-US"/>
          </w:rPr>
          <w:t>Hepatology.</w:t>
        </w:r>
      </w:hyperlink>
      <w:r w:rsidR="00F31197" w:rsidRPr="00D8223E">
        <w:rPr>
          <w:rStyle w:val="Hyperlink1"/>
          <w:rFonts w:ascii="Times New Roman" w:hAnsi="Times New Roman" w:cs="Times New Roman"/>
          <w:color w:val="000000" w:themeColor="text1"/>
          <w:sz w:val="24"/>
          <w:szCs w:val="24"/>
          <w:lang w:val="en-US"/>
        </w:rPr>
        <w:t> 1992 ;16(6):1343-9.</w:t>
      </w:r>
    </w:p>
    <w:p w:rsidR="00F31197" w:rsidRPr="00D8223E" w:rsidRDefault="00F31197"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Style w:val="Hyperlink1"/>
          <w:rFonts w:ascii="Times New Roman" w:eastAsia="Times New Roman" w:hAnsi="Times New Roman" w:cs="Times New Roman"/>
          <w:color w:val="000000" w:themeColor="text1"/>
          <w:sz w:val="24"/>
          <w:szCs w:val="24"/>
          <w:lang w:val="en-US"/>
        </w:rPr>
      </w:pPr>
      <w:r w:rsidRPr="00D8223E">
        <w:rPr>
          <w:rStyle w:val="Hyperlink1"/>
          <w:rFonts w:ascii="Times New Roman" w:hAnsi="Times New Roman" w:cs="Times New Roman"/>
          <w:color w:val="000000" w:themeColor="text1"/>
          <w:sz w:val="24"/>
          <w:szCs w:val="24"/>
          <w:lang w:val="en-US"/>
        </w:rPr>
        <w:lastRenderedPageBreak/>
        <w:t>Ogilvie C, Evans CC</w:t>
      </w:r>
      <w:r w:rsidR="00512CE5" w:rsidRPr="00D8223E">
        <w:rPr>
          <w:rStyle w:val="Hyperlink1"/>
          <w:rFonts w:ascii="Times New Roman" w:hAnsi="Times New Roman" w:cs="Times New Roman"/>
          <w:color w:val="000000" w:themeColor="text1"/>
          <w:sz w:val="24"/>
          <w:szCs w:val="24"/>
          <w:lang w:val="en-US"/>
        </w:rPr>
        <w:t xml:space="preserve">. </w:t>
      </w:r>
      <w:r w:rsidRPr="00D8223E">
        <w:rPr>
          <w:rStyle w:val="Hyperlink1"/>
          <w:rFonts w:ascii="Times New Roman" w:hAnsi="Times New Roman" w:cs="Times New Roman"/>
          <w:color w:val="000000" w:themeColor="text1"/>
          <w:sz w:val="24"/>
          <w:szCs w:val="24"/>
          <w:lang w:val="en-US"/>
        </w:rPr>
        <w:t xml:space="preserve">Splenomegaly. In: Ogilvie C, Evans CC, editors. </w:t>
      </w:r>
      <w:proofErr w:type="spellStart"/>
      <w:r w:rsidRPr="00D8223E">
        <w:rPr>
          <w:rStyle w:val="Hyperlink1"/>
          <w:rFonts w:ascii="Times New Roman" w:hAnsi="Times New Roman" w:cs="Times New Roman"/>
          <w:color w:val="000000" w:themeColor="text1"/>
          <w:sz w:val="24"/>
          <w:szCs w:val="24"/>
          <w:lang w:val="en-US"/>
        </w:rPr>
        <w:t>Chamberlaine’s</w:t>
      </w:r>
      <w:proofErr w:type="spellEnd"/>
      <w:r w:rsidRPr="00D8223E">
        <w:rPr>
          <w:rStyle w:val="Hyperlink1"/>
          <w:rFonts w:ascii="Times New Roman" w:hAnsi="Times New Roman" w:cs="Times New Roman"/>
          <w:color w:val="000000" w:themeColor="text1"/>
          <w:sz w:val="24"/>
          <w:szCs w:val="24"/>
          <w:lang w:val="en-US"/>
        </w:rPr>
        <w:t xml:space="preserve"> Symptoms and Signs in Clinical Medicine. 11th ed. London: </w:t>
      </w:r>
      <w:proofErr w:type="spellStart"/>
      <w:r w:rsidRPr="00D8223E">
        <w:rPr>
          <w:rStyle w:val="Hyperlink1"/>
          <w:rFonts w:ascii="Times New Roman" w:hAnsi="Times New Roman" w:cs="Times New Roman"/>
          <w:color w:val="000000" w:themeColor="text1"/>
          <w:sz w:val="24"/>
          <w:szCs w:val="24"/>
          <w:lang w:val="en-US"/>
        </w:rPr>
        <w:t>Brucks</w:t>
      </w:r>
      <w:proofErr w:type="spellEnd"/>
      <w:r w:rsidRPr="00D8223E">
        <w:rPr>
          <w:rStyle w:val="Hyperlink1"/>
          <w:rFonts w:ascii="Times New Roman" w:hAnsi="Times New Roman" w:cs="Times New Roman"/>
          <w:color w:val="000000" w:themeColor="text1"/>
          <w:sz w:val="24"/>
          <w:szCs w:val="24"/>
          <w:lang w:val="en-US"/>
        </w:rPr>
        <w:t>, Butterworth/ELBS, 1987: 480-7.</w:t>
      </w:r>
    </w:p>
    <w:p w:rsidR="00F31197" w:rsidRPr="00D8223E" w:rsidRDefault="00D8223E" w:rsidP="00F31197">
      <w:pPr>
        <w:pStyle w:val="ListParagraph"/>
        <w:numPr>
          <w:ilvl w:val="0"/>
          <w:numId w:val="1"/>
        </w:numPr>
        <w:pBdr>
          <w:top w:val="nil"/>
          <w:left w:val="nil"/>
          <w:bottom w:val="nil"/>
          <w:right w:val="nil"/>
          <w:between w:val="nil"/>
          <w:bar w:val="nil"/>
        </w:pBdr>
        <w:shd w:val="clear" w:color="auto" w:fill="FFFFFF"/>
        <w:spacing w:before="240" w:line="480" w:lineRule="auto"/>
        <w:contextualSpacing w:val="0"/>
        <w:jc w:val="both"/>
        <w:rPr>
          <w:rFonts w:ascii="Times New Roman" w:hAnsi="Times New Roman" w:cs="Times New Roman"/>
          <w:color w:val="000000" w:themeColor="text1"/>
          <w:sz w:val="24"/>
          <w:szCs w:val="24"/>
        </w:rPr>
      </w:pPr>
      <w:hyperlink r:id="rId30" w:history="1">
        <w:proofErr w:type="spellStart"/>
        <w:r w:rsidR="00F31197" w:rsidRPr="00D8223E">
          <w:rPr>
            <w:rStyle w:val="highlight"/>
            <w:rFonts w:ascii="Times New Roman" w:hAnsi="Times New Roman" w:cs="Times New Roman"/>
            <w:color w:val="000000" w:themeColor="text1"/>
            <w:sz w:val="24"/>
            <w:szCs w:val="24"/>
          </w:rPr>
          <w:t>Soyupak</w:t>
        </w:r>
        <w:proofErr w:type="spellEnd"/>
        <w:r w:rsidR="00F31197" w:rsidRPr="00D8223E">
          <w:rPr>
            <w:rStyle w:val="apple-converted-space"/>
            <w:rFonts w:ascii="Times New Roman" w:hAnsi="Times New Roman" w:cs="Times New Roman"/>
            <w:color w:val="000000" w:themeColor="text1"/>
            <w:sz w:val="24"/>
            <w:szCs w:val="24"/>
          </w:rPr>
          <w:t> </w:t>
        </w:r>
        <w:r w:rsidR="00F31197" w:rsidRPr="00D8223E">
          <w:rPr>
            <w:rStyle w:val="Hyperlink"/>
            <w:rFonts w:ascii="Times New Roman" w:hAnsi="Times New Roman" w:cs="Times New Roman"/>
            <w:color w:val="000000" w:themeColor="text1"/>
            <w:sz w:val="24"/>
            <w:szCs w:val="24"/>
            <w:u w:val="none"/>
          </w:rPr>
          <w:t>S</w:t>
        </w:r>
      </w:hyperlink>
      <w:r w:rsidR="00F31197" w:rsidRPr="00D8223E">
        <w:rPr>
          <w:rFonts w:ascii="Times New Roman" w:hAnsi="Times New Roman" w:cs="Times New Roman"/>
          <w:color w:val="000000" w:themeColor="text1"/>
          <w:sz w:val="24"/>
          <w:szCs w:val="24"/>
        </w:rPr>
        <w:t>,</w:t>
      </w:r>
      <w:r w:rsidR="00F31197" w:rsidRPr="00D8223E">
        <w:rPr>
          <w:rStyle w:val="apple-converted-space"/>
          <w:rFonts w:ascii="Times New Roman" w:hAnsi="Times New Roman" w:cs="Times New Roman"/>
          <w:color w:val="000000" w:themeColor="text1"/>
          <w:sz w:val="24"/>
          <w:szCs w:val="24"/>
        </w:rPr>
        <w:t> </w:t>
      </w:r>
      <w:hyperlink r:id="rId31" w:history="1">
        <w:proofErr w:type="spellStart"/>
        <w:r w:rsidR="00F31197" w:rsidRPr="00D8223E">
          <w:rPr>
            <w:rStyle w:val="Hyperlink"/>
            <w:rFonts w:ascii="Times New Roman" w:hAnsi="Times New Roman" w:cs="Times New Roman"/>
            <w:color w:val="000000" w:themeColor="text1"/>
            <w:sz w:val="24"/>
            <w:szCs w:val="24"/>
            <w:u w:val="none"/>
          </w:rPr>
          <w:t>Gunesli</w:t>
        </w:r>
        <w:proofErr w:type="spellEnd"/>
        <w:r w:rsidR="00F31197" w:rsidRPr="00D8223E">
          <w:rPr>
            <w:rStyle w:val="Hyperlink"/>
            <w:rFonts w:ascii="Times New Roman" w:hAnsi="Times New Roman" w:cs="Times New Roman"/>
            <w:color w:val="000000" w:themeColor="text1"/>
            <w:sz w:val="24"/>
            <w:szCs w:val="24"/>
            <w:u w:val="none"/>
          </w:rPr>
          <w:t xml:space="preserve"> A</w:t>
        </w:r>
      </w:hyperlink>
      <w:r w:rsidR="00F31197" w:rsidRPr="00D8223E">
        <w:rPr>
          <w:rFonts w:ascii="Times New Roman" w:hAnsi="Times New Roman" w:cs="Times New Roman"/>
          <w:color w:val="000000" w:themeColor="text1"/>
          <w:sz w:val="24"/>
          <w:szCs w:val="24"/>
        </w:rPr>
        <w:t>,</w:t>
      </w:r>
      <w:r w:rsidR="00F31197" w:rsidRPr="00D8223E">
        <w:rPr>
          <w:rStyle w:val="apple-converted-space"/>
          <w:rFonts w:ascii="Times New Roman" w:hAnsi="Times New Roman" w:cs="Times New Roman"/>
          <w:color w:val="000000" w:themeColor="text1"/>
          <w:sz w:val="24"/>
          <w:szCs w:val="24"/>
        </w:rPr>
        <w:t> </w:t>
      </w:r>
      <w:hyperlink r:id="rId32" w:history="1">
        <w:proofErr w:type="spellStart"/>
        <w:r w:rsidR="00F31197" w:rsidRPr="00D8223E">
          <w:rPr>
            <w:rStyle w:val="Hyperlink"/>
            <w:rFonts w:ascii="Times New Roman" w:hAnsi="Times New Roman" w:cs="Times New Roman"/>
            <w:color w:val="000000" w:themeColor="text1"/>
            <w:sz w:val="24"/>
            <w:szCs w:val="24"/>
            <w:u w:val="none"/>
          </w:rPr>
          <w:t>Seydaoğlu</w:t>
        </w:r>
        <w:proofErr w:type="spellEnd"/>
        <w:r w:rsidR="00F31197" w:rsidRPr="00D8223E">
          <w:rPr>
            <w:rStyle w:val="Hyperlink"/>
            <w:rFonts w:ascii="Times New Roman" w:hAnsi="Times New Roman" w:cs="Times New Roman"/>
            <w:color w:val="000000" w:themeColor="text1"/>
            <w:sz w:val="24"/>
            <w:szCs w:val="24"/>
            <w:u w:val="none"/>
          </w:rPr>
          <w:t xml:space="preserve"> G</w:t>
        </w:r>
      </w:hyperlink>
      <w:r w:rsidR="00F31197" w:rsidRPr="00D8223E">
        <w:rPr>
          <w:rFonts w:ascii="Times New Roman" w:hAnsi="Times New Roman" w:cs="Times New Roman"/>
          <w:color w:val="000000" w:themeColor="text1"/>
          <w:sz w:val="24"/>
          <w:szCs w:val="24"/>
        </w:rPr>
        <w:t>,</w:t>
      </w:r>
      <w:r w:rsidR="00F31197" w:rsidRPr="00D8223E">
        <w:rPr>
          <w:rStyle w:val="apple-converted-space"/>
          <w:rFonts w:ascii="Times New Roman" w:hAnsi="Times New Roman" w:cs="Times New Roman"/>
          <w:color w:val="000000" w:themeColor="text1"/>
          <w:sz w:val="24"/>
          <w:szCs w:val="24"/>
        </w:rPr>
        <w:t> </w:t>
      </w:r>
      <w:r w:rsidR="00F31197" w:rsidRPr="00D8223E">
        <w:rPr>
          <w:rFonts w:ascii="Times New Roman" w:hAnsi="Times New Roman" w:cs="Times New Roman"/>
          <w:color w:val="000000" w:themeColor="text1"/>
          <w:sz w:val="24"/>
          <w:szCs w:val="24"/>
        </w:rPr>
        <w:t xml:space="preserve">et al. Portal venous diameter in children: normal limits according to age, weight and height. </w:t>
      </w:r>
      <w:hyperlink r:id="rId33" w:tooltip="European journal of radiology." w:history="1">
        <w:proofErr w:type="spellStart"/>
        <w:r w:rsidR="00F31197" w:rsidRPr="00D8223E">
          <w:rPr>
            <w:rStyle w:val="Hyperlink"/>
            <w:rFonts w:ascii="Times New Roman" w:hAnsi="Times New Roman" w:cs="Times New Roman"/>
            <w:color w:val="000000" w:themeColor="text1"/>
            <w:sz w:val="24"/>
            <w:szCs w:val="24"/>
            <w:u w:val="none"/>
          </w:rPr>
          <w:t>Eur</w:t>
        </w:r>
        <w:proofErr w:type="spellEnd"/>
        <w:r w:rsidR="00F31197" w:rsidRPr="00D8223E">
          <w:rPr>
            <w:rStyle w:val="Hyperlink"/>
            <w:rFonts w:ascii="Times New Roman" w:hAnsi="Times New Roman" w:cs="Times New Roman"/>
            <w:color w:val="000000" w:themeColor="text1"/>
            <w:sz w:val="24"/>
            <w:szCs w:val="24"/>
            <w:u w:val="none"/>
          </w:rPr>
          <w:t xml:space="preserve"> J </w:t>
        </w:r>
        <w:proofErr w:type="spellStart"/>
        <w:r w:rsidR="00F31197" w:rsidRPr="00D8223E">
          <w:rPr>
            <w:rStyle w:val="Hyperlink"/>
            <w:rFonts w:ascii="Times New Roman" w:hAnsi="Times New Roman" w:cs="Times New Roman"/>
            <w:color w:val="000000" w:themeColor="text1"/>
            <w:sz w:val="24"/>
            <w:szCs w:val="24"/>
            <w:u w:val="none"/>
          </w:rPr>
          <w:t>Radiol</w:t>
        </w:r>
        <w:proofErr w:type="spellEnd"/>
        <w:r w:rsidR="00F31197" w:rsidRPr="00D8223E">
          <w:rPr>
            <w:rStyle w:val="Hyperlink"/>
            <w:rFonts w:ascii="Times New Roman" w:hAnsi="Times New Roman" w:cs="Times New Roman"/>
            <w:color w:val="000000" w:themeColor="text1"/>
            <w:sz w:val="24"/>
            <w:szCs w:val="24"/>
            <w:u w:val="none"/>
          </w:rPr>
          <w:t>.</w:t>
        </w:r>
      </w:hyperlink>
      <w:r w:rsidR="00F31197" w:rsidRPr="00D8223E">
        <w:rPr>
          <w:rStyle w:val="apple-converted-space"/>
          <w:rFonts w:ascii="Times New Roman" w:hAnsi="Times New Roman" w:cs="Times New Roman"/>
          <w:color w:val="000000" w:themeColor="text1"/>
          <w:sz w:val="24"/>
          <w:szCs w:val="24"/>
        </w:rPr>
        <w:t> </w:t>
      </w:r>
      <w:r w:rsidR="00F31197" w:rsidRPr="00D8223E">
        <w:rPr>
          <w:rStyle w:val="highlight"/>
          <w:rFonts w:ascii="Times New Roman" w:hAnsi="Times New Roman" w:cs="Times New Roman"/>
          <w:color w:val="000000" w:themeColor="text1"/>
          <w:sz w:val="24"/>
          <w:szCs w:val="24"/>
        </w:rPr>
        <w:t>2010</w:t>
      </w:r>
      <w:r w:rsidR="00F31197" w:rsidRPr="00D8223E">
        <w:rPr>
          <w:rFonts w:ascii="Times New Roman" w:hAnsi="Times New Roman" w:cs="Times New Roman"/>
          <w:color w:val="000000" w:themeColor="text1"/>
          <w:sz w:val="24"/>
          <w:szCs w:val="24"/>
        </w:rPr>
        <w:t xml:space="preserve">;75(2):245-7. </w:t>
      </w:r>
    </w:p>
    <w:p w:rsidR="00F31197" w:rsidRPr="00D8223E" w:rsidRDefault="00D8223E" w:rsidP="00F31197">
      <w:pPr>
        <w:pStyle w:val="ListParagraph"/>
        <w:numPr>
          <w:ilvl w:val="0"/>
          <w:numId w:val="1"/>
        </w:numPr>
        <w:shd w:val="clear" w:color="auto" w:fill="FFFFFF"/>
        <w:autoSpaceDE w:val="0"/>
        <w:autoSpaceDN w:val="0"/>
        <w:adjustRightInd w:val="0"/>
        <w:spacing w:before="240" w:line="480" w:lineRule="auto"/>
        <w:jc w:val="both"/>
        <w:rPr>
          <w:rFonts w:ascii="Times New Roman" w:hAnsi="Times New Roman" w:cs="Times New Roman"/>
          <w:color w:val="000000" w:themeColor="text1"/>
          <w:sz w:val="24"/>
          <w:szCs w:val="24"/>
        </w:rPr>
      </w:pPr>
      <w:hyperlink r:id="rId34" w:history="1">
        <w:proofErr w:type="spellStart"/>
        <w:r w:rsidR="00F31197" w:rsidRPr="00D8223E">
          <w:rPr>
            <w:rFonts w:ascii="Times New Roman" w:eastAsia="Times New Roman" w:hAnsi="Times New Roman" w:cs="Times New Roman"/>
            <w:color w:val="000000" w:themeColor="text1"/>
            <w:sz w:val="24"/>
            <w:szCs w:val="24"/>
          </w:rPr>
          <w:t>Husby</w:t>
        </w:r>
        <w:proofErr w:type="spellEnd"/>
        <w:r w:rsidR="00F31197" w:rsidRPr="00D8223E">
          <w:rPr>
            <w:rFonts w:ascii="Times New Roman" w:eastAsia="Times New Roman" w:hAnsi="Times New Roman" w:cs="Times New Roman"/>
            <w:color w:val="000000" w:themeColor="text1"/>
            <w:sz w:val="24"/>
            <w:szCs w:val="24"/>
          </w:rPr>
          <w:t xml:space="preserve"> S</w:t>
        </w:r>
      </w:hyperlink>
      <w:r w:rsidR="00F31197" w:rsidRPr="00D8223E">
        <w:rPr>
          <w:rFonts w:ascii="Times New Roman" w:eastAsia="Times New Roman" w:hAnsi="Times New Roman" w:cs="Times New Roman"/>
          <w:color w:val="000000" w:themeColor="text1"/>
          <w:sz w:val="24"/>
          <w:szCs w:val="24"/>
        </w:rPr>
        <w:t>, </w:t>
      </w:r>
      <w:proofErr w:type="spellStart"/>
      <w:r w:rsidR="00CF4D78" w:rsidRPr="00D8223E">
        <w:rPr>
          <w:rFonts w:ascii="Times New Roman" w:eastAsia="Times New Roman" w:hAnsi="Times New Roman" w:cs="Times New Roman"/>
          <w:color w:val="000000" w:themeColor="text1"/>
          <w:sz w:val="24"/>
          <w:szCs w:val="24"/>
        </w:rPr>
        <w:fldChar w:fldCharType="begin"/>
      </w:r>
      <w:r w:rsidR="00F31197" w:rsidRPr="00D8223E">
        <w:rPr>
          <w:rFonts w:ascii="Times New Roman" w:eastAsia="Times New Roman" w:hAnsi="Times New Roman" w:cs="Times New Roman"/>
          <w:color w:val="000000" w:themeColor="text1"/>
          <w:sz w:val="24"/>
          <w:szCs w:val="24"/>
        </w:rPr>
        <w:instrText xml:space="preserve"> HYPERLINK "https://www.ncbi.nlm.nih.gov/pubmed/?term=Koletzko%20S%5BAuthor%5D&amp;cauthor=true&amp;cauthor_uid=22197856" </w:instrText>
      </w:r>
      <w:r w:rsidR="00CF4D78" w:rsidRPr="00D8223E">
        <w:rPr>
          <w:rFonts w:ascii="Times New Roman" w:eastAsia="Times New Roman" w:hAnsi="Times New Roman" w:cs="Times New Roman"/>
          <w:color w:val="000000" w:themeColor="text1"/>
          <w:sz w:val="24"/>
          <w:szCs w:val="24"/>
        </w:rPr>
        <w:fldChar w:fldCharType="separate"/>
      </w:r>
      <w:r w:rsidR="00F31197" w:rsidRPr="00D8223E">
        <w:rPr>
          <w:rFonts w:ascii="Times New Roman" w:eastAsia="Times New Roman" w:hAnsi="Times New Roman" w:cs="Times New Roman"/>
          <w:color w:val="000000" w:themeColor="text1"/>
          <w:sz w:val="24"/>
          <w:szCs w:val="24"/>
        </w:rPr>
        <w:t>Koletzko</w:t>
      </w:r>
      <w:proofErr w:type="spellEnd"/>
      <w:r w:rsidR="00F31197" w:rsidRPr="00D8223E">
        <w:rPr>
          <w:rFonts w:ascii="Times New Roman" w:eastAsia="Times New Roman" w:hAnsi="Times New Roman" w:cs="Times New Roman"/>
          <w:color w:val="000000" w:themeColor="text1"/>
          <w:sz w:val="24"/>
          <w:szCs w:val="24"/>
        </w:rPr>
        <w:t xml:space="preserve"> S</w:t>
      </w:r>
      <w:r w:rsidR="00CF4D78" w:rsidRPr="00D8223E">
        <w:rPr>
          <w:rFonts w:ascii="Times New Roman" w:eastAsia="Times New Roman" w:hAnsi="Times New Roman" w:cs="Times New Roman"/>
          <w:color w:val="000000" w:themeColor="text1"/>
          <w:sz w:val="24"/>
          <w:szCs w:val="24"/>
        </w:rPr>
        <w:fldChar w:fldCharType="end"/>
      </w:r>
      <w:r w:rsidR="00F31197" w:rsidRPr="00D8223E">
        <w:rPr>
          <w:rFonts w:ascii="Times New Roman" w:eastAsia="Times New Roman" w:hAnsi="Times New Roman" w:cs="Times New Roman"/>
          <w:color w:val="000000" w:themeColor="text1"/>
          <w:sz w:val="24"/>
          <w:szCs w:val="24"/>
        </w:rPr>
        <w:t>, </w:t>
      </w:r>
      <w:proofErr w:type="spellStart"/>
      <w:r w:rsidR="00CF4D78" w:rsidRPr="00D8223E">
        <w:rPr>
          <w:rFonts w:ascii="Times New Roman" w:eastAsia="Times New Roman" w:hAnsi="Times New Roman" w:cs="Times New Roman"/>
          <w:color w:val="000000" w:themeColor="text1"/>
          <w:sz w:val="24"/>
          <w:szCs w:val="24"/>
        </w:rPr>
        <w:fldChar w:fldCharType="begin"/>
      </w:r>
      <w:r w:rsidR="00F31197" w:rsidRPr="00D8223E">
        <w:rPr>
          <w:rFonts w:ascii="Times New Roman" w:eastAsia="Times New Roman" w:hAnsi="Times New Roman" w:cs="Times New Roman"/>
          <w:color w:val="000000" w:themeColor="text1"/>
          <w:sz w:val="24"/>
          <w:szCs w:val="24"/>
        </w:rPr>
        <w:instrText xml:space="preserve"> HYPERLINK "https://www.ncbi.nlm.nih.gov/pubmed/?term=Korponay-Szab%C3%B3%20IR%5BAuthor%5D&amp;cauthor=true&amp;cauthor_uid=22197856" </w:instrText>
      </w:r>
      <w:r w:rsidR="00CF4D78" w:rsidRPr="00D8223E">
        <w:rPr>
          <w:rFonts w:ascii="Times New Roman" w:eastAsia="Times New Roman" w:hAnsi="Times New Roman" w:cs="Times New Roman"/>
          <w:color w:val="000000" w:themeColor="text1"/>
          <w:sz w:val="24"/>
          <w:szCs w:val="24"/>
        </w:rPr>
        <w:fldChar w:fldCharType="separate"/>
      </w:r>
      <w:r w:rsidR="00F31197" w:rsidRPr="00D8223E">
        <w:rPr>
          <w:rFonts w:ascii="Times New Roman" w:eastAsia="Times New Roman" w:hAnsi="Times New Roman" w:cs="Times New Roman"/>
          <w:color w:val="000000" w:themeColor="text1"/>
          <w:sz w:val="24"/>
          <w:szCs w:val="24"/>
        </w:rPr>
        <w:t>Korponay-Szabó</w:t>
      </w:r>
      <w:proofErr w:type="spellEnd"/>
      <w:r w:rsidR="00F31197" w:rsidRPr="00D8223E">
        <w:rPr>
          <w:rFonts w:ascii="Times New Roman" w:eastAsia="Times New Roman" w:hAnsi="Times New Roman" w:cs="Times New Roman"/>
          <w:color w:val="000000" w:themeColor="text1"/>
          <w:sz w:val="24"/>
          <w:szCs w:val="24"/>
        </w:rPr>
        <w:t xml:space="preserve"> IR</w:t>
      </w:r>
      <w:r w:rsidR="00CF4D78" w:rsidRPr="00D8223E">
        <w:rPr>
          <w:rFonts w:ascii="Times New Roman" w:eastAsia="Times New Roman" w:hAnsi="Times New Roman" w:cs="Times New Roman"/>
          <w:color w:val="000000" w:themeColor="text1"/>
          <w:sz w:val="24"/>
          <w:szCs w:val="24"/>
        </w:rPr>
        <w:fldChar w:fldCharType="end"/>
      </w:r>
      <w:r w:rsidR="00F31197" w:rsidRPr="00D8223E">
        <w:rPr>
          <w:rFonts w:ascii="Times New Roman" w:eastAsia="Times New Roman" w:hAnsi="Times New Roman" w:cs="Times New Roman"/>
          <w:color w:val="000000" w:themeColor="text1"/>
          <w:sz w:val="24"/>
          <w:szCs w:val="24"/>
        </w:rPr>
        <w:t>, et al; </w:t>
      </w:r>
      <w:hyperlink r:id="rId35" w:history="1">
        <w:r w:rsidR="00F31197" w:rsidRPr="00D8223E">
          <w:rPr>
            <w:rFonts w:ascii="Times New Roman" w:eastAsia="Times New Roman" w:hAnsi="Times New Roman" w:cs="Times New Roman"/>
            <w:color w:val="000000" w:themeColor="text1"/>
            <w:sz w:val="24"/>
            <w:szCs w:val="24"/>
          </w:rPr>
          <w:t>ESPGHAN Working Group on Coeliac Disease Diagnosis</w:t>
        </w:r>
      </w:hyperlink>
      <w:r w:rsidR="00F31197" w:rsidRPr="00D8223E">
        <w:rPr>
          <w:rFonts w:ascii="Times New Roman" w:eastAsia="Times New Roman" w:hAnsi="Times New Roman" w:cs="Times New Roman"/>
          <w:color w:val="000000" w:themeColor="text1"/>
          <w:sz w:val="24"/>
          <w:szCs w:val="24"/>
        </w:rPr>
        <w:t xml:space="preserve">; </w:t>
      </w:r>
      <w:hyperlink r:id="rId36" w:history="1">
        <w:r w:rsidR="00F31197" w:rsidRPr="00D8223E">
          <w:rPr>
            <w:rFonts w:ascii="Times New Roman" w:eastAsia="Times New Roman" w:hAnsi="Times New Roman" w:cs="Times New Roman"/>
            <w:color w:val="000000" w:themeColor="text1"/>
            <w:sz w:val="24"/>
            <w:szCs w:val="24"/>
          </w:rPr>
          <w:t>ESPGHAN Gastroenterology Committee</w:t>
        </w:r>
      </w:hyperlink>
      <w:r w:rsidR="00F31197" w:rsidRPr="00D8223E">
        <w:rPr>
          <w:rFonts w:ascii="Times New Roman" w:eastAsia="Times New Roman" w:hAnsi="Times New Roman" w:cs="Times New Roman"/>
          <w:color w:val="000000" w:themeColor="text1"/>
          <w:sz w:val="24"/>
          <w:szCs w:val="24"/>
        </w:rPr>
        <w:t xml:space="preserve">; </w:t>
      </w:r>
      <w:hyperlink r:id="rId37" w:history="1">
        <w:r w:rsidR="00F31197" w:rsidRPr="00D8223E">
          <w:rPr>
            <w:rFonts w:ascii="Times New Roman" w:eastAsia="Times New Roman" w:hAnsi="Times New Roman" w:cs="Times New Roman"/>
            <w:color w:val="000000" w:themeColor="text1"/>
            <w:sz w:val="24"/>
            <w:szCs w:val="24"/>
          </w:rPr>
          <w:t xml:space="preserve">European Society for </w:t>
        </w:r>
        <w:proofErr w:type="spellStart"/>
        <w:r w:rsidR="00F31197" w:rsidRPr="00D8223E">
          <w:rPr>
            <w:rFonts w:ascii="Times New Roman" w:eastAsia="Times New Roman" w:hAnsi="Times New Roman" w:cs="Times New Roman"/>
            <w:color w:val="000000" w:themeColor="text1"/>
            <w:sz w:val="24"/>
            <w:szCs w:val="24"/>
          </w:rPr>
          <w:t>Pediat</w:t>
        </w:r>
        <w:bookmarkStart w:id="0" w:name="_GoBack"/>
        <w:bookmarkEnd w:id="0"/>
        <w:r w:rsidR="00F31197" w:rsidRPr="00D8223E">
          <w:rPr>
            <w:rFonts w:ascii="Times New Roman" w:eastAsia="Times New Roman" w:hAnsi="Times New Roman" w:cs="Times New Roman"/>
            <w:color w:val="000000" w:themeColor="text1"/>
            <w:sz w:val="24"/>
            <w:szCs w:val="24"/>
          </w:rPr>
          <w:t>r</w:t>
        </w:r>
        <w:r w:rsidR="00F31197" w:rsidRPr="00D8223E">
          <w:rPr>
            <w:rFonts w:ascii="Times New Roman" w:eastAsia="Times New Roman" w:hAnsi="Times New Roman" w:cs="Times New Roman"/>
            <w:color w:val="000000" w:themeColor="text1"/>
            <w:sz w:val="24"/>
            <w:szCs w:val="24"/>
          </w:rPr>
          <w:t>ic</w:t>
        </w:r>
        <w:proofErr w:type="spellEnd"/>
        <w:r w:rsidR="00F31197" w:rsidRPr="00D8223E">
          <w:rPr>
            <w:rFonts w:ascii="Times New Roman" w:eastAsia="Times New Roman" w:hAnsi="Times New Roman" w:cs="Times New Roman"/>
            <w:color w:val="000000" w:themeColor="text1"/>
            <w:sz w:val="24"/>
            <w:szCs w:val="24"/>
          </w:rPr>
          <w:t xml:space="preserve"> Gastroenterology, Hepatology, and Nutrition</w:t>
        </w:r>
      </w:hyperlink>
      <w:r w:rsidR="00F31197" w:rsidRPr="00D8223E">
        <w:rPr>
          <w:rFonts w:ascii="Times New Roman" w:eastAsia="Times New Roman" w:hAnsi="Times New Roman" w:cs="Times New Roman"/>
          <w:color w:val="000000" w:themeColor="text1"/>
          <w:sz w:val="24"/>
          <w:szCs w:val="24"/>
        </w:rPr>
        <w:t xml:space="preserve">. </w:t>
      </w:r>
      <w:r w:rsidR="00F31197" w:rsidRPr="00D8223E">
        <w:rPr>
          <w:rFonts w:ascii="Times New Roman" w:eastAsia="Times New Roman" w:hAnsi="Times New Roman" w:cs="Times New Roman"/>
          <w:bCs/>
          <w:color w:val="000000" w:themeColor="text1"/>
          <w:kern w:val="36"/>
          <w:sz w:val="24"/>
          <w:szCs w:val="24"/>
        </w:rPr>
        <w:t xml:space="preserve">European Society for </w:t>
      </w:r>
      <w:proofErr w:type="spellStart"/>
      <w:r w:rsidR="00F31197" w:rsidRPr="00D8223E">
        <w:rPr>
          <w:rFonts w:ascii="Times New Roman" w:eastAsia="Times New Roman" w:hAnsi="Times New Roman" w:cs="Times New Roman"/>
          <w:bCs/>
          <w:color w:val="000000" w:themeColor="text1"/>
          <w:kern w:val="36"/>
          <w:sz w:val="24"/>
          <w:szCs w:val="24"/>
        </w:rPr>
        <w:t>Pediatric</w:t>
      </w:r>
      <w:proofErr w:type="spellEnd"/>
      <w:r w:rsidR="00F31197" w:rsidRPr="00D8223E">
        <w:rPr>
          <w:rFonts w:ascii="Times New Roman" w:eastAsia="Times New Roman" w:hAnsi="Times New Roman" w:cs="Times New Roman"/>
          <w:bCs/>
          <w:color w:val="000000" w:themeColor="text1"/>
          <w:kern w:val="36"/>
          <w:sz w:val="24"/>
          <w:szCs w:val="24"/>
        </w:rPr>
        <w:t xml:space="preserve"> Gastroenterology, Hepatology, and Nutrition guidelines for the diagnosis of celiac disease.</w:t>
      </w:r>
      <w:r w:rsidR="00F31197" w:rsidRPr="00D8223E">
        <w:rPr>
          <w:rFonts w:ascii="Times New Roman" w:eastAsia="Times New Roman" w:hAnsi="Times New Roman" w:cs="Times New Roman"/>
          <w:color w:val="000000" w:themeColor="text1"/>
          <w:sz w:val="24"/>
          <w:szCs w:val="24"/>
        </w:rPr>
        <w:t xml:space="preserve"> </w:t>
      </w:r>
      <w:hyperlink r:id="rId38" w:tooltip="Journal of pediatric gastroenterology and nutrition." w:history="1">
        <w:r w:rsidR="00F31197" w:rsidRPr="00D8223E">
          <w:rPr>
            <w:rFonts w:ascii="Times New Roman" w:eastAsia="Times New Roman" w:hAnsi="Times New Roman" w:cs="Times New Roman"/>
            <w:color w:val="000000" w:themeColor="text1"/>
            <w:sz w:val="24"/>
            <w:szCs w:val="24"/>
          </w:rPr>
          <w:t xml:space="preserve">J </w:t>
        </w:r>
        <w:proofErr w:type="spellStart"/>
        <w:r w:rsidR="00F31197" w:rsidRPr="00D8223E">
          <w:rPr>
            <w:rFonts w:ascii="Times New Roman" w:eastAsia="Times New Roman" w:hAnsi="Times New Roman" w:cs="Times New Roman"/>
            <w:color w:val="000000" w:themeColor="text1"/>
            <w:sz w:val="24"/>
            <w:szCs w:val="24"/>
          </w:rPr>
          <w:t>Pediatr</w:t>
        </w:r>
        <w:proofErr w:type="spellEnd"/>
        <w:r w:rsidR="00F31197" w:rsidRPr="00D8223E">
          <w:rPr>
            <w:rFonts w:ascii="Times New Roman" w:eastAsia="Times New Roman" w:hAnsi="Times New Roman" w:cs="Times New Roman"/>
            <w:color w:val="000000" w:themeColor="text1"/>
            <w:sz w:val="24"/>
            <w:szCs w:val="24"/>
          </w:rPr>
          <w:t xml:space="preserve"> </w:t>
        </w:r>
        <w:proofErr w:type="spellStart"/>
        <w:r w:rsidR="00F31197" w:rsidRPr="00D8223E">
          <w:rPr>
            <w:rFonts w:ascii="Times New Roman" w:eastAsia="Times New Roman" w:hAnsi="Times New Roman" w:cs="Times New Roman"/>
            <w:color w:val="000000" w:themeColor="text1"/>
            <w:sz w:val="24"/>
            <w:szCs w:val="24"/>
          </w:rPr>
          <w:t>Gastroenterol</w:t>
        </w:r>
        <w:proofErr w:type="spellEnd"/>
        <w:r w:rsidR="00F31197" w:rsidRPr="00D8223E">
          <w:rPr>
            <w:rFonts w:ascii="Times New Roman" w:eastAsia="Times New Roman" w:hAnsi="Times New Roman" w:cs="Times New Roman"/>
            <w:color w:val="000000" w:themeColor="text1"/>
            <w:sz w:val="24"/>
            <w:szCs w:val="24"/>
          </w:rPr>
          <w:t xml:space="preserve"> </w:t>
        </w:r>
        <w:proofErr w:type="spellStart"/>
        <w:r w:rsidR="00F31197" w:rsidRPr="00D8223E">
          <w:rPr>
            <w:rFonts w:ascii="Times New Roman" w:eastAsia="Times New Roman" w:hAnsi="Times New Roman" w:cs="Times New Roman"/>
            <w:color w:val="000000" w:themeColor="text1"/>
            <w:sz w:val="24"/>
            <w:szCs w:val="24"/>
          </w:rPr>
          <w:t>Nutr</w:t>
        </w:r>
        <w:proofErr w:type="spellEnd"/>
        <w:r w:rsidR="00F31197" w:rsidRPr="00D8223E">
          <w:rPr>
            <w:rFonts w:ascii="Times New Roman" w:eastAsia="Times New Roman" w:hAnsi="Times New Roman" w:cs="Times New Roman"/>
            <w:color w:val="000000" w:themeColor="text1"/>
            <w:sz w:val="24"/>
            <w:szCs w:val="24"/>
          </w:rPr>
          <w:t>.</w:t>
        </w:r>
      </w:hyperlink>
      <w:r w:rsidR="00F31197" w:rsidRPr="00D8223E">
        <w:rPr>
          <w:rFonts w:ascii="Times New Roman" w:eastAsia="Times New Roman" w:hAnsi="Times New Roman" w:cs="Times New Roman"/>
          <w:color w:val="000000" w:themeColor="text1"/>
          <w:sz w:val="24"/>
          <w:szCs w:val="24"/>
        </w:rPr>
        <w:t xml:space="preserve"> 2012;54(1):136-60. </w:t>
      </w:r>
    </w:p>
    <w:p w:rsidR="00F31197" w:rsidRPr="00D8223E" w:rsidRDefault="00F31197" w:rsidP="00F31197">
      <w:pPr>
        <w:pStyle w:val="ListParagraph"/>
        <w:numPr>
          <w:ilvl w:val="0"/>
          <w:numId w:val="1"/>
        </w:numPr>
        <w:shd w:val="clear" w:color="auto" w:fill="FFFFFF"/>
        <w:autoSpaceDE w:val="0"/>
        <w:autoSpaceDN w:val="0"/>
        <w:adjustRightInd w:val="0"/>
        <w:spacing w:before="240" w:line="480" w:lineRule="auto"/>
        <w:jc w:val="both"/>
        <w:rPr>
          <w:rFonts w:ascii="Times New Roman" w:hAnsi="Times New Roman" w:cs="Times New Roman"/>
          <w:color w:val="000000" w:themeColor="text1"/>
          <w:sz w:val="24"/>
          <w:szCs w:val="24"/>
        </w:rPr>
      </w:pPr>
      <w:r w:rsidRPr="00D8223E">
        <w:rPr>
          <w:rFonts w:ascii="Times New Roman" w:hAnsi="Times New Roman" w:cs="Times New Roman"/>
          <w:bCs/>
          <w:color w:val="000000" w:themeColor="text1"/>
          <w:sz w:val="24"/>
          <w:szCs w:val="24"/>
        </w:rPr>
        <w:t>ICMR Guideline on Diagnosis and Management of Celiac Disease</w:t>
      </w:r>
      <w:r w:rsidRPr="00D8223E">
        <w:rPr>
          <w:rFonts w:ascii="Times New Roman" w:eastAsia="Times New Roman" w:hAnsi="Times New Roman" w:cs="Times New Roman"/>
          <w:bCs/>
          <w:color w:val="000000" w:themeColor="text1"/>
          <w:kern w:val="36"/>
          <w:sz w:val="24"/>
          <w:szCs w:val="24"/>
        </w:rPr>
        <w:t xml:space="preserve">. </w:t>
      </w:r>
      <w:hyperlink r:id="rId39" w:history="1">
        <w:r w:rsidRPr="00D8223E">
          <w:rPr>
            <w:rStyle w:val="Hyperlink"/>
            <w:rFonts w:ascii="Times New Roman" w:eastAsia="Times New Roman" w:hAnsi="Times New Roman" w:cs="Times New Roman"/>
            <w:bCs/>
            <w:color w:val="000000" w:themeColor="text1"/>
            <w:kern w:val="36"/>
            <w:sz w:val="24"/>
            <w:szCs w:val="24"/>
            <w:u w:val="none"/>
          </w:rPr>
          <w:t>http://www.icmr.nic.in/guidelines/ICMR%20Guideline%20on%20Celiac%20Disease-Dec%202016.pdf</w:t>
        </w:r>
      </w:hyperlink>
      <w:r w:rsidRPr="00D8223E">
        <w:rPr>
          <w:rFonts w:ascii="Times New Roman" w:eastAsia="Times New Roman" w:hAnsi="Times New Roman" w:cs="Times New Roman"/>
          <w:bCs/>
          <w:color w:val="000000" w:themeColor="text1"/>
          <w:kern w:val="36"/>
          <w:sz w:val="24"/>
          <w:szCs w:val="24"/>
        </w:rPr>
        <w:t>. Accessed 2</w:t>
      </w:r>
      <w:r w:rsidRPr="00D8223E">
        <w:rPr>
          <w:rFonts w:ascii="Times New Roman" w:eastAsia="Times New Roman" w:hAnsi="Times New Roman" w:cs="Times New Roman"/>
          <w:bCs/>
          <w:color w:val="000000" w:themeColor="text1"/>
          <w:kern w:val="36"/>
          <w:sz w:val="24"/>
          <w:szCs w:val="24"/>
          <w:vertAlign w:val="superscript"/>
        </w:rPr>
        <w:t>nd</w:t>
      </w:r>
      <w:r w:rsidRPr="00D8223E">
        <w:rPr>
          <w:rFonts w:ascii="Times New Roman" w:eastAsia="Times New Roman" w:hAnsi="Times New Roman" w:cs="Times New Roman"/>
          <w:bCs/>
          <w:color w:val="000000" w:themeColor="text1"/>
          <w:kern w:val="36"/>
          <w:sz w:val="24"/>
          <w:szCs w:val="24"/>
        </w:rPr>
        <w:t xml:space="preserve"> August 2017. </w:t>
      </w:r>
    </w:p>
    <w:p w:rsidR="00F31197" w:rsidRPr="00D8223E" w:rsidRDefault="00D8223E" w:rsidP="00F31197">
      <w:pPr>
        <w:pStyle w:val="ListParagraph"/>
        <w:numPr>
          <w:ilvl w:val="0"/>
          <w:numId w:val="1"/>
        </w:numPr>
        <w:shd w:val="clear" w:color="auto" w:fill="FFFFFF"/>
        <w:autoSpaceDE w:val="0"/>
        <w:autoSpaceDN w:val="0"/>
        <w:adjustRightInd w:val="0"/>
        <w:spacing w:before="240" w:line="480" w:lineRule="auto"/>
        <w:jc w:val="both"/>
        <w:rPr>
          <w:rFonts w:ascii="Times New Roman" w:hAnsi="Times New Roman" w:cs="Times New Roman"/>
          <w:color w:val="000000" w:themeColor="text1"/>
          <w:sz w:val="24"/>
          <w:szCs w:val="24"/>
        </w:rPr>
      </w:pPr>
      <w:hyperlink r:id="rId40" w:history="1">
        <w:r w:rsidR="00F31197" w:rsidRPr="00D8223E">
          <w:rPr>
            <w:rStyle w:val="Hyperlink"/>
            <w:rFonts w:ascii="Times New Roman" w:hAnsi="Times New Roman" w:cs="Times New Roman"/>
            <w:color w:val="000000" w:themeColor="text1"/>
            <w:sz w:val="24"/>
            <w:szCs w:val="24"/>
            <w:u w:val="none"/>
          </w:rPr>
          <w:t>American</w:t>
        </w:r>
        <w:r w:rsidR="00F31197" w:rsidRPr="00D8223E">
          <w:rPr>
            <w:rStyle w:val="apple-converted-space"/>
            <w:rFonts w:ascii="Times New Roman" w:hAnsi="Times New Roman" w:cs="Times New Roman"/>
            <w:color w:val="000000" w:themeColor="text1"/>
            <w:sz w:val="24"/>
            <w:szCs w:val="24"/>
          </w:rPr>
          <w:t xml:space="preserve"> </w:t>
        </w:r>
        <w:r w:rsidR="00F31197" w:rsidRPr="00D8223E">
          <w:rPr>
            <w:rStyle w:val="highlight"/>
            <w:rFonts w:ascii="Times New Roman" w:hAnsi="Times New Roman" w:cs="Times New Roman"/>
            <w:color w:val="000000" w:themeColor="text1"/>
            <w:sz w:val="24"/>
            <w:szCs w:val="24"/>
          </w:rPr>
          <w:t xml:space="preserve">Diabetes </w:t>
        </w:r>
        <w:r w:rsidR="00F31197" w:rsidRPr="00D8223E">
          <w:rPr>
            <w:rStyle w:val="Hyperlink"/>
            <w:rFonts w:ascii="Times New Roman" w:hAnsi="Times New Roman" w:cs="Times New Roman"/>
            <w:color w:val="000000" w:themeColor="text1"/>
            <w:sz w:val="24"/>
            <w:szCs w:val="24"/>
            <w:u w:val="none"/>
          </w:rPr>
          <w:t>Association</w:t>
        </w:r>
      </w:hyperlink>
      <w:r w:rsidR="00F31197" w:rsidRPr="00D8223E">
        <w:rPr>
          <w:rFonts w:ascii="Times New Roman" w:hAnsi="Times New Roman" w:cs="Times New Roman"/>
          <w:color w:val="000000" w:themeColor="text1"/>
          <w:sz w:val="24"/>
          <w:szCs w:val="24"/>
        </w:rPr>
        <w:t xml:space="preserve">. </w:t>
      </w:r>
      <w:r w:rsidR="00F31197" w:rsidRPr="00D8223E">
        <w:rPr>
          <w:rStyle w:val="highlight"/>
          <w:rFonts w:ascii="Times New Roman" w:hAnsi="Times New Roman" w:cs="Times New Roman"/>
          <w:color w:val="000000" w:themeColor="text1"/>
          <w:sz w:val="24"/>
          <w:szCs w:val="24"/>
        </w:rPr>
        <w:t xml:space="preserve">Diagnosis </w:t>
      </w:r>
      <w:r w:rsidR="00F31197" w:rsidRPr="00D8223E">
        <w:rPr>
          <w:rFonts w:ascii="Times New Roman" w:hAnsi="Times New Roman" w:cs="Times New Roman"/>
          <w:color w:val="000000" w:themeColor="text1"/>
          <w:sz w:val="24"/>
          <w:szCs w:val="24"/>
        </w:rPr>
        <w:t xml:space="preserve">and </w:t>
      </w:r>
      <w:r w:rsidR="00F31197" w:rsidRPr="00D8223E">
        <w:rPr>
          <w:rStyle w:val="highlight"/>
          <w:rFonts w:ascii="Times New Roman" w:hAnsi="Times New Roman" w:cs="Times New Roman"/>
          <w:color w:val="000000" w:themeColor="text1"/>
          <w:sz w:val="24"/>
          <w:szCs w:val="24"/>
        </w:rPr>
        <w:t>classification</w:t>
      </w:r>
      <w:r w:rsidR="00F31197" w:rsidRPr="00D8223E">
        <w:rPr>
          <w:rStyle w:val="apple-converted-space"/>
          <w:rFonts w:ascii="Times New Roman" w:hAnsi="Times New Roman" w:cs="Times New Roman"/>
          <w:color w:val="000000" w:themeColor="text1"/>
          <w:sz w:val="24"/>
          <w:szCs w:val="24"/>
        </w:rPr>
        <w:t xml:space="preserve"> </w:t>
      </w:r>
      <w:r w:rsidR="00F31197" w:rsidRPr="00D8223E">
        <w:rPr>
          <w:rFonts w:ascii="Times New Roman" w:hAnsi="Times New Roman" w:cs="Times New Roman"/>
          <w:color w:val="000000" w:themeColor="text1"/>
          <w:sz w:val="24"/>
          <w:szCs w:val="24"/>
        </w:rPr>
        <w:t xml:space="preserve">of </w:t>
      </w:r>
      <w:r w:rsidR="00F31197" w:rsidRPr="00D8223E">
        <w:rPr>
          <w:rStyle w:val="highlight"/>
          <w:rFonts w:ascii="Times New Roman" w:hAnsi="Times New Roman" w:cs="Times New Roman"/>
          <w:color w:val="000000" w:themeColor="text1"/>
          <w:sz w:val="24"/>
          <w:szCs w:val="24"/>
        </w:rPr>
        <w:t>diabetes mellitus</w:t>
      </w:r>
      <w:r w:rsidR="00F31197" w:rsidRPr="00D8223E">
        <w:rPr>
          <w:rFonts w:ascii="Times New Roman" w:hAnsi="Times New Roman" w:cs="Times New Roman"/>
          <w:color w:val="000000" w:themeColor="text1"/>
          <w:sz w:val="24"/>
          <w:szCs w:val="24"/>
        </w:rPr>
        <w:t xml:space="preserve">. </w:t>
      </w:r>
      <w:hyperlink r:id="rId41" w:tooltip="Diabetes care." w:history="1">
        <w:r w:rsidR="00F31197" w:rsidRPr="00D8223E">
          <w:rPr>
            <w:rStyle w:val="highlight"/>
            <w:rFonts w:ascii="Times New Roman" w:hAnsi="Times New Roman" w:cs="Times New Roman"/>
            <w:color w:val="000000" w:themeColor="text1"/>
            <w:sz w:val="24"/>
            <w:szCs w:val="24"/>
          </w:rPr>
          <w:t>Diabetes</w:t>
        </w:r>
        <w:r w:rsidR="00F31197" w:rsidRPr="00D8223E">
          <w:rPr>
            <w:rStyle w:val="apple-converted-space"/>
            <w:rFonts w:ascii="Times New Roman" w:hAnsi="Times New Roman" w:cs="Times New Roman"/>
            <w:color w:val="000000" w:themeColor="text1"/>
            <w:sz w:val="24"/>
            <w:szCs w:val="24"/>
          </w:rPr>
          <w:t xml:space="preserve"> </w:t>
        </w:r>
        <w:r w:rsidR="00F31197" w:rsidRPr="00D8223E">
          <w:rPr>
            <w:rStyle w:val="Hyperlink"/>
            <w:rFonts w:ascii="Times New Roman" w:hAnsi="Times New Roman" w:cs="Times New Roman"/>
            <w:color w:val="000000" w:themeColor="text1"/>
            <w:sz w:val="24"/>
            <w:szCs w:val="24"/>
            <w:u w:val="none"/>
          </w:rPr>
          <w:t>Care.</w:t>
        </w:r>
      </w:hyperlink>
      <w:r w:rsidR="00F31197" w:rsidRPr="00D8223E">
        <w:rPr>
          <w:rFonts w:ascii="Times New Roman" w:hAnsi="Times New Roman" w:cs="Times New Roman"/>
          <w:color w:val="000000" w:themeColor="text1"/>
          <w:sz w:val="24"/>
          <w:szCs w:val="24"/>
        </w:rPr>
        <w:t xml:space="preserve"> 2014;37 </w:t>
      </w:r>
      <w:proofErr w:type="spellStart"/>
      <w:r w:rsidR="00F31197" w:rsidRPr="00D8223E">
        <w:rPr>
          <w:rFonts w:ascii="Times New Roman" w:hAnsi="Times New Roman" w:cs="Times New Roman"/>
          <w:color w:val="000000" w:themeColor="text1"/>
          <w:sz w:val="24"/>
          <w:szCs w:val="24"/>
        </w:rPr>
        <w:t>Suppl</w:t>
      </w:r>
      <w:proofErr w:type="spellEnd"/>
      <w:r w:rsidR="00F31197" w:rsidRPr="00D8223E">
        <w:rPr>
          <w:rFonts w:ascii="Times New Roman" w:hAnsi="Times New Roman" w:cs="Times New Roman"/>
          <w:color w:val="000000" w:themeColor="text1"/>
          <w:sz w:val="24"/>
          <w:szCs w:val="24"/>
        </w:rPr>
        <w:t xml:space="preserve"> 1:S81-90. </w:t>
      </w:r>
    </w:p>
    <w:p w:rsidR="00F31197" w:rsidRPr="00D8223E" w:rsidRDefault="00D8223E" w:rsidP="00F31197">
      <w:pPr>
        <w:pStyle w:val="ListParagraph"/>
        <w:numPr>
          <w:ilvl w:val="0"/>
          <w:numId w:val="1"/>
        </w:numPr>
        <w:shd w:val="clear" w:color="auto" w:fill="FFFFFF"/>
        <w:autoSpaceDE w:val="0"/>
        <w:autoSpaceDN w:val="0"/>
        <w:adjustRightInd w:val="0"/>
        <w:spacing w:before="120" w:after="120" w:line="480" w:lineRule="auto"/>
        <w:jc w:val="both"/>
        <w:rPr>
          <w:rFonts w:ascii="Times New Roman" w:hAnsi="Times New Roman" w:cs="Times New Roman"/>
          <w:color w:val="000000" w:themeColor="text1"/>
          <w:sz w:val="24"/>
          <w:szCs w:val="24"/>
        </w:rPr>
      </w:pPr>
      <w:hyperlink r:id="rId42" w:history="1">
        <w:proofErr w:type="spellStart"/>
        <w:r w:rsidR="00F31197" w:rsidRPr="00D8223E">
          <w:rPr>
            <w:rStyle w:val="Hyperlink"/>
            <w:rFonts w:ascii="Times New Roman" w:hAnsi="Times New Roman" w:cs="Times New Roman"/>
            <w:color w:val="000000" w:themeColor="text1"/>
            <w:sz w:val="24"/>
            <w:szCs w:val="24"/>
            <w:u w:val="none"/>
          </w:rPr>
          <w:t>Kalra</w:t>
        </w:r>
        <w:proofErr w:type="spellEnd"/>
        <w:r w:rsidR="00F31197" w:rsidRPr="00D8223E">
          <w:rPr>
            <w:rStyle w:val="Hyperlink"/>
            <w:rFonts w:ascii="Times New Roman" w:hAnsi="Times New Roman" w:cs="Times New Roman"/>
            <w:color w:val="000000" w:themeColor="text1"/>
            <w:sz w:val="24"/>
            <w:szCs w:val="24"/>
            <w:u w:val="none"/>
          </w:rPr>
          <w:t xml:space="preserve"> S</w:t>
        </w:r>
      </w:hyperlink>
      <w:r w:rsidR="00F31197" w:rsidRPr="00D8223E">
        <w:rPr>
          <w:rFonts w:ascii="Times New Roman" w:hAnsi="Times New Roman" w:cs="Times New Roman"/>
          <w:color w:val="000000" w:themeColor="text1"/>
          <w:sz w:val="24"/>
          <w:szCs w:val="24"/>
        </w:rPr>
        <w:t>,</w:t>
      </w:r>
      <w:r w:rsidR="00F31197" w:rsidRPr="00D8223E">
        <w:rPr>
          <w:rStyle w:val="apple-converted-space"/>
          <w:rFonts w:ascii="Times New Roman" w:hAnsi="Times New Roman" w:cs="Times New Roman"/>
          <w:color w:val="000000" w:themeColor="text1"/>
          <w:sz w:val="24"/>
          <w:szCs w:val="24"/>
        </w:rPr>
        <w:t xml:space="preserve"> </w:t>
      </w:r>
      <w:hyperlink r:id="rId43" w:history="1">
        <w:proofErr w:type="spellStart"/>
        <w:r w:rsidR="00F31197" w:rsidRPr="00D8223E">
          <w:rPr>
            <w:rStyle w:val="Hyperlink"/>
            <w:rFonts w:ascii="Times New Roman" w:hAnsi="Times New Roman" w:cs="Times New Roman"/>
            <w:color w:val="000000" w:themeColor="text1"/>
            <w:sz w:val="24"/>
            <w:szCs w:val="24"/>
            <w:u w:val="none"/>
          </w:rPr>
          <w:t>Kalra</w:t>
        </w:r>
        <w:proofErr w:type="spellEnd"/>
        <w:r w:rsidR="00F31197" w:rsidRPr="00D8223E">
          <w:rPr>
            <w:rStyle w:val="Hyperlink"/>
            <w:rFonts w:ascii="Times New Roman" w:hAnsi="Times New Roman" w:cs="Times New Roman"/>
            <w:color w:val="000000" w:themeColor="text1"/>
            <w:sz w:val="24"/>
            <w:szCs w:val="24"/>
            <w:u w:val="none"/>
          </w:rPr>
          <w:t xml:space="preserve"> B</w:t>
        </w:r>
      </w:hyperlink>
      <w:r w:rsidR="00F31197" w:rsidRPr="00D8223E">
        <w:rPr>
          <w:rFonts w:ascii="Times New Roman" w:hAnsi="Times New Roman" w:cs="Times New Roman"/>
          <w:color w:val="000000" w:themeColor="text1"/>
          <w:sz w:val="24"/>
          <w:szCs w:val="24"/>
        </w:rPr>
        <w:t xml:space="preserve">, </w:t>
      </w:r>
      <w:hyperlink r:id="rId44" w:history="1">
        <w:r w:rsidR="00F31197" w:rsidRPr="00D8223E">
          <w:rPr>
            <w:rStyle w:val="Hyperlink"/>
            <w:rFonts w:ascii="Times New Roman" w:hAnsi="Times New Roman" w:cs="Times New Roman"/>
            <w:color w:val="000000" w:themeColor="text1"/>
            <w:sz w:val="24"/>
            <w:szCs w:val="24"/>
            <w:u w:val="none"/>
          </w:rPr>
          <w:t>Sharma A</w:t>
        </w:r>
      </w:hyperlink>
      <w:r w:rsidR="00F31197" w:rsidRPr="00D8223E">
        <w:rPr>
          <w:rFonts w:ascii="Times New Roman" w:hAnsi="Times New Roman" w:cs="Times New Roman"/>
          <w:color w:val="000000" w:themeColor="text1"/>
          <w:sz w:val="24"/>
          <w:szCs w:val="24"/>
        </w:rPr>
        <w:t>.</w:t>
      </w:r>
      <w:r w:rsidR="00F31197" w:rsidRPr="00D8223E">
        <w:rPr>
          <w:rStyle w:val="highlight"/>
          <w:rFonts w:ascii="Times New Roman" w:hAnsi="Times New Roman" w:cs="Times New Roman"/>
          <w:b/>
          <w:color w:val="000000" w:themeColor="text1"/>
          <w:sz w:val="24"/>
          <w:szCs w:val="24"/>
        </w:rPr>
        <w:t xml:space="preserve"> </w:t>
      </w:r>
      <w:r w:rsidR="00F31197" w:rsidRPr="00D8223E">
        <w:rPr>
          <w:rStyle w:val="highlight"/>
          <w:rFonts w:ascii="Times New Roman" w:hAnsi="Times New Roman" w:cs="Times New Roman"/>
          <w:color w:val="000000" w:themeColor="text1"/>
          <w:sz w:val="24"/>
          <w:szCs w:val="24"/>
        </w:rPr>
        <w:t>Prevalence</w:t>
      </w:r>
      <w:r w:rsidR="00F31197" w:rsidRPr="00D8223E">
        <w:rPr>
          <w:rStyle w:val="apple-converted-space"/>
          <w:rFonts w:ascii="Times New Roman" w:hAnsi="Times New Roman" w:cs="Times New Roman"/>
          <w:color w:val="000000" w:themeColor="text1"/>
          <w:sz w:val="24"/>
          <w:szCs w:val="24"/>
        </w:rPr>
        <w:t xml:space="preserve"> </w:t>
      </w:r>
      <w:r w:rsidR="00F31197" w:rsidRPr="00D8223E">
        <w:rPr>
          <w:rFonts w:ascii="Times New Roman" w:hAnsi="Times New Roman" w:cs="Times New Roman"/>
          <w:color w:val="000000" w:themeColor="text1"/>
          <w:sz w:val="24"/>
          <w:szCs w:val="24"/>
        </w:rPr>
        <w:t xml:space="preserve">of </w:t>
      </w:r>
      <w:r w:rsidR="00F31197" w:rsidRPr="00D8223E">
        <w:rPr>
          <w:rStyle w:val="highlight"/>
          <w:rFonts w:ascii="Times New Roman" w:hAnsi="Times New Roman" w:cs="Times New Roman"/>
          <w:color w:val="000000" w:themeColor="text1"/>
          <w:sz w:val="24"/>
          <w:szCs w:val="24"/>
        </w:rPr>
        <w:t>type 1 diabetes mellitus</w:t>
      </w:r>
      <w:r w:rsidR="00F31197" w:rsidRPr="00D8223E">
        <w:rPr>
          <w:rStyle w:val="apple-converted-space"/>
          <w:rFonts w:ascii="Times New Roman" w:hAnsi="Times New Roman" w:cs="Times New Roman"/>
          <w:color w:val="000000" w:themeColor="text1"/>
          <w:sz w:val="24"/>
          <w:szCs w:val="24"/>
        </w:rPr>
        <w:t xml:space="preserve"> </w:t>
      </w:r>
      <w:r w:rsidR="00F31197" w:rsidRPr="00D8223E">
        <w:rPr>
          <w:rFonts w:ascii="Times New Roman" w:hAnsi="Times New Roman" w:cs="Times New Roman"/>
          <w:color w:val="000000" w:themeColor="text1"/>
          <w:sz w:val="24"/>
          <w:szCs w:val="24"/>
        </w:rPr>
        <w:t xml:space="preserve">in </w:t>
      </w:r>
      <w:proofErr w:type="spellStart"/>
      <w:r w:rsidR="00F31197" w:rsidRPr="00D8223E">
        <w:rPr>
          <w:rStyle w:val="highlight"/>
          <w:rFonts w:ascii="Times New Roman" w:hAnsi="Times New Roman" w:cs="Times New Roman"/>
          <w:color w:val="000000" w:themeColor="text1"/>
          <w:sz w:val="24"/>
          <w:szCs w:val="24"/>
        </w:rPr>
        <w:t>Karnal</w:t>
      </w:r>
      <w:proofErr w:type="spellEnd"/>
      <w:r w:rsidR="00F31197" w:rsidRPr="00D8223E">
        <w:rPr>
          <w:rStyle w:val="highlight"/>
          <w:rFonts w:ascii="Times New Roman" w:hAnsi="Times New Roman" w:cs="Times New Roman"/>
          <w:color w:val="000000" w:themeColor="text1"/>
          <w:sz w:val="24"/>
          <w:szCs w:val="24"/>
        </w:rPr>
        <w:t xml:space="preserve"> district</w:t>
      </w:r>
      <w:r w:rsidR="00F31197" w:rsidRPr="00D8223E">
        <w:rPr>
          <w:rFonts w:ascii="Times New Roman" w:hAnsi="Times New Roman" w:cs="Times New Roman"/>
          <w:color w:val="000000" w:themeColor="text1"/>
          <w:sz w:val="24"/>
          <w:szCs w:val="24"/>
        </w:rPr>
        <w:t xml:space="preserve">, </w:t>
      </w:r>
      <w:r w:rsidR="00F31197" w:rsidRPr="00D8223E">
        <w:rPr>
          <w:rStyle w:val="highlight"/>
          <w:rFonts w:ascii="Times New Roman" w:hAnsi="Times New Roman" w:cs="Times New Roman"/>
          <w:color w:val="000000" w:themeColor="text1"/>
          <w:sz w:val="24"/>
          <w:szCs w:val="24"/>
        </w:rPr>
        <w:t>Haryana state</w:t>
      </w:r>
      <w:r w:rsidR="00F31197" w:rsidRPr="00D8223E">
        <w:rPr>
          <w:rFonts w:ascii="Times New Roman" w:hAnsi="Times New Roman" w:cs="Times New Roman"/>
          <w:color w:val="000000" w:themeColor="text1"/>
          <w:sz w:val="24"/>
          <w:szCs w:val="24"/>
        </w:rPr>
        <w:t xml:space="preserve">, </w:t>
      </w:r>
      <w:r w:rsidR="00F31197" w:rsidRPr="00D8223E">
        <w:rPr>
          <w:rStyle w:val="highlight"/>
          <w:rFonts w:ascii="Times New Roman" w:hAnsi="Times New Roman" w:cs="Times New Roman"/>
          <w:color w:val="000000" w:themeColor="text1"/>
          <w:sz w:val="24"/>
          <w:szCs w:val="24"/>
        </w:rPr>
        <w:t>India</w:t>
      </w:r>
      <w:r w:rsidR="00F31197" w:rsidRPr="00D8223E">
        <w:rPr>
          <w:rFonts w:ascii="Times New Roman" w:hAnsi="Times New Roman" w:cs="Times New Roman"/>
          <w:color w:val="000000" w:themeColor="text1"/>
          <w:sz w:val="24"/>
          <w:szCs w:val="24"/>
        </w:rPr>
        <w:t xml:space="preserve">. </w:t>
      </w:r>
      <w:hyperlink r:id="rId45" w:tooltip="Diabetology &amp; metabolic syndrome." w:history="1">
        <w:proofErr w:type="spellStart"/>
        <w:r w:rsidR="00F31197" w:rsidRPr="00D8223E">
          <w:rPr>
            <w:rStyle w:val="Hyperlink"/>
            <w:rFonts w:ascii="Times New Roman" w:hAnsi="Times New Roman" w:cs="Times New Roman"/>
            <w:color w:val="000000" w:themeColor="text1"/>
            <w:sz w:val="24"/>
            <w:szCs w:val="24"/>
            <w:u w:val="none"/>
          </w:rPr>
          <w:t>Diabetol</w:t>
        </w:r>
        <w:proofErr w:type="spellEnd"/>
        <w:r w:rsidR="00F31197" w:rsidRPr="00D8223E">
          <w:rPr>
            <w:rStyle w:val="Hyperlink"/>
            <w:rFonts w:ascii="Times New Roman" w:hAnsi="Times New Roman" w:cs="Times New Roman"/>
            <w:color w:val="000000" w:themeColor="text1"/>
            <w:sz w:val="24"/>
            <w:szCs w:val="24"/>
            <w:u w:val="none"/>
          </w:rPr>
          <w:t xml:space="preserve"> </w:t>
        </w:r>
        <w:proofErr w:type="spellStart"/>
        <w:r w:rsidR="00F31197" w:rsidRPr="00D8223E">
          <w:rPr>
            <w:rStyle w:val="Hyperlink"/>
            <w:rFonts w:ascii="Times New Roman" w:hAnsi="Times New Roman" w:cs="Times New Roman"/>
            <w:color w:val="000000" w:themeColor="text1"/>
            <w:sz w:val="24"/>
            <w:szCs w:val="24"/>
            <w:u w:val="none"/>
          </w:rPr>
          <w:t>Metab</w:t>
        </w:r>
        <w:proofErr w:type="spellEnd"/>
        <w:r w:rsidR="00F31197" w:rsidRPr="00D8223E">
          <w:rPr>
            <w:rStyle w:val="Hyperlink"/>
            <w:rFonts w:ascii="Times New Roman" w:hAnsi="Times New Roman" w:cs="Times New Roman"/>
            <w:color w:val="000000" w:themeColor="text1"/>
            <w:sz w:val="24"/>
            <w:szCs w:val="24"/>
            <w:u w:val="none"/>
          </w:rPr>
          <w:t xml:space="preserve"> </w:t>
        </w:r>
        <w:proofErr w:type="spellStart"/>
        <w:r w:rsidR="00F31197" w:rsidRPr="00D8223E">
          <w:rPr>
            <w:rStyle w:val="Hyperlink"/>
            <w:rFonts w:ascii="Times New Roman" w:hAnsi="Times New Roman" w:cs="Times New Roman"/>
            <w:color w:val="000000" w:themeColor="text1"/>
            <w:sz w:val="24"/>
            <w:szCs w:val="24"/>
            <w:u w:val="none"/>
          </w:rPr>
          <w:t>Syndr</w:t>
        </w:r>
        <w:proofErr w:type="spellEnd"/>
        <w:r w:rsidR="00F31197" w:rsidRPr="00D8223E">
          <w:rPr>
            <w:rStyle w:val="Hyperlink"/>
            <w:rFonts w:ascii="Times New Roman" w:hAnsi="Times New Roman" w:cs="Times New Roman"/>
            <w:color w:val="000000" w:themeColor="text1"/>
            <w:sz w:val="24"/>
            <w:szCs w:val="24"/>
            <w:u w:val="none"/>
          </w:rPr>
          <w:t>.</w:t>
        </w:r>
      </w:hyperlink>
      <w:r w:rsidR="00F31197" w:rsidRPr="00D8223E">
        <w:rPr>
          <w:rFonts w:ascii="Times New Roman" w:hAnsi="Times New Roman" w:cs="Times New Roman"/>
          <w:color w:val="000000" w:themeColor="text1"/>
          <w:sz w:val="24"/>
          <w:szCs w:val="24"/>
        </w:rPr>
        <w:t xml:space="preserve"> 2010;2:14. </w:t>
      </w:r>
    </w:p>
    <w:p w:rsidR="00F31197" w:rsidRPr="00D8223E" w:rsidRDefault="00F31197" w:rsidP="00F31197">
      <w:pPr>
        <w:shd w:val="clear" w:color="auto" w:fill="FFFFFF"/>
        <w:autoSpaceDE w:val="0"/>
        <w:autoSpaceDN w:val="0"/>
        <w:adjustRightInd w:val="0"/>
        <w:spacing w:before="120" w:after="120" w:line="480" w:lineRule="auto"/>
        <w:jc w:val="both"/>
        <w:rPr>
          <w:rFonts w:ascii="Times New Roman" w:hAnsi="Times New Roman" w:cs="Times New Roman"/>
          <w:color w:val="000000" w:themeColor="text1"/>
          <w:sz w:val="24"/>
          <w:szCs w:val="24"/>
        </w:rPr>
      </w:pPr>
    </w:p>
    <w:p w:rsidR="00F31197" w:rsidRPr="00D8223E" w:rsidRDefault="00F31197" w:rsidP="00F31197">
      <w:pPr>
        <w:shd w:val="clear" w:color="auto" w:fill="FFFFFF"/>
        <w:autoSpaceDE w:val="0"/>
        <w:autoSpaceDN w:val="0"/>
        <w:adjustRightInd w:val="0"/>
        <w:spacing w:before="120" w:after="120" w:line="480" w:lineRule="auto"/>
        <w:jc w:val="both"/>
        <w:rPr>
          <w:rFonts w:ascii="Times New Roman" w:hAnsi="Times New Roman" w:cs="Times New Roman"/>
          <w:color w:val="000000" w:themeColor="text1"/>
          <w:sz w:val="24"/>
          <w:szCs w:val="24"/>
        </w:rPr>
      </w:pPr>
    </w:p>
    <w:p w:rsidR="00F31197" w:rsidRPr="00D8223E" w:rsidRDefault="00F31197" w:rsidP="00F31197">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B85399" w:rsidRPr="00D8223E" w:rsidRDefault="00B85399" w:rsidP="00B85399">
      <w:pPr>
        <w:rPr>
          <w:rFonts w:ascii="Times New Roman" w:hAnsi="Times New Roman" w:cs="Times New Roman"/>
          <w:b/>
          <w:color w:val="000000" w:themeColor="text1"/>
          <w:sz w:val="24"/>
        </w:rPr>
      </w:pPr>
    </w:p>
    <w:sectPr w:rsidR="00B85399" w:rsidRPr="00D8223E" w:rsidSect="00340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342"/>
    <w:multiLevelType w:val="hybridMultilevel"/>
    <w:tmpl w:val="B930F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6F4701"/>
    <w:multiLevelType w:val="hybridMultilevel"/>
    <w:tmpl w:val="72CC768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55558C"/>
    <w:multiLevelType w:val="hybridMultilevel"/>
    <w:tmpl w:val="5FB62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A82025"/>
    <w:multiLevelType w:val="hybridMultilevel"/>
    <w:tmpl w:val="C2C8F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C162830"/>
    <w:multiLevelType w:val="hybridMultilevel"/>
    <w:tmpl w:val="F5DC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29A019C"/>
    <w:multiLevelType w:val="hybridMultilevel"/>
    <w:tmpl w:val="CF0EC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99"/>
    <w:rsid w:val="00020792"/>
    <w:rsid w:val="00024A4F"/>
    <w:rsid w:val="00073A7C"/>
    <w:rsid w:val="00093BAF"/>
    <w:rsid w:val="001144FD"/>
    <w:rsid w:val="00140243"/>
    <w:rsid w:val="00143E7A"/>
    <w:rsid w:val="0016643A"/>
    <w:rsid w:val="001A65B3"/>
    <w:rsid w:val="001B5802"/>
    <w:rsid w:val="0023764D"/>
    <w:rsid w:val="00251880"/>
    <w:rsid w:val="002A2880"/>
    <w:rsid w:val="002D584A"/>
    <w:rsid w:val="00326C0C"/>
    <w:rsid w:val="00326D11"/>
    <w:rsid w:val="00340537"/>
    <w:rsid w:val="003F33E5"/>
    <w:rsid w:val="00410F74"/>
    <w:rsid w:val="004415E8"/>
    <w:rsid w:val="004B3410"/>
    <w:rsid w:val="004C570A"/>
    <w:rsid w:val="00512CE5"/>
    <w:rsid w:val="005A13CA"/>
    <w:rsid w:val="005E07A6"/>
    <w:rsid w:val="005F57E2"/>
    <w:rsid w:val="0060317D"/>
    <w:rsid w:val="00617BE5"/>
    <w:rsid w:val="00702E29"/>
    <w:rsid w:val="007B3809"/>
    <w:rsid w:val="007F32D6"/>
    <w:rsid w:val="0083351D"/>
    <w:rsid w:val="00873BA0"/>
    <w:rsid w:val="00892BEA"/>
    <w:rsid w:val="008D34FA"/>
    <w:rsid w:val="009863BE"/>
    <w:rsid w:val="009921D2"/>
    <w:rsid w:val="009E57B2"/>
    <w:rsid w:val="009E6E85"/>
    <w:rsid w:val="00A1418E"/>
    <w:rsid w:val="00A14981"/>
    <w:rsid w:val="00A15CDD"/>
    <w:rsid w:val="00A2586B"/>
    <w:rsid w:val="00A4270F"/>
    <w:rsid w:val="00A54FCF"/>
    <w:rsid w:val="00AA6BE9"/>
    <w:rsid w:val="00AF3DB0"/>
    <w:rsid w:val="00B22B84"/>
    <w:rsid w:val="00B34D6D"/>
    <w:rsid w:val="00B85399"/>
    <w:rsid w:val="00BA03B0"/>
    <w:rsid w:val="00BA7975"/>
    <w:rsid w:val="00BC234A"/>
    <w:rsid w:val="00C24CEA"/>
    <w:rsid w:val="00C320A6"/>
    <w:rsid w:val="00C820FC"/>
    <w:rsid w:val="00C92EE3"/>
    <w:rsid w:val="00CB11F1"/>
    <w:rsid w:val="00CF4D78"/>
    <w:rsid w:val="00D24CF7"/>
    <w:rsid w:val="00D45AF0"/>
    <w:rsid w:val="00D8223E"/>
    <w:rsid w:val="00D92992"/>
    <w:rsid w:val="00DC0955"/>
    <w:rsid w:val="00DC3558"/>
    <w:rsid w:val="00DC4957"/>
    <w:rsid w:val="00E17AED"/>
    <w:rsid w:val="00E25C12"/>
    <w:rsid w:val="00E33477"/>
    <w:rsid w:val="00E33E02"/>
    <w:rsid w:val="00EA0DF8"/>
    <w:rsid w:val="00EF37FC"/>
    <w:rsid w:val="00F00DD8"/>
    <w:rsid w:val="00F15494"/>
    <w:rsid w:val="00F22D78"/>
    <w:rsid w:val="00F25786"/>
    <w:rsid w:val="00F31197"/>
    <w:rsid w:val="00F35832"/>
    <w:rsid w:val="00F52E37"/>
    <w:rsid w:val="00F614CC"/>
    <w:rsid w:val="00FD3A7A"/>
    <w:rsid w:val="00FD4D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16D5F-DAB3-0F4E-A6EE-C1061A5C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537"/>
  </w:style>
  <w:style w:type="paragraph" w:styleId="Heading1">
    <w:name w:val="heading 1"/>
    <w:basedOn w:val="Normal"/>
    <w:link w:val="Heading1Char"/>
    <w:uiPriority w:val="9"/>
    <w:qFormat/>
    <w:rsid w:val="001A6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7">
    <w:name w:val="A17"/>
    <w:uiPriority w:val="99"/>
    <w:rsid w:val="00B85399"/>
    <w:rPr>
      <w:rFonts w:cs="Helvetica 55 Roman"/>
      <w:color w:val="000000"/>
      <w:sz w:val="12"/>
      <w:szCs w:val="12"/>
    </w:rPr>
  </w:style>
  <w:style w:type="character" w:customStyle="1" w:styleId="ref-vol">
    <w:name w:val="ref-vol"/>
    <w:rsid w:val="00B85399"/>
    <w:rPr>
      <w:lang w:val="it-IT"/>
    </w:rPr>
  </w:style>
  <w:style w:type="character" w:customStyle="1" w:styleId="apple-converted-space">
    <w:name w:val="apple-converted-space"/>
    <w:rsid w:val="00B85399"/>
    <w:rPr>
      <w:lang w:val="en-US"/>
    </w:rPr>
  </w:style>
  <w:style w:type="character" w:styleId="Hyperlink">
    <w:name w:val="Hyperlink"/>
    <w:basedOn w:val="DefaultParagraphFont"/>
    <w:uiPriority w:val="99"/>
    <w:unhideWhenUsed/>
    <w:rsid w:val="00F31197"/>
    <w:rPr>
      <w:color w:val="0000FF"/>
      <w:u w:val="single"/>
    </w:rPr>
  </w:style>
  <w:style w:type="paragraph" w:styleId="ListParagraph">
    <w:name w:val="List Paragraph"/>
    <w:basedOn w:val="Normal"/>
    <w:uiPriority w:val="34"/>
    <w:qFormat/>
    <w:rsid w:val="00F31197"/>
    <w:pPr>
      <w:ind w:left="720"/>
      <w:contextualSpacing/>
    </w:pPr>
  </w:style>
  <w:style w:type="character" w:customStyle="1" w:styleId="highlight">
    <w:name w:val="highlight"/>
    <w:basedOn w:val="DefaultParagraphFont"/>
    <w:rsid w:val="00F31197"/>
  </w:style>
  <w:style w:type="character" w:customStyle="1" w:styleId="Hyperlink1">
    <w:name w:val="Hyperlink.1"/>
    <w:basedOn w:val="DefaultParagraphFont"/>
    <w:rsid w:val="00F31197"/>
    <w:rPr>
      <w:color w:val="000000"/>
      <w:u w:color="000000"/>
      <w:lang w:val="it-IT"/>
    </w:rPr>
  </w:style>
  <w:style w:type="paragraph" w:styleId="BalloonText">
    <w:name w:val="Balloon Text"/>
    <w:basedOn w:val="Normal"/>
    <w:link w:val="BalloonTextChar"/>
    <w:uiPriority w:val="99"/>
    <w:semiHidden/>
    <w:unhideWhenUsed/>
    <w:rsid w:val="00DC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57"/>
    <w:rPr>
      <w:rFonts w:ascii="Tahoma" w:hAnsi="Tahoma" w:cs="Tahoma"/>
      <w:sz w:val="16"/>
      <w:szCs w:val="16"/>
    </w:rPr>
  </w:style>
  <w:style w:type="table" w:customStyle="1" w:styleId="LightGrid1">
    <w:name w:val="Light Grid1"/>
    <w:basedOn w:val="TableNormal"/>
    <w:uiPriority w:val="62"/>
    <w:rsid w:val="00DC4957"/>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C23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65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2131">
      <w:bodyDiv w:val="1"/>
      <w:marLeft w:val="0"/>
      <w:marRight w:val="0"/>
      <w:marTop w:val="0"/>
      <w:marBottom w:val="0"/>
      <w:divBdr>
        <w:top w:val="none" w:sz="0" w:space="0" w:color="auto"/>
        <w:left w:val="none" w:sz="0" w:space="0" w:color="auto"/>
        <w:bottom w:val="none" w:sz="0" w:space="0" w:color="auto"/>
        <w:right w:val="none" w:sz="0" w:space="0" w:color="auto"/>
      </w:divBdr>
    </w:div>
    <w:div w:id="14477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ury%20YA%5BAuthor%5D&amp;cauthor=true&amp;cauthor_uid=26642062" TargetMode="External"/><Relationship Id="rId18" Type="http://schemas.openxmlformats.org/officeDocument/2006/relationships/hyperlink" Target="https://www.ncbi.nlm.nih.gov/pubmed/?term=Sarin%20SK%5BAuthor%5D&amp;cauthor=true&amp;cauthor_uid=26202751" TargetMode="External"/><Relationship Id="rId26" Type="http://schemas.openxmlformats.org/officeDocument/2006/relationships/hyperlink" Target="http://www.ncbi.nlm.nih.gov/pubmed/?term=Practice%2520Parameters%2520Committee%2520of%2520the%2520American%2520College%2520of%2520Gastroenterology%255BCorporate%2520Author%255D" TargetMode="External"/><Relationship Id="rId39" Type="http://schemas.openxmlformats.org/officeDocument/2006/relationships/hyperlink" Target="http://www.icmr.nic.in/guidelines/ICMR%20Guideline%20on%20Celiac%20Disease-Dec%202016.pdf" TargetMode="External"/><Relationship Id="rId21" Type="http://schemas.openxmlformats.org/officeDocument/2006/relationships/hyperlink" Target="https://www.ncbi.nlm.nih.gov/pubmed/?term=APASL%252525252520ACLF%252525252520Working%252525252520Party%25252525255BCorporate%252525252520Author%25252525255D" TargetMode="External"/><Relationship Id="rId34" Type="http://schemas.openxmlformats.org/officeDocument/2006/relationships/hyperlink" Target="https://www.ncbi.nlm.nih.gov/pubmed/?term=Husby%20S%5BAuthor%5D&amp;cauthor=true&amp;cauthor_uid=22197856" TargetMode="External"/><Relationship Id="rId42" Type="http://schemas.openxmlformats.org/officeDocument/2006/relationships/hyperlink" Target="https://www.ncbi.nlm.nih.gov/pubmed/?term=Kalra%20S%5BAuthor%5D&amp;cauthor=true&amp;cauthor_uid=20214794" TargetMode="External"/><Relationship Id="rId47"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ncbi.nlm.nih.gov/pubmed/?term=Bucuvalas%20J%5BAuthor%5D&amp;cauthor=true&amp;cauthor_uid=16737880" TargetMode="External"/><Relationship Id="rId29" Type="http://schemas.openxmlformats.org/officeDocument/2006/relationships/hyperlink" Target="http://www.ncbi.nlm.nih.gov/pubmed/?term=Sarin+S+et+al.+Hepatology+1992%25CD%25BE+16%253A%253A1343%25C2%25AD134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pubmed/?term=Tiniakos%20DG%5BAuthor%5D&amp;cauthor=true&amp;cauthor_uid=26642062" TargetMode="External"/><Relationship Id="rId24" Type="http://schemas.openxmlformats.org/officeDocument/2006/relationships/hyperlink" Target="http://www.ncbi.nlm.nih.gov/pubmed/?term=Grace%2520ND%255BAuthor%255D&amp;cauthor=true&amp;cauthor_uid=17879356" TargetMode="External"/><Relationship Id="rId32" Type="http://schemas.openxmlformats.org/officeDocument/2006/relationships/hyperlink" Target="http://www.ncbi.nlm.nih.gov/pubmed/?term=Seydao%C4%9Flu%20G%5BAuthor%5D&amp;cauthor=true&amp;cauthor_uid=19409745" TargetMode="External"/><Relationship Id="rId37" Type="http://schemas.openxmlformats.org/officeDocument/2006/relationships/hyperlink" Target="https://www.ncbi.nlm.nih.gov/pubmed/?term=European%20Society%20for%20Pediatric%20Gastroenterology%2C%20Hepatology%2C%20and%20Nutrition%5BCorporate%20Author%5D" TargetMode="External"/><Relationship Id="rId40" Type="http://schemas.openxmlformats.org/officeDocument/2006/relationships/hyperlink" Target="https://www.ncbi.nlm.nih.gov/pubmed/?term=American%20Diabetes%20Association%5BCorporate%20Author%5D" TargetMode="External"/><Relationship Id="rId45" Type="http://schemas.openxmlformats.org/officeDocument/2006/relationships/hyperlink" Target="https://www.ncbi.nlm.nih.gov/pubmed/20214794" TargetMode="External"/><Relationship Id="rId5" Type="http://schemas.openxmlformats.org/officeDocument/2006/relationships/image" Target="media/image1.jpeg"/><Relationship Id="rId15" Type="http://schemas.openxmlformats.org/officeDocument/2006/relationships/hyperlink" Target="https://www.ncbi.nlm.nih.gov/pubmed/?term=Shneider%20BL%5BAuthor%5D&amp;cauthor=true&amp;cauthor_uid=16737880" TargetMode="External"/><Relationship Id="rId23" Type="http://schemas.openxmlformats.org/officeDocument/2006/relationships/hyperlink" Target="http://www.ncbi.nlm.nih.gov/pubmed/?term=Garcia-Tsao%2520G%255BAuthor%255D&amp;cauthor=true&amp;cauthor_uid=17879356" TargetMode="External"/><Relationship Id="rId28" Type="http://schemas.openxmlformats.org/officeDocument/2006/relationships/hyperlink" Target="http://www.ncbi.nlm.nih.gov/pubmed/?term=Sarin%2520SK%255BAuthor%255D&amp;cauthor=true&amp;cauthor_uid=1446890" TargetMode="External"/><Relationship Id="rId36" Type="http://schemas.openxmlformats.org/officeDocument/2006/relationships/hyperlink" Target="https://www.ncbi.nlm.nih.gov/pubmed/?term=ESPGHAN%20Gastroenterology%20Committee%5BCorporate%20Author%5D" TargetMode="External"/><Relationship Id="rId10" Type="http://schemas.openxmlformats.org/officeDocument/2006/relationships/hyperlink" Target="https://www.ncbi.nlm.nih.gov/pubmed/?term=Peters%20MG%5BAuthor%5D&amp;cauthor=true&amp;cauthor_uid=28106105" TargetMode="External"/><Relationship Id="rId19" Type="http://schemas.openxmlformats.org/officeDocument/2006/relationships/hyperlink" Target="https://www.ncbi.nlm.nih.gov/pubmed/?term=Kedarisetty%20CK%5BAuthor%5D&amp;cauthor=true&amp;cauthor_uid=26202751" TargetMode="External"/><Relationship Id="rId31" Type="http://schemas.openxmlformats.org/officeDocument/2006/relationships/hyperlink" Target="http://www.ncbi.nlm.nih.gov/pubmed/?term=Gunesli%20A%5BAuthor%5D&amp;cauthor=true&amp;cauthor_uid=19409745" TargetMode="External"/><Relationship Id="rId44" Type="http://schemas.openxmlformats.org/officeDocument/2006/relationships/hyperlink" Target="https://www.ncbi.nlm.nih.gov/pubmed/?term=Sharma%20A%5BAuthor%5D&amp;cauthor=true&amp;cauthor_uid=20214794" TargetMode="External"/><Relationship Id="rId4" Type="http://schemas.openxmlformats.org/officeDocument/2006/relationships/webSettings" Target="webSettings.xml"/><Relationship Id="rId9" Type="http://schemas.openxmlformats.org/officeDocument/2006/relationships/hyperlink" Target="https://www.ncbi.nlm.nih.gov/pubmed/?term=Balitzer%20D%5BAuthor%5D&amp;cauthor=true&amp;cauthor_uid=28106105" TargetMode="External"/><Relationship Id="rId14" Type="http://schemas.openxmlformats.org/officeDocument/2006/relationships/hyperlink" Target="https://www.ncbi.nlm.nih.gov/pubmed/?term=Squires%20RH%20Jr%5BAuthor%5D&amp;cauthor=true&amp;cauthor_uid=16737880" TargetMode="External"/><Relationship Id="rId22" Type="http://schemas.openxmlformats.org/officeDocument/2006/relationships/hyperlink" Target="https://www.ncbi.nlm.nih.gov/pubmed/26202751" TargetMode="External"/><Relationship Id="rId27" Type="http://schemas.openxmlformats.org/officeDocument/2006/relationships/hyperlink" Target="http://www.ncbi.nlm.nih.gov/pubmed/17879356" TargetMode="External"/><Relationship Id="rId30" Type="http://schemas.openxmlformats.org/officeDocument/2006/relationships/hyperlink" Target="http://www.ncbi.nlm.nih.gov/pubmed/?term=Soyupak%20S%5BAuthor%5D&amp;cauthor=true&amp;cauthor_uid=19409745" TargetMode="External"/><Relationship Id="rId35" Type="http://schemas.openxmlformats.org/officeDocument/2006/relationships/hyperlink" Target="https://www.ncbi.nlm.nih.gov/pubmed/?term=ESPGHAN%20Working%20Group%20on%20Coeliac%20Disease%20Diagnosis%5BCorporate%20Author%5D" TargetMode="External"/><Relationship Id="rId43" Type="http://schemas.openxmlformats.org/officeDocument/2006/relationships/hyperlink" Target="https://www.ncbi.nlm.nih.gov/pubmed/?term=Kalra%20B%5BAuthor%5D&amp;cauthor=true&amp;cauthor_uid=20214794"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www.ncbi.nlm.nih.gov/pubmed/?term=Brain%20JG%5BAuthor%5D&amp;cauthor=true&amp;cauthor_uid=26642062" TargetMode="External"/><Relationship Id="rId17" Type="http://schemas.openxmlformats.org/officeDocument/2006/relationships/hyperlink" Target="http://www.ncbi.nlm.nih.gov/pubmed/16737880" TargetMode="External"/><Relationship Id="rId25" Type="http://schemas.openxmlformats.org/officeDocument/2006/relationships/hyperlink" Target="http://www.ncbi.nlm.nih.gov/pubmed/?term=Practice%2520Guidelines%2520Committee%2520of%2520the%2520American%2520Association%2520for%2520the%2520Study%2520of%2520Liver%2520Diseases%255BCorporate%2520Author%255D" TargetMode="External"/><Relationship Id="rId33" Type="http://schemas.openxmlformats.org/officeDocument/2006/relationships/hyperlink" Target="http://www.ncbi.nlm.nih.gov/pubmed/19409745" TargetMode="External"/><Relationship Id="rId38" Type="http://schemas.openxmlformats.org/officeDocument/2006/relationships/hyperlink" Target="https://www.ncbi.nlm.nih.gov/pubmed/?term=European+Society+for+Pediatric+Gastroenterology%2C+Hepatology%2C+and+Nutrition+Guidelines+for+the+Diagnosis+of+Coeliac+Disease" TargetMode="External"/><Relationship Id="rId46" Type="http://schemas.openxmlformats.org/officeDocument/2006/relationships/fontTable" Target="fontTable.xml"/><Relationship Id="rId20" Type="http://schemas.openxmlformats.org/officeDocument/2006/relationships/hyperlink" Target="https://www.ncbi.nlm.nih.gov/pubmed/?term=Abbas%20Z%5BAuthor%5D&amp;cauthor=true&amp;cauthor_uid=26202751" TargetMode="External"/><Relationship Id="rId41" Type="http://schemas.openxmlformats.org/officeDocument/2006/relationships/hyperlink" Target="https://www.ncbi.nlm.nih.gov/pubmed/24357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Phyllis Barr</cp:lastModifiedBy>
  <cp:revision>2</cp:revision>
  <dcterms:created xsi:type="dcterms:W3CDTF">2018-05-28T23:42:00Z</dcterms:created>
  <dcterms:modified xsi:type="dcterms:W3CDTF">2018-05-28T23:42:00Z</dcterms:modified>
</cp:coreProperties>
</file>