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D5" w:rsidRDefault="00F75CD5" w:rsidP="00F75CD5">
      <w:pPr>
        <w:spacing w:line="360" w:lineRule="auto"/>
        <w:jc w:val="both"/>
        <w:rPr>
          <w:b/>
          <w:bCs/>
          <w:sz w:val="24"/>
          <w:szCs w:val="24"/>
          <w:lang w:bidi="he-IL"/>
        </w:rPr>
      </w:pPr>
      <w:bookmarkStart w:id="0" w:name="_Hlk508819568"/>
      <w:bookmarkStart w:id="1" w:name="_GoBack"/>
      <w:bookmarkEnd w:id="1"/>
      <w:r w:rsidRPr="00F35D50">
        <w:rPr>
          <w:b/>
          <w:bCs/>
          <w:sz w:val="24"/>
          <w:szCs w:val="24"/>
          <w:lang w:bidi="he-IL"/>
        </w:rPr>
        <w:t>Table</w:t>
      </w:r>
      <w:r>
        <w:rPr>
          <w:b/>
          <w:bCs/>
          <w:sz w:val="24"/>
          <w:szCs w:val="24"/>
          <w:lang w:bidi="he-IL"/>
        </w:rPr>
        <w:t>, Supplemental Digital Content 1</w:t>
      </w:r>
      <w:bookmarkEnd w:id="0"/>
      <w:r w:rsidRPr="00F35D50">
        <w:rPr>
          <w:b/>
          <w:bCs/>
          <w:sz w:val="24"/>
          <w:szCs w:val="24"/>
          <w:lang w:bidi="he-IL"/>
        </w:rPr>
        <w:t xml:space="preserve">: </w:t>
      </w:r>
    </w:p>
    <w:p w:rsidR="00F75CD5" w:rsidRPr="00CF1893" w:rsidRDefault="00380CE6" w:rsidP="00F75CD5">
      <w:pPr>
        <w:spacing w:line="360" w:lineRule="auto"/>
        <w:jc w:val="both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Analysi</w:t>
      </w:r>
      <w:r w:rsidR="00F75CD5" w:rsidRPr="00CF1893">
        <w:rPr>
          <w:sz w:val="24"/>
          <w:szCs w:val="24"/>
          <w:lang w:bidi="he-IL"/>
        </w:rPr>
        <w:t>s of IFX-TL versus same time-point clinical and biomarker activity status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3251"/>
        <w:gridCol w:w="2801"/>
        <w:gridCol w:w="1008"/>
      </w:tblGrid>
      <w:tr w:rsidR="00F75CD5" w:rsidTr="00DC6D0C">
        <w:trPr>
          <w:jc w:val="center"/>
        </w:trPr>
        <w:tc>
          <w:tcPr>
            <w:tcW w:w="1668" w:type="dxa"/>
            <w:vAlign w:val="center"/>
          </w:tcPr>
          <w:p w:rsidR="00F75CD5" w:rsidRDefault="00F75CD5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</w:p>
        </w:tc>
        <w:tc>
          <w:tcPr>
            <w:tcW w:w="3251" w:type="dxa"/>
            <w:vAlign w:val="center"/>
          </w:tcPr>
          <w:p w:rsidR="00F75CD5" w:rsidRDefault="00F75CD5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Disease status</w:t>
            </w:r>
          </w:p>
        </w:tc>
        <w:tc>
          <w:tcPr>
            <w:tcW w:w="0" w:type="auto"/>
            <w:vAlign w:val="center"/>
          </w:tcPr>
          <w:p w:rsidR="00F75CD5" w:rsidRDefault="00F75CD5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 xml:space="preserve">Median IFX-TL </w:t>
            </w:r>
            <w:r w:rsidRPr="00687402">
              <w:rPr>
                <w:sz w:val="24"/>
                <w:szCs w:val="24"/>
                <w:lang w:bidi="he-IL"/>
              </w:rPr>
              <w:t>µ</w:t>
            </w:r>
            <w:r w:rsidRPr="00687402">
              <w:rPr>
                <w:sz w:val="24"/>
                <w:szCs w:val="24"/>
                <w:lang w:bidi="he-IL"/>
              </w:rPr>
              <w:t>g/ml</w:t>
            </w:r>
            <w:r>
              <w:rPr>
                <w:sz w:val="24"/>
                <w:szCs w:val="24"/>
                <w:lang w:bidi="he-IL"/>
              </w:rPr>
              <w:t xml:space="preserve"> (IQR)</w:t>
            </w:r>
          </w:p>
        </w:tc>
        <w:tc>
          <w:tcPr>
            <w:tcW w:w="0" w:type="auto"/>
            <w:vAlign w:val="center"/>
          </w:tcPr>
          <w:p w:rsidR="00F75CD5" w:rsidRDefault="00F75CD5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P value</w:t>
            </w:r>
          </w:p>
        </w:tc>
      </w:tr>
      <w:tr w:rsidR="00F75CD5" w:rsidTr="00DC6D0C">
        <w:trPr>
          <w:jc w:val="center"/>
        </w:trPr>
        <w:tc>
          <w:tcPr>
            <w:tcW w:w="1668" w:type="dxa"/>
            <w:vMerge w:val="restart"/>
            <w:vAlign w:val="center"/>
          </w:tcPr>
          <w:p w:rsidR="00F75CD5" w:rsidRDefault="00F75CD5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Maintenance IFX-TL</w:t>
            </w:r>
          </w:p>
        </w:tc>
        <w:tc>
          <w:tcPr>
            <w:tcW w:w="3251" w:type="dxa"/>
            <w:vAlign w:val="center"/>
          </w:tcPr>
          <w:p w:rsidR="00F75CD5" w:rsidRDefault="00F75CD5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Clinical Remission</w:t>
            </w:r>
          </w:p>
        </w:tc>
        <w:tc>
          <w:tcPr>
            <w:tcW w:w="0" w:type="auto"/>
            <w:vAlign w:val="center"/>
          </w:tcPr>
          <w:p w:rsidR="00F75CD5" w:rsidRDefault="00F75CD5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 w:rsidRPr="006B2D4F">
              <w:rPr>
                <w:sz w:val="24"/>
                <w:szCs w:val="24"/>
                <w:lang w:bidi="he-IL"/>
              </w:rPr>
              <w:t>4.00 (3.7-4.39)</w:t>
            </w:r>
          </w:p>
        </w:tc>
        <w:tc>
          <w:tcPr>
            <w:tcW w:w="0" w:type="auto"/>
            <w:vMerge w:val="restart"/>
            <w:vAlign w:val="center"/>
          </w:tcPr>
          <w:p w:rsidR="00F75CD5" w:rsidRPr="00A2310B" w:rsidRDefault="00F75CD5" w:rsidP="00DC6D0C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he-IL"/>
              </w:rPr>
            </w:pPr>
            <w:r w:rsidRPr="00A2310B">
              <w:rPr>
                <w:b/>
                <w:bCs/>
                <w:sz w:val="24"/>
                <w:szCs w:val="24"/>
                <w:lang w:bidi="he-IL"/>
              </w:rPr>
              <w:t>&lt;0.0001</w:t>
            </w:r>
          </w:p>
        </w:tc>
      </w:tr>
      <w:tr w:rsidR="00F75CD5" w:rsidTr="00DC6D0C">
        <w:trPr>
          <w:jc w:val="center"/>
        </w:trPr>
        <w:tc>
          <w:tcPr>
            <w:tcW w:w="1668" w:type="dxa"/>
            <w:vMerge/>
            <w:vAlign w:val="center"/>
          </w:tcPr>
          <w:p w:rsidR="00F75CD5" w:rsidRDefault="00F75CD5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</w:p>
        </w:tc>
        <w:tc>
          <w:tcPr>
            <w:tcW w:w="3251" w:type="dxa"/>
            <w:vAlign w:val="center"/>
          </w:tcPr>
          <w:p w:rsidR="00F75CD5" w:rsidRDefault="00F75CD5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Clinically active disease</w:t>
            </w:r>
          </w:p>
        </w:tc>
        <w:tc>
          <w:tcPr>
            <w:tcW w:w="0" w:type="auto"/>
            <w:vAlign w:val="center"/>
          </w:tcPr>
          <w:p w:rsidR="00F75CD5" w:rsidRDefault="00F75CD5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 w:rsidRPr="006B2D4F">
              <w:rPr>
                <w:sz w:val="24"/>
                <w:szCs w:val="24"/>
                <w:lang w:bidi="he-IL"/>
              </w:rPr>
              <w:t>2.25 (1.7-2.79)</w:t>
            </w:r>
          </w:p>
        </w:tc>
        <w:tc>
          <w:tcPr>
            <w:tcW w:w="0" w:type="auto"/>
            <w:vMerge/>
            <w:vAlign w:val="center"/>
          </w:tcPr>
          <w:p w:rsidR="00F75CD5" w:rsidRDefault="00F75CD5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</w:p>
        </w:tc>
      </w:tr>
      <w:tr w:rsidR="00F75CD5" w:rsidTr="00DC6D0C">
        <w:trPr>
          <w:jc w:val="center"/>
        </w:trPr>
        <w:tc>
          <w:tcPr>
            <w:tcW w:w="1668" w:type="dxa"/>
            <w:vMerge/>
            <w:vAlign w:val="center"/>
          </w:tcPr>
          <w:p w:rsidR="00F75CD5" w:rsidRDefault="00F75CD5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</w:p>
        </w:tc>
        <w:tc>
          <w:tcPr>
            <w:tcW w:w="3251" w:type="dxa"/>
            <w:vAlign w:val="center"/>
          </w:tcPr>
          <w:p w:rsidR="00F75CD5" w:rsidRDefault="00F75CD5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 xml:space="preserve">Normal CRP </w:t>
            </w:r>
          </w:p>
        </w:tc>
        <w:tc>
          <w:tcPr>
            <w:tcW w:w="0" w:type="auto"/>
            <w:vAlign w:val="center"/>
          </w:tcPr>
          <w:p w:rsidR="00F75CD5" w:rsidRDefault="00F75CD5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 w:rsidRPr="006B2D4F">
              <w:rPr>
                <w:sz w:val="24"/>
                <w:szCs w:val="24"/>
                <w:lang w:bidi="he-IL"/>
              </w:rPr>
              <w:t>3.3 (2.8-3.85)</w:t>
            </w:r>
          </w:p>
        </w:tc>
        <w:tc>
          <w:tcPr>
            <w:tcW w:w="0" w:type="auto"/>
            <w:vMerge w:val="restart"/>
            <w:vAlign w:val="center"/>
          </w:tcPr>
          <w:p w:rsidR="00F75CD5" w:rsidRPr="00A2310B" w:rsidRDefault="00F75CD5" w:rsidP="00DC6D0C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he-IL"/>
              </w:rPr>
            </w:pPr>
            <w:r w:rsidRPr="00A2310B">
              <w:rPr>
                <w:b/>
                <w:bCs/>
                <w:sz w:val="24"/>
                <w:szCs w:val="24"/>
                <w:lang w:bidi="he-IL"/>
              </w:rPr>
              <w:t>0.02</w:t>
            </w:r>
          </w:p>
        </w:tc>
      </w:tr>
      <w:tr w:rsidR="00F75CD5" w:rsidTr="00DC6D0C">
        <w:trPr>
          <w:jc w:val="center"/>
        </w:trPr>
        <w:tc>
          <w:tcPr>
            <w:tcW w:w="1668" w:type="dxa"/>
            <w:vMerge/>
            <w:vAlign w:val="center"/>
          </w:tcPr>
          <w:p w:rsidR="00F75CD5" w:rsidRDefault="00F75CD5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</w:p>
        </w:tc>
        <w:tc>
          <w:tcPr>
            <w:tcW w:w="3251" w:type="dxa"/>
            <w:vAlign w:val="center"/>
          </w:tcPr>
          <w:p w:rsidR="00F75CD5" w:rsidRDefault="00F75CD5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Elevated CRP</w:t>
            </w:r>
          </w:p>
        </w:tc>
        <w:tc>
          <w:tcPr>
            <w:tcW w:w="0" w:type="auto"/>
            <w:vAlign w:val="center"/>
          </w:tcPr>
          <w:p w:rsidR="00F75CD5" w:rsidRDefault="00F75CD5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2.7 (2.2-3.6)</w:t>
            </w:r>
          </w:p>
        </w:tc>
        <w:tc>
          <w:tcPr>
            <w:tcW w:w="0" w:type="auto"/>
            <w:vMerge/>
            <w:vAlign w:val="center"/>
          </w:tcPr>
          <w:p w:rsidR="00F75CD5" w:rsidRDefault="00F75CD5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</w:p>
        </w:tc>
      </w:tr>
      <w:tr w:rsidR="00F75CD5" w:rsidTr="00DC6D0C">
        <w:trPr>
          <w:jc w:val="center"/>
        </w:trPr>
        <w:tc>
          <w:tcPr>
            <w:tcW w:w="1668" w:type="dxa"/>
            <w:vMerge w:val="restart"/>
            <w:tcBorders>
              <w:top w:val="single" w:sz="12" w:space="0" w:color="auto"/>
            </w:tcBorders>
            <w:vAlign w:val="center"/>
          </w:tcPr>
          <w:p w:rsidR="00F75CD5" w:rsidRDefault="00F75CD5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IFX-TL throughout therapy *</w:t>
            </w:r>
          </w:p>
        </w:tc>
        <w:tc>
          <w:tcPr>
            <w:tcW w:w="3251" w:type="dxa"/>
            <w:tcBorders>
              <w:top w:val="single" w:sz="12" w:space="0" w:color="auto"/>
            </w:tcBorders>
            <w:vAlign w:val="center"/>
          </w:tcPr>
          <w:p w:rsidR="00F75CD5" w:rsidRDefault="00F75CD5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Clinical Remission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75CD5" w:rsidRPr="00BA09C1" w:rsidRDefault="00F75CD5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 w:rsidRPr="006B2D4F">
              <w:rPr>
                <w:sz w:val="24"/>
                <w:szCs w:val="24"/>
              </w:rPr>
              <w:t>4.3 (3.9-4.6)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F75CD5" w:rsidRDefault="00F75CD5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 w:rsidRPr="00A2310B">
              <w:rPr>
                <w:b/>
                <w:bCs/>
                <w:sz w:val="24"/>
                <w:szCs w:val="24"/>
              </w:rPr>
              <w:t>&lt;0.0001</w:t>
            </w:r>
          </w:p>
        </w:tc>
      </w:tr>
      <w:tr w:rsidR="00F75CD5" w:rsidTr="00DC6D0C">
        <w:trPr>
          <w:jc w:val="center"/>
        </w:trPr>
        <w:tc>
          <w:tcPr>
            <w:tcW w:w="1668" w:type="dxa"/>
            <w:vMerge/>
            <w:vAlign w:val="center"/>
          </w:tcPr>
          <w:p w:rsidR="00F75CD5" w:rsidRDefault="00F75CD5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</w:p>
        </w:tc>
        <w:tc>
          <w:tcPr>
            <w:tcW w:w="3251" w:type="dxa"/>
            <w:vAlign w:val="center"/>
          </w:tcPr>
          <w:p w:rsidR="00F75CD5" w:rsidRDefault="00F75CD5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Clinically active disease</w:t>
            </w:r>
          </w:p>
        </w:tc>
        <w:tc>
          <w:tcPr>
            <w:tcW w:w="0" w:type="auto"/>
            <w:vAlign w:val="center"/>
          </w:tcPr>
          <w:p w:rsidR="00F75CD5" w:rsidRPr="00BA09C1" w:rsidRDefault="00F75CD5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 w:rsidRPr="006B2D4F">
              <w:rPr>
                <w:sz w:val="24"/>
                <w:szCs w:val="24"/>
              </w:rPr>
              <w:t>2.5 (1.92-3.0)</w:t>
            </w:r>
          </w:p>
        </w:tc>
        <w:tc>
          <w:tcPr>
            <w:tcW w:w="0" w:type="auto"/>
            <w:vMerge/>
            <w:vAlign w:val="center"/>
          </w:tcPr>
          <w:p w:rsidR="00F75CD5" w:rsidRDefault="00F75CD5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</w:p>
        </w:tc>
      </w:tr>
      <w:tr w:rsidR="00F75CD5" w:rsidTr="00DC6D0C">
        <w:trPr>
          <w:jc w:val="center"/>
        </w:trPr>
        <w:tc>
          <w:tcPr>
            <w:tcW w:w="1668" w:type="dxa"/>
            <w:vMerge/>
            <w:vAlign w:val="center"/>
          </w:tcPr>
          <w:p w:rsidR="00F75CD5" w:rsidRDefault="00F75CD5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</w:p>
        </w:tc>
        <w:tc>
          <w:tcPr>
            <w:tcW w:w="3251" w:type="dxa"/>
            <w:vAlign w:val="center"/>
          </w:tcPr>
          <w:p w:rsidR="00F75CD5" w:rsidRDefault="00F75CD5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 xml:space="preserve">Normal CRP </w:t>
            </w:r>
          </w:p>
        </w:tc>
        <w:tc>
          <w:tcPr>
            <w:tcW w:w="0" w:type="auto"/>
            <w:vAlign w:val="center"/>
          </w:tcPr>
          <w:p w:rsidR="00F75CD5" w:rsidRPr="00BA09C1" w:rsidRDefault="00F75CD5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 w:rsidRPr="006B2D4F">
              <w:rPr>
                <w:sz w:val="24"/>
                <w:szCs w:val="24"/>
                <w:lang w:bidi="he-IL"/>
              </w:rPr>
              <w:t>3.8 (3.2-4.37)</w:t>
            </w:r>
          </w:p>
        </w:tc>
        <w:tc>
          <w:tcPr>
            <w:tcW w:w="0" w:type="auto"/>
            <w:vMerge w:val="restart"/>
            <w:vAlign w:val="center"/>
          </w:tcPr>
          <w:p w:rsidR="00F75CD5" w:rsidRDefault="00F75CD5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 w:rsidRPr="00A2310B">
              <w:rPr>
                <w:b/>
                <w:bCs/>
                <w:sz w:val="24"/>
                <w:szCs w:val="24"/>
                <w:lang w:bidi="he-IL"/>
              </w:rPr>
              <w:t>0.007</w:t>
            </w:r>
          </w:p>
        </w:tc>
      </w:tr>
      <w:tr w:rsidR="00F75CD5" w:rsidTr="00DC6D0C">
        <w:trPr>
          <w:jc w:val="center"/>
        </w:trPr>
        <w:tc>
          <w:tcPr>
            <w:tcW w:w="1668" w:type="dxa"/>
            <w:vMerge/>
            <w:vAlign w:val="center"/>
          </w:tcPr>
          <w:p w:rsidR="00F75CD5" w:rsidRDefault="00F75CD5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</w:p>
        </w:tc>
        <w:tc>
          <w:tcPr>
            <w:tcW w:w="3251" w:type="dxa"/>
            <w:vAlign w:val="center"/>
          </w:tcPr>
          <w:p w:rsidR="00F75CD5" w:rsidRDefault="00F75CD5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Elevated CRP</w:t>
            </w:r>
          </w:p>
        </w:tc>
        <w:tc>
          <w:tcPr>
            <w:tcW w:w="0" w:type="auto"/>
            <w:vAlign w:val="center"/>
          </w:tcPr>
          <w:p w:rsidR="00F75CD5" w:rsidRPr="00BA09C1" w:rsidRDefault="00F75CD5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 w:rsidRPr="006B2D4F">
              <w:rPr>
                <w:sz w:val="24"/>
                <w:szCs w:val="24"/>
                <w:lang w:bidi="he-IL"/>
              </w:rPr>
              <w:t>2.79 (2.4-3.7)</w:t>
            </w:r>
          </w:p>
        </w:tc>
        <w:tc>
          <w:tcPr>
            <w:tcW w:w="0" w:type="auto"/>
            <w:vMerge/>
            <w:vAlign w:val="center"/>
          </w:tcPr>
          <w:p w:rsidR="00F75CD5" w:rsidRDefault="00F75CD5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</w:p>
        </w:tc>
      </w:tr>
    </w:tbl>
    <w:p w:rsidR="00541753" w:rsidRDefault="00541753"/>
    <w:p w:rsidR="004914CE" w:rsidRPr="004914CE" w:rsidRDefault="004914CE" w:rsidP="004914CE">
      <w:pPr>
        <w:spacing w:after="0" w:line="240" w:lineRule="auto"/>
        <w:jc w:val="both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* Throughout therapy - both during induction and maintenance</w:t>
      </w:r>
    </w:p>
    <w:p w:rsidR="004914CE" w:rsidRDefault="004914CE" w:rsidP="004914CE">
      <w:pPr>
        <w:spacing w:after="0" w:line="240" w:lineRule="auto"/>
        <w:jc w:val="both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IFX-TL- Infliximab trough level, CRP </w:t>
      </w:r>
      <w:r>
        <w:rPr>
          <w:sz w:val="24"/>
          <w:szCs w:val="24"/>
          <w:lang w:bidi="he-IL"/>
        </w:rPr>
        <w:t>–</w:t>
      </w:r>
      <w:r>
        <w:rPr>
          <w:sz w:val="24"/>
          <w:szCs w:val="24"/>
          <w:lang w:bidi="he-IL"/>
        </w:rPr>
        <w:t xml:space="preserve"> C-reactive protein</w:t>
      </w:r>
    </w:p>
    <w:p w:rsidR="004914CE" w:rsidRDefault="004914CE"/>
    <w:sectPr w:rsidR="004914CE" w:rsidSect="004A2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D5"/>
    <w:rsid w:val="00380CE6"/>
    <w:rsid w:val="004914CE"/>
    <w:rsid w:val="004A21F8"/>
    <w:rsid w:val="00541753"/>
    <w:rsid w:val="00961FAA"/>
    <w:rsid w:val="009925DB"/>
    <w:rsid w:val="00D82344"/>
    <w:rsid w:val="00F7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BEA4DE-5E37-4591-994C-1E634AA2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F75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Yoav Glidai</dc:creator>
  <cp:keywords/>
  <dc:description/>
  <cp:lastModifiedBy>וייס בתיה, דר</cp:lastModifiedBy>
  <cp:revision>2</cp:revision>
  <dcterms:created xsi:type="dcterms:W3CDTF">2018-05-08T10:36:00Z</dcterms:created>
  <dcterms:modified xsi:type="dcterms:W3CDTF">2018-05-08T10:36:00Z</dcterms:modified>
</cp:coreProperties>
</file>