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014"/>
        <w:gridCol w:w="1341"/>
        <w:gridCol w:w="1341"/>
        <w:gridCol w:w="1341"/>
        <w:gridCol w:w="1341"/>
        <w:gridCol w:w="1342"/>
      </w:tblGrid>
      <w:tr w:rsidR="00296119" w:rsidTr="00296119">
        <w:trPr>
          <w:trHeight w:val="288"/>
        </w:trPr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6119" w:rsidRPr="00296119" w:rsidRDefault="00296119" w:rsidP="00296119">
            <w:pPr>
              <w:rPr>
                <w:rFonts w:cs="Arial"/>
                <w:color w:val="000000"/>
              </w:rPr>
            </w:pPr>
            <w:r w:rsidRPr="00296119">
              <w:rPr>
                <w:rFonts w:cs="Arial"/>
                <w:b/>
                <w:color w:val="000000"/>
              </w:rPr>
              <w:t>Table 2.</w:t>
            </w:r>
            <w:r>
              <w:rPr>
                <w:rFonts w:cs="Arial"/>
                <w:color w:val="000000"/>
              </w:rPr>
              <w:t xml:space="preserve">  Clinical features of biliary tract disease in individuals with </w:t>
            </w:r>
            <w:proofErr w:type="spellStart"/>
            <w:r>
              <w:rPr>
                <w:rFonts w:cs="Arial"/>
                <w:color w:val="000000"/>
              </w:rPr>
              <w:t>Rett</w:t>
            </w:r>
            <w:proofErr w:type="spellEnd"/>
            <w:r>
              <w:rPr>
                <w:rFonts w:cs="Arial"/>
                <w:color w:val="000000"/>
              </w:rPr>
              <w:t xml:space="preserve"> syndrome and/or </w:t>
            </w:r>
            <w:r w:rsidRPr="00C968DE">
              <w:rPr>
                <w:rFonts w:cs="Arial"/>
                <w:i/>
                <w:color w:val="000000"/>
              </w:rPr>
              <w:t>MECP2</w:t>
            </w:r>
            <w:r>
              <w:rPr>
                <w:rFonts w:cs="Arial"/>
                <w:color w:val="000000"/>
              </w:rPr>
              <w:t xml:space="preserve"> mutations from the Natural History of </w:t>
            </w:r>
            <w:proofErr w:type="spellStart"/>
            <w:r>
              <w:rPr>
                <w:rFonts w:cs="Arial"/>
                <w:color w:val="000000"/>
              </w:rPr>
              <w:t>Rett</w:t>
            </w:r>
            <w:proofErr w:type="spellEnd"/>
            <w:r>
              <w:rPr>
                <w:rFonts w:cs="Arial"/>
                <w:color w:val="000000"/>
              </w:rPr>
              <w:t xml:space="preserve"> Syndrome Study (n=28)</w:t>
            </w:r>
          </w:p>
        </w:tc>
      </w:tr>
      <w:tr w:rsidR="00D1480A" w:rsidTr="00296119">
        <w:trPr>
          <w:trHeight w:val="288"/>
        </w:trPr>
        <w:tc>
          <w:tcPr>
            <w:tcW w:w="3014" w:type="dxa"/>
            <w:tcBorders>
              <w:top w:val="single" w:sz="4" w:space="0" w:color="auto"/>
            </w:tcBorders>
          </w:tcPr>
          <w:p w:rsidR="00296119" w:rsidRDefault="00296119"/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296119" w:rsidRPr="00296119" w:rsidRDefault="00296119" w:rsidP="00296119">
            <w:pPr>
              <w:jc w:val="center"/>
              <w:rPr>
                <w:u w:val="single"/>
              </w:rPr>
            </w:pPr>
            <w:r w:rsidRPr="00296119">
              <w:rPr>
                <w:rFonts w:cs="Arial"/>
                <w:color w:val="000000"/>
                <w:u w:val="single"/>
              </w:rPr>
              <w:t>Biliary Tract Disease Present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:rsidR="00296119" w:rsidRPr="00296119" w:rsidRDefault="00296119" w:rsidP="00296119">
            <w:pPr>
              <w:jc w:val="center"/>
              <w:rPr>
                <w:u w:val="single"/>
              </w:rPr>
            </w:pPr>
            <w:r w:rsidRPr="00296119">
              <w:rPr>
                <w:rFonts w:cs="Arial"/>
                <w:color w:val="000000"/>
                <w:u w:val="single"/>
              </w:rPr>
              <w:t>Biliary Tract Disease Absent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96119" w:rsidRDefault="00296119" w:rsidP="00296119">
            <w:pPr>
              <w:jc w:val="center"/>
            </w:pPr>
          </w:p>
        </w:tc>
      </w:tr>
      <w:tr w:rsidR="00D1480A" w:rsidTr="00296119">
        <w:trPr>
          <w:trHeight w:val="288"/>
        </w:trPr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4A3D43" w:rsidRDefault="00296119" w:rsidP="00296119">
            <w:r>
              <w:t>Variable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4A3D43" w:rsidRDefault="00D1480A" w:rsidP="00D1480A">
            <w:pPr>
              <w:jc w:val="center"/>
            </w:pPr>
            <w:r>
              <w:rPr>
                <w:rFonts w:cs="Arial"/>
                <w:color w:val="000000"/>
              </w:rPr>
              <w:t>Number of Abnormal Responses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4A3D43" w:rsidRDefault="00296119" w:rsidP="00296119">
            <w:pPr>
              <w:jc w:val="center"/>
            </w:pPr>
            <w:r>
              <w:t xml:space="preserve">Number of </w:t>
            </w:r>
            <w:r>
              <w:rPr>
                <w:rFonts w:cs="Arial"/>
                <w:color w:val="000000"/>
              </w:rPr>
              <w:t>Respondents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4A3D43" w:rsidRDefault="00D1480A" w:rsidP="00D1480A">
            <w:pPr>
              <w:jc w:val="center"/>
            </w:pPr>
            <w:r>
              <w:rPr>
                <w:rFonts w:cs="Arial"/>
                <w:color w:val="000000"/>
              </w:rPr>
              <w:t>Number of Abnormal Responses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4A3D43" w:rsidRDefault="00296119" w:rsidP="00296119">
            <w:pPr>
              <w:jc w:val="center"/>
            </w:pPr>
            <w:r>
              <w:t xml:space="preserve">Number of </w:t>
            </w:r>
            <w:r>
              <w:rPr>
                <w:rFonts w:cs="Arial"/>
                <w:color w:val="000000"/>
              </w:rPr>
              <w:t>Respondents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bottom"/>
          </w:tcPr>
          <w:p w:rsidR="004A3D43" w:rsidRDefault="00296119" w:rsidP="00296119">
            <w:pPr>
              <w:jc w:val="center"/>
            </w:pPr>
            <w:r>
              <w:rPr>
                <w:rFonts w:cs="Arial"/>
                <w:color w:val="000000"/>
              </w:rPr>
              <w:t>P-value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  <w:tcBorders>
              <w:top w:val="single" w:sz="4" w:space="0" w:color="auto"/>
            </w:tcBorders>
          </w:tcPr>
          <w:p w:rsidR="004A3D43" w:rsidRDefault="00296119">
            <w:r>
              <w:rPr>
                <w:rFonts w:cs="Arial"/>
                <w:color w:val="000000"/>
              </w:rPr>
              <w:t>Age (y)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rPr>
                <w:rFonts w:cs="Arial"/>
                <w:color w:val="000000"/>
              </w:rPr>
              <w:t>25 (21, 34)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12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rPr>
                <w:rFonts w:cs="Arial"/>
                <w:color w:val="000000"/>
              </w:rPr>
              <w:t xml:space="preserve">21 (11, 24)      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4A3D43" w:rsidRDefault="009F4D94" w:rsidP="00296119">
            <w:pPr>
              <w:jc w:val="center"/>
            </w:pPr>
            <w:r>
              <w:t>16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A3D43" w:rsidRDefault="009F4D94" w:rsidP="00296119">
            <w:pPr>
              <w:jc w:val="center"/>
            </w:pPr>
            <w:r>
              <w:rPr>
                <w:rFonts w:cs="Arial"/>
                <w:color w:val="000000"/>
              </w:rPr>
              <w:t>&lt;0.05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>Gender (female)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--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12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r w:rsidRPr="0087472F">
              <w:t xml:space="preserve">          --</w:t>
            </w:r>
          </w:p>
        </w:tc>
        <w:tc>
          <w:tcPr>
            <w:tcW w:w="1341" w:type="dxa"/>
          </w:tcPr>
          <w:p w:rsidR="004A3D43" w:rsidRDefault="009F4D94" w:rsidP="00296119">
            <w:pPr>
              <w:jc w:val="center"/>
            </w:pPr>
            <w:r>
              <w:t>16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>Diagnostic criteria*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11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</w:tcPr>
          <w:p w:rsidR="004A3D43" w:rsidRDefault="009F4D94" w:rsidP="00296119">
            <w:pPr>
              <w:jc w:val="center"/>
            </w:pPr>
            <w:r>
              <w:t>12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 xml:space="preserve">     Clinical +, mutation –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2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 xml:space="preserve">     Clinical +, mutation +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8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9E4A3F">
            <w:pPr>
              <w:jc w:val="center"/>
            </w:pPr>
            <w:r w:rsidRPr="0087472F">
              <w:t>1</w:t>
            </w:r>
            <w:r w:rsidR="009E4A3F" w:rsidRPr="0087472F">
              <w:t>2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 xml:space="preserve">     Clinical </w:t>
            </w:r>
            <w:r w:rsidR="00DB55DC">
              <w:rPr>
                <w:rFonts w:cs="Arial"/>
                <w:color w:val="000000"/>
              </w:rPr>
              <w:t>–</w:t>
            </w:r>
            <w:r>
              <w:rPr>
                <w:rFonts w:cs="Arial"/>
                <w:color w:val="000000"/>
              </w:rPr>
              <w:t xml:space="preserve">, mutation +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rPr>
                <w:rFonts w:cs="Arial"/>
                <w:color w:val="000000"/>
              </w:rPr>
              <w:t>Clinical severity of mutation**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11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</w:tcPr>
          <w:p w:rsidR="004A3D43" w:rsidRDefault="009F4D94" w:rsidP="00296119">
            <w:pPr>
              <w:jc w:val="center"/>
            </w:pPr>
            <w:r>
              <w:t>15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Mild</w:t>
            </w:r>
            <w:r w:rsidR="00DB55DC"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3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Moderate</w:t>
            </w:r>
            <w:r w:rsidR="00DB55DC"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10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Severe</w:t>
            </w:r>
            <w:r w:rsidR="00DB55DC"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3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2</w:t>
            </w: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>
            <w:r>
              <w:rPr>
                <w:rFonts w:cs="Arial"/>
                <w:color w:val="000000"/>
              </w:rPr>
              <w:t>Positive family history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11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4</w:t>
            </w:r>
          </w:p>
        </w:tc>
        <w:tc>
          <w:tcPr>
            <w:tcW w:w="1341" w:type="dxa"/>
          </w:tcPr>
          <w:p w:rsidR="004A3D43" w:rsidRDefault="009F4D94" w:rsidP="00296119">
            <w:pPr>
              <w:jc w:val="center"/>
            </w:pPr>
            <w:r>
              <w:t>15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rPr>
                <w:rFonts w:cs="Arial"/>
                <w:color w:val="000000"/>
              </w:rPr>
              <w:t>&lt;0.06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>
            <w:r>
              <w:t>Symptoms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>
              <w:rPr>
                <w:rFonts w:cs="Arial"/>
                <w:color w:val="000000"/>
              </w:rPr>
              <w:t xml:space="preserve">Abdominal pain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F4D94" w:rsidP="00296119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5</w:t>
            </w:r>
          </w:p>
        </w:tc>
        <w:tc>
          <w:tcPr>
            <w:tcW w:w="1341" w:type="dxa"/>
          </w:tcPr>
          <w:p w:rsidR="004A3D43" w:rsidRDefault="009F4D94" w:rsidP="00296119">
            <w:pPr>
              <w:jc w:val="center"/>
            </w:pPr>
            <w:r>
              <w:t>7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>
              <w:rPr>
                <w:rFonts w:cs="Arial"/>
                <w:color w:val="000000"/>
              </w:rPr>
              <w:t xml:space="preserve">Irritability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4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8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9E4A3F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10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>
              <w:rPr>
                <w:rFonts w:cs="Arial"/>
                <w:color w:val="000000"/>
              </w:rPr>
              <w:t xml:space="preserve">Vomiting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4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7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2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4A3D43" w:rsidRDefault="009F4D94" w:rsidP="00ED3509">
            <w:pPr>
              <w:jc w:val="center"/>
            </w:pPr>
            <w:r>
              <w:t xml:space="preserve">NS 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>
              <w:rPr>
                <w:rFonts w:cs="Arial"/>
                <w:color w:val="000000"/>
              </w:rPr>
              <w:t xml:space="preserve">Fever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9E4A3F">
            <w:pPr>
              <w:jc w:val="center"/>
            </w:pPr>
            <w:r w:rsidRPr="0087472F">
              <w:t>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6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9E4A3F">
            <w:pPr>
              <w:jc w:val="center"/>
            </w:pPr>
            <w:r w:rsidRPr="0087472F">
              <w:t>2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7</w:t>
            </w:r>
          </w:p>
        </w:tc>
        <w:tc>
          <w:tcPr>
            <w:tcW w:w="1342" w:type="dxa"/>
          </w:tcPr>
          <w:p w:rsidR="004A3D43" w:rsidRDefault="00ED3509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>
            <w:r>
              <w:rPr>
                <w:rFonts w:cs="Arial"/>
                <w:color w:val="000000"/>
              </w:rPr>
              <w:t>Duration of symptoms (</w:t>
            </w:r>
            <w:proofErr w:type="spellStart"/>
            <w:r>
              <w:rPr>
                <w:rFonts w:cs="Arial"/>
                <w:color w:val="000000"/>
              </w:rPr>
              <w:t>mo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rPr>
                <w:rFonts w:cs="Arial"/>
                <w:color w:val="000000"/>
              </w:rPr>
              <w:t>21 (3, 72)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6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―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―</w:t>
            </w: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>
            <w:r>
              <w:rPr>
                <w:rFonts w:cs="Arial"/>
                <w:color w:val="000000"/>
              </w:rPr>
              <w:t>Diagnostic tests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4A3D43" w:rsidRPr="0087472F" w:rsidRDefault="004A3D43" w:rsidP="00296119">
            <w:pPr>
              <w:jc w:val="center"/>
            </w:pPr>
          </w:p>
        </w:tc>
        <w:tc>
          <w:tcPr>
            <w:tcW w:w="1341" w:type="dxa"/>
          </w:tcPr>
          <w:p w:rsidR="004A3D43" w:rsidRDefault="004A3D43" w:rsidP="00296119">
            <w:pPr>
              <w:jc w:val="center"/>
            </w:pPr>
          </w:p>
        </w:tc>
        <w:tc>
          <w:tcPr>
            <w:tcW w:w="1342" w:type="dxa"/>
          </w:tcPr>
          <w:p w:rsidR="004A3D43" w:rsidRDefault="004A3D43" w:rsidP="00296119">
            <w:pPr>
              <w:jc w:val="center"/>
            </w:pP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 w:rsidR="00D1480A">
              <w:t>Abdominal u</w:t>
            </w:r>
            <w:r>
              <w:rPr>
                <w:rFonts w:cs="Arial"/>
                <w:color w:val="000000"/>
              </w:rPr>
              <w:t xml:space="preserve">ltrasound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8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11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11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rPr>
                <w:rFonts w:cs="Arial"/>
                <w:color w:val="000000"/>
              </w:rPr>
              <w:t>&lt;0.001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 w:rsidR="00D1480A">
              <w:t xml:space="preserve">Abdominal </w:t>
            </w:r>
            <w:r>
              <w:rPr>
                <w:rFonts w:cs="Arial"/>
                <w:color w:val="000000"/>
              </w:rPr>
              <w:t xml:space="preserve">CT scan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9E4A3F">
            <w:pPr>
              <w:jc w:val="center"/>
            </w:pPr>
            <w:r w:rsidRPr="0087472F">
              <w:t>3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4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4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t>NS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</w:tcPr>
          <w:p w:rsidR="004A3D43" w:rsidRDefault="00296119" w:rsidP="00D1480A">
            <w:r>
              <w:t xml:space="preserve">     </w:t>
            </w:r>
            <w:r>
              <w:rPr>
                <w:rFonts w:cs="Arial"/>
                <w:color w:val="000000"/>
              </w:rPr>
              <w:t xml:space="preserve">CCK-HIDA scan 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5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5</w:t>
            </w:r>
          </w:p>
        </w:tc>
        <w:tc>
          <w:tcPr>
            <w:tcW w:w="1341" w:type="dxa"/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</w:tcPr>
          <w:p w:rsidR="004A3D43" w:rsidRDefault="008D3931" w:rsidP="00296119">
            <w:pPr>
              <w:jc w:val="center"/>
            </w:pPr>
            <w:r>
              <w:t>5</w:t>
            </w:r>
          </w:p>
        </w:tc>
        <w:tc>
          <w:tcPr>
            <w:tcW w:w="1342" w:type="dxa"/>
          </w:tcPr>
          <w:p w:rsidR="004A3D43" w:rsidRDefault="009F4D94" w:rsidP="00296119">
            <w:pPr>
              <w:jc w:val="center"/>
            </w:pPr>
            <w:r>
              <w:rPr>
                <w:rFonts w:cs="Arial"/>
                <w:color w:val="000000"/>
              </w:rPr>
              <w:t>&lt;0.01</w:t>
            </w:r>
          </w:p>
        </w:tc>
      </w:tr>
      <w:tr w:rsidR="00D1480A" w:rsidTr="0087472F">
        <w:trPr>
          <w:trHeight w:val="288"/>
        </w:trPr>
        <w:tc>
          <w:tcPr>
            <w:tcW w:w="3014" w:type="dxa"/>
            <w:tcBorders>
              <w:bottom w:val="single" w:sz="4" w:space="0" w:color="auto"/>
            </w:tcBorders>
          </w:tcPr>
          <w:p w:rsidR="004A3D43" w:rsidRDefault="00296119" w:rsidP="00D1480A">
            <w:r>
              <w:rPr>
                <w:rFonts w:cs="Arial"/>
                <w:color w:val="000000"/>
              </w:rPr>
              <w:t>Surgery</w:t>
            </w:r>
            <w:r>
              <w:rPr>
                <w:rFonts w:cs="Arial"/>
                <w:color w:val="000000"/>
              </w:rPr>
              <w:tab/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4A3D43" w:rsidRPr="0087472F" w:rsidRDefault="009E4A3F" w:rsidP="00296119">
            <w:pPr>
              <w:jc w:val="center"/>
            </w:pPr>
            <w:r w:rsidRPr="0087472F">
              <w:t>10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12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4A3D43" w:rsidRPr="0087472F" w:rsidRDefault="008D3931" w:rsidP="00296119">
            <w:pPr>
              <w:jc w:val="center"/>
            </w:pPr>
            <w:r w:rsidRPr="0087472F">
              <w:t>0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A3D43" w:rsidRDefault="008D3931" w:rsidP="00296119">
            <w:pPr>
              <w:jc w:val="center"/>
            </w:pPr>
            <w:r>
              <w:t>16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A3D43" w:rsidRDefault="009F4D94" w:rsidP="00296119">
            <w:pPr>
              <w:jc w:val="center"/>
            </w:pPr>
            <w:r>
              <w:rPr>
                <w:rFonts w:cs="Arial"/>
                <w:color w:val="000000"/>
              </w:rPr>
              <w:t>&lt;0.001</w:t>
            </w:r>
          </w:p>
        </w:tc>
      </w:tr>
      <w:tr w:rsidR="00296119" w:rsidTr="00B721EE">
        <w:trPr>
          <w:trHeight w:val="288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296119" w:rsidRDefault="00296119" w:rsidP="002961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proofErr w:type="spellStart"/>
            <w:r>
              <w:rPr>
                <w:rFonts w:ascii="Calibri" w:hAnsi="Calibri"/>
              </w:rPr>
              <w:t>Neul</w:t>
            </w:r>
            <w:proofErr w:type="spellEnd"/>
            <w:r>
              <w:rPr>
                <w:rFonts w:ascii="Calibri" w:hAnsi="Calibri"/>
              </w:rPr>
              <w:t xml:space="preserve"> J, 2010 (see reference 2)</w:t>
            </w:r>
          </w:p>
          <w:p w:rsidR="00296119" w:rsidRPr="00296119" w:rsidRDefault="00296119" w:rsidP="002961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  <w:proofErr w:type="spellStart"/>
            <w:r>
              <w:rPr>
                <w:rFonts w:ascii="Calibri" w:hAnsi="Calibri"/>
              </w:rPr>
              <w:t>Culdepah</w:t>
            </w:r>
            <w:proofErr w:type="spellEnd"/>
            <w:r>
              <w:rPr>
                <w:rFonts w:ascii="Calibri" w:hAnsi="Calibri"/>
              </w:rPr>
              <w:t xml:space="preserve"> V, 2014 (see reference 6)</w:t>
            </w:r>
            <w:bookmarkStart w:id="0" w:name="_GoBack"/>
            <w:bookmarkEnd w:id="0"/>
          </w:p>
        </w:tc>
      </w:tr>
    </w:tbl>
    <w:p w:rsidR="005E3BB7" w:rsidRDefault="005E3BB7"/>
    <w:sectPr w:rsidR="005E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05A"/>
    <w:multiLevelType w:val="hybridMultilevel"/>
    <w:tmpl w:val="B1F0E08A"/>
    <w:lvl w:ilvl="0" w:tplc="AF388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43"/>
    <w:rsid w:val="0020444C"/>
    <w:rsid w:val="00225E39"/>
    <w:rsid w:val="00296119"/>
    <w:rsid w:val="004A3D43"/>
    <w:rsid w:val="005B5AAD"/>
    <w:rsid w:val="005E3BB7"/>
    <w:rsid w:val="007B0E12"/>
    <w:rsid w:val="0087472F"/>
    <w:rsid w:val="008D3931"/>
    <w:rsid w:val="009E4A3F"/>
    <w:rsid w:val="009F4D94"/>
    <w:rsid w:val="00A938D2"/>
    <w:rsid w:val="00D1480A"/>
    <w:rsid w:val="00DB55DC"/>
    <w:rsid w:val="00E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8C054-5297-439A-93A5-63693FC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Coon, Jennifer</dc:creator>
  <cp:keywords/>
  <dc:description/>
  <cp:lastModifiedBy>Coon, Jennifer</cp:lastModifiedBy>
  <cp:revision>3</cp:revision>
  <dcterms:created xsi:type="dcterms:W3CDTF">2018-12-17T20:50:00Z</dcterms:created>
  <dcterms:modified xsi:type="dcterms:W3CDTF">2018-12-17T20:51:00Z</dcterms:modified>
</cp:coreProperties>
</file>