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C805" w14:textId="77777777" w:rsidR="00782B67" w:rsidRDefault="00782B67" w:rsidP="00782B67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SUPPLEMENTAL D</w:t>
      </w:r>
      <w:r w:rsidR="008F741A">
        <w:rPr>
          <w:rFonts w:cstheme="minorHAnsi"/>
          <w:b/>
        </w:rPr>
        <w:t>IGITAL</w:t>
      </w:r>
      <w:r>
        <w:rPr>
          <w:rFonts w:cstheme="minorHAnsi"/>
          <w:b/>
        </w:rPr>
        <w:t xml:space="preserve"> CONTENT</w:t>
      </w:r>
    </w:p>
    <w:p w14:paraId="68533CEF" w14:textId="77777777" w:rsidR="00782B67" w:rsidRPr="00684B88" w:rsidRDefault="00782B67" w:rsidP="00782B67">
      <w:pPr>
        <w:spacing w:line="480" w:lineRule="auto"/>
        <w:rPr>
          <w:rFonts w:cstheme="minorHAnsi"/>
          <w:b/>
        </w:rPr>
      </w:pPr>
      <w:r w:rsidRPr="00684B88">
        <w:rPr>
          <w:rFonts w:cstheme="minorHAnsi"/>
          <w:b/>
        </w:rPr>
        <w:t>Sample Acute Pancreatitis Admission Order Set</w:t>
      </w:r>
    </w:p>
    <w:p w14:paraId="5C5583D9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Vital signs</w:t>
      </w:r>
    </w:p>
    <w:p w14:paraId="57B012AB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q4 hrs</w:t>
      </w:r>
    </w:p>
    <w:p w14:paraId="18C9071C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q2 hrs if high risk for fluid shifts and/or clinical instability</w:t>
      </w:r>
    </w:p>
    <w:p w14:paraId="7322809B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Continuous pulse oximetry while receiving intravenous fluids and if on PCA</w:t>
      </w:r>
    </w:p>
    <w:p w14:paraId="0DACA66F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3379A7FF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Intake/Output</w:t>
      </w:r>
    </w:p>
    <w:p w14:paraId="5D2EB9E7" w14:textId="0DAF6D7B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Strict monitoring, q4 hrs</w:t>
      </w:r>
      <w:r w:rsidR="00BD229E" w:rsidRPr="00374EF8">
        <w:rPr>
          <w:color w:val="000000" w:themeColor="text1"/>
        </w:rPr>
        <w:t xml:space="preserve"> (for the first 48 hours, while on high volume IV fluids, or if abnormal)</w:t>
      </w:r>
    </w:p>
    <w:p w14:paraId="649EABB5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362E21F6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Anthropometrics</w:t>
      </w:r>
    </w:p>
    <w:p w14:paraId="22D9A0BA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Weight on admission</w:t>
      </w:r>
    </w:p>
    <w:p w14:paraId="11F7C88E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Height/length on admission</w:t>
      </w:r>
    </w:p>
    <w:p w14:paraId="69D59FEA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Head circumference on admission for &lt; 3 years old</w:t>
      </w:r>
    </w:p>
    <w:p w14:paraId="4364B3EB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Daily weights</w:t>
      </w:r>
    </w:p>
    <w:p w14:paraId="09570508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6A68C265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DVT Prophylaxis</w:t>
      </w:r>
    </w:p>
    <w:p w14:paraId="4FF68943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Encourage out of bed and early ambulation</w:t>
      </w:r>
    </w:p>
    <w:p w14:paraId="3FFCB0BF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Initiate institution appropriate non–pharmacologic protocol within 24 hrs of admission</w:t>
      </w:r>
    </w:p>
    <w:p w14:paraId="5C156E52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3D361EF3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Incentive Spirometry</w:t>
      </w:r>
    </w:p>
    <w:p w14:paraId="604E1DFA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Initiate age appropriate and institution appropriate incentive spirometry within 24 hrs of admission if there is a component of respiratory compromise</w:t>
      </w:r>
    </w:p>
    <w:p w14:paraId="2FE0E786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621EC224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Notify MD</w:t>
      </w:r>
    </w:p>
    <w:p w14:paraId="510ABD56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Urine output calculated per shift &lt; 1 cc/kg/</w:t>
      </w:r>
      <w:proofErr w:type="spellStart"/>
      <w:r w:rsidRPr="00374EF8">
        <w:rPr>
          <w:color w:val="000000" w:themeColor="text1"/>
        </w:rPr>
        <w:t>hr</w:t>
      </w:r>
      <w:proofErr w:type="spellEnd"/>
    </w:p>
    <w:p w14:paraId="240E796A" w14:textId="77777777" w:rsidR="00782B67" w:rsidRPr="00374EF8" w:rsidRDefault="00782B67" w:rsidP="00782B67">
      <w:pPr>
        <w:outlineLvl w:val="0"/>
        <w:rPr>
          <w:color w:val="000000" w:themeColor="text1"/>
        </w:rPr>
      </w:pPr>
      <w:r w:rsidRPr="00374EF8">
        <w:rPr>
          <w:color w:val="000000" w:themeColor="text1"/>
        </w:rPr>
        <w:t>[  ] Abnormal vital signs or desaturations per age per hospital policy</w:t>
      </w:r>
    </w:p>
    <w:p w14:paraId="5A54A3EF" w14:textId="77777777" w:rsidR="00782B67" w:rsidRPr="00374EF8" w:rsidRDefault="00782B67" w:rsidP="00782B67">
      <w:pPr>
        <w:rPr>
          <w:b/>
          <w:color w:val="000000" w:themeColor="text1"/>
        </w:rPr>
      </w:pPr>
      <w:r w:rsidRPr="00374EF8">
        <w:rPr>
          <w:color w:val="000000" w:themeColor="text1"/>
        </w:rPr>
        <w:t>[  ] To reassess patient at the end of every fluid bolus</w:t>
      </w:r>
    </w:p>
    <w:p w14:paraId="7C21EC26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3C6D7653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Diet</w:t>
      </w:r>
    </w:p>
    <w:p w14:paraId="4E612631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Clear liquid diet for six hours; if tolerated then advance to PO ad lib regular diet</w:t>
      </w:r>
    </w:p>
    <w:p w14:paraId="0003100E" w14:textId="77777777" w:rsidR="00782B67" w:rsidRPr="00374EF8" w:rsidRDefault="00782B67" w:rsidP="00782B67">
      <w:pPr>
        <w:outlineLvl w:val="0"/>
        <w:rPr>
          <w:color w:val="000000" w:themeColor="text1"/>
        </w:rPr>
      </w:pPr>
      <w:r w:rsidRPr="00374EF8">
        <w:rPr>
          <w:color w:val="000000" w:themeColor="text1"/>
        </w:rPr>
        <w:t xml:space="preserve">[  ] Consider NG/NJ tube feedings if not beginning to tolerate adequate PO feeds after 48 hrs </w:t>
      </w:r>
    </w:p>
    <w:p w14:paraId="108B8BEE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Consider TPN if no enteral nutrition for &gt;5 days</w:t>
      </w:r>
    </w:p>
    <w:p w14:paraId="5483EEB2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NPO in cases when feeding is contraindicated (e.g. pancreatic duct disruption, intestinal obstruction, or ileus)</w:t>
      </w:r>
    </w:p>
    <w:p w14:paraId="64690408" w14:textId="77777777" w:rsidR="00782B67" w:rsidRPr="00374EF8" w:rsidRDefault="00782B67" w:rsidP="00782B67">
      <w:pPr>
        <w:rPr>
          <w:color w:val="000000" w:themeColor="text1"/>
        </w:rPr>
      </w:pPr>
    </w:p>
    <w:p w14:paraId="2BCC9581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Fluids</w:t>
      </w:r>
    </w:p>
    <w:p w14:paraId="62902D3C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 xml:space="preserve">[  ] 20 cc/kg of IV Normal Saline or Lactated Ringers bolus </w:t>
      </w:r>
    </w:p>
    <w:p w14:paraId="5024398D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IV Dextrose 5% Normal Saline or Lactated Ringers at 1.5-2x maintenance, max rate of 150 ml/</w:t>
      </w:r>
      <w:proofErr w:type="spellStart"/>
      <w:r w:rsidRPr="00374EF8">
        <w:rPr>
          <w:color w:val="000000" w:themeColor="text1"/>
        </w:rPr>
        <w:t>hr</w:t>
      </w:r>
      <w:proofErr w:type="spellEnd"/>
      <w:r w:rsidRPr="00374EF8">
        <w:rPr>
          <w:color w:val="000000" w:themeColor="text1"/>
        </w:rPr>
        <w:t xml:space="preserve"> </w:t>
      </w:r>
    </w:p>
    <w:p w14:paraId="18C0BF80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357F4CD8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6FB3CEE9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Analgesia</w:t>
      </w:r>
    </w:p>
    <w:p w14:paraId="6015B5AE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PO Acetaminophen: 15 mg/kg/dose q6 hrs to a maximum single dose of 650 mg (1</w:t>
      </w:r>
      <w:r w:rsidRPr="00374EF8">
        <w:rPr>
          <w:color w:val="000000" w:themeColor="text1"/>
          <w:vertAlign w:val="superscript"/>
        </w:rPr>
        <w:t>st</w:t>
      </w:r>
      <w:r w:rsidRPr="00374EF8">
        <w:rPr>
          <w:color w:val="000000" w:themeColor="text1"/>
        </w:rPr>
        <w:t xml:space="preserve"> line for mild to moderate pain)</w:t>
      </w:r>
    </w:p>
    <w:p w14:paraId="3BE7C9ED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 IV acetaminophen: 15 mg/kg/dose q6 hrs to a maximum single dose of 750 mg (&lt; 50 kg) or 1000 mg (&gt; 50 kg) (1</w:t>
      </w:r>
      <w:r w:rsidRPr="00374EF8">
        <w:rPr>
          <w:color w:val="000000" w:themeColor="text1"/>
          <w:vertAlign w:val="superscript"/>
        </w:rPr>
        <w:t>st</w:t>
      </w:r>
      <w:r w:rsidRPr="00374EF8">
        <w:rPr>
          <w:color w:val="000000" w:themeColor="text1"/>
        </w:rPr>
        <w:t xml:space="preserve"> line for mild to moderate pain)</w:t>
      </w:r>
    </w:p>
    <w:p w14:paraId="463A4A49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PO ibuprofen (if normal BUN/Cr): 10 mg/kg/dose q6 hrs to a maximum single dose of 800 mg (1</w:t>
      </w:r>
      <w:r w:rsidRPr="00374EF8">
        <w:rPr>
          <w:color w:val="000000" w:themeColor="text1"/>
          <w:vertAlign w:val="superscript"/>
        </w:rPr>
        <w:t>st</w:t>
      </w:r>
      <w:r w:rsidRPr="00374EF8">
        <w:rPr>
          <w:color w:val="000000" w:themeColor="text1"/>
        </w:rPr>
        <w:t xml:space="preserve"> line for mild to moderate pain)</w:t>
      </w:r>
    </w:p>
    <w:p w14:paraId="4540AD68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IV ketorolac (if normal BUN/Cr): 0.5 mg/kg q6 hrs with maximum single dose of 30 mg per dose. Do not exceed 72 hrs continuous (1</w:t>
      </w:r>
      <w:r w:rsidRPr="00374EF8">
        <w:rPr>
          <w:color w:val="000000" w:themeColor="text1"/>
          <w:vertAlign w:val="superscript"/>
        </w:rPr>
        <w:t>st</w:t>
      </w:r>
      <w:r w:rsidRPr="00374EF8">
        <w:rPr>
          <w:color w:val="000000" w:themeColor="text1"/>
        </w:rPr>
        <w:t xml:space="preserve"> line for mild to moderate pain)</w:t>
      </w:r>
    </w:p>
    <w:p w14:paraId="5D495548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IV morphine 0.05 mg/kg/dose q4 hrs as needed for pain with maximum initial dose of 1-2 mg/dose for &lt; 50 kg and 2-5 mg/dose for children &gt; 50 kg (for severe pain)</w:t>
      </w:r>
    </w:p>
    <w:p w14:paraId="61599793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IV hydromorphone 0.01 mg/kg/dose q6 hrs as needed for pain (for severe pain)</w:t>
      </w:r>
    </w:p>
    <w:p w14:paraId="4518DC3C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Consider morphine or hydromorphone PCA (if no improvement with as needed dosing)</w:t>
      </w:r>
    </w:p>
    <w:p w14:paraId="65C5D0F9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70EEBEDD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Antiemetic</w:t>
      </w:r>
    </w:p>
    <w:p w14:paraId="121D1F65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IV ondansetron 0.1 mg/kg/dose q8 hrs as needed for nausea and emesis. Maximum dose of 8 mg q8 hrs</w:t>
      </w:r>
    </w:p>
    <w:p w14:paraId="024A29F5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PO ondansetron 0.1 mg/kg/dose q8 hrs as needed for nausea and emesis. Maximum dose of 8 mg q8 hrs when PO established</w:t>
      </w:r>
    </w:p>
    <w:p w14:paraId="72383B52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7248B625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Laxatives</w:t>
      </w:r>
    </w:p>
    <w:p w14:paraId="6A8095DC" w14:textId="0A93CD8D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 xml:space="preserve">[  ] </w:t>
      </w:r>
      <w:r w:rsidR="00751B6C" w:rsidRPr="00374EF8">
        <w:rPr>
          <w:color w:val="000000" w:themeColor="text1"/>
        </w:rPr>
        <w:t xml:space="preserve">Polyethylene glycol 3350 </w:t>
      </w:r>
      <w:r w:rsidRPr="00374EF8">
        <w:rPr>
          <w:color w:val="000000" w:themeColor="text1"/>
        </w:rPr>
        <w:t xml:space="preserve">1g/kg/day </w:t>
      </w:r>
      <w:r w:rsidR="00BD229E" w:rsidRPr="00374EF8">
        <w:rPr>
          <w:color w:val="000000" w:themeColor="text1"/>
        </w:rPr>
        <w:t xml:space="preserve">(divided once or twice daily) </w:t>
      </w:r>
      <w:r w:rsidRPr="00374EF8">
        <w:rPr>
          <w:color w:val="000000" w:themeColor="text1"/>
        </w:rPr>
        <w:t>if no stools in 24-48</w:t>
      </w:r>
      <w:r w:rsidR="00BD229E" w:rsidRPr="00374EF8">
        <w:rPr>
          <w:color w:val="000000" w:themeColor="text1"/>
        </w:rPr>
        <w:t xml:space="preserve"> </w:t>
      </w:r>
      <w:r w:rsidRPr="00374EF8">
        <w:rPr>
          <w:color w:val="000000" w:themeColor="text1"/>
        </w:rPr>
        <w:t>hrs. May increase to achieve goal of at least one soft stool daily</w:t>
      </w:r>
    </w:p>
    <w:p w14:paraId="620212D4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04993D2A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Labs (on admission)</w:t>
      </w:r>
    </w:p>
    <w:p w14:paraId="05CC2830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 xml:space="preserve">[  ] Complete Blood Count (CBC) with differential </w:t>
      </w:r>
    </w:p>
    <w:p w14:paraId="042E6832" w14:textId="77777777" w:rsidR="00782B67" w:rsidRPr="00374EF8" w:rsidRDefault="00782B67" w:rsidP="00782B67">
      <w:pPr>
        <w:rPr>
          <w:rFonts w:ascii="Times New Roman" w:eastAsia="Times New Roman" w:hAnsi="Times New Roman" w:cs="Times New Roman"/>
          <w:color w:val="000000" w:themeColor="text1"/>
        </w:rPr>
      </w:pPr>
      <w:r w:rsidRPr="00374EF8">
        <w:rPr>
          <w:color w:val="000000" w:themeColor="text1"/>
        </w:rPr>
        <w:t>[  ] Basic Metabolic Panel (Urea Nitrogen, Calcium, Chloride, CO</w:t>
      </w:r>
      <w:r w:rsidRPr="00374EF8">
        <w:rPr>
          <w:color w:val="000000" w:themeColor="text1"/>
          <w:vertAlign w:val="subscript"/>
        </w:rPr>
        <w:t>2</w:t>
      </w:r>
      <w:r w:rsidRPr="00374EF8">
        <w:rPr>
          <w:color w:val="000000" w:themeColor="text1"/>
        </w:rPr>
        <w:t>, Creatinine, Glucose, Potassium, Sodium)</w:t>
      </w:r>
    </w:p>
    <w:p w14:paraId="036006D5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Calcium (Consider Ionized Calcium if decreased Albumin)</w:t>
      </w:r>
    </w:p>
    <w:p w14:paraId="15F2C37E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Hepatic Function Panel (Total and Direct Bilirubin, AST, ALT, ALP, Total Protein, Albumin)</w:t>
      </w:r>
    </w:p>
    <w:p w14:paraId="1D426F66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Gamma-Glutamyl Transferase (GGT)</w:t>
      </w:r>
    </w:p>
    <w:p w14:paraId="18B85F7E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Triglycerides</w:t>
      </w:r>
    </w:p>
    <w:p w14:paraId="74342A87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Amylase</w:t>
      </w:r>
    </w:p>
    <w:p w14:paraId="1050815F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Lipase</w:t>
      </w:r>
    </w:p>
    <w:p w14:paraId="7B7FC498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Magnesium</w:t>
      </w:r>
      <w:bookmarkStart w:id="0" w:name="_GoBack"/>
      <w:bookmarkEnd w:id="0"/>
    </w:p>
    <w:p w14:paraId="6FA5E610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Phosphorus</w:t>
      </w:r>
    </w:p>
    <w:p w14:paraId="4A77F4EA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 xml:space="preserve">[  ] </w:t>
      </w:r>
      <w:proofErr w:type="gramStart"/>
      <w:r w:rsidRPr="00374EF8">
        <w:rPr>
          <w:color w:val="000000" w:themeColor="text1"/>
        </w:rPr>
        <w:t>C-Reactive Protein</w:t>
      </w:r>
      <w:proofErr w:type="gramEnd"/>
      <w:r w:rsidRPr="00374EF8">
        <w:rPr>
          <w:color w:val="000000" w:themeColor="text1"/>
        </w:rPr>
        <w:t xml:space="preserve"> (CRP)</w:t>
      </w:r>
    </w:p>
    <w:p w14:paraId="76FB8DA5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2B75EE93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  <w:r w:rsidRPr="00374EF8">
        <w:rPr>
          <w:b/>
          <w:color w:val="000000" w:themeColor="text1"/>
        </w:rPr>
        <w:t>Daily Labs</w:t>
      </w:r>
    </w:p>
    <w:p w14:paraId="664E4C26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Basic Metabolic Panel (for the first 48 hours, while on high volume IV fluids, or if abnormal)</w:t>
      </w:r>
    </w:p>
    <w:p w14:paraId="64CC4A55" w14:textId="77777777" w:rsidR="00782B67" w:rsidRPr="00374EF8" w:rsidRDefault="00782B67" w:rsidP="00782B67">
      <w:pPr>
        <w:rPr>
          <w:color w:val="000000" w:themeColor="text1"/>
        </w:rPr>
      </w:pPr>
      <w:r w:rsidRPr="00374EF8">
        <w:rPr>
          <w:color w:val="000000" w:themeColor="text1"/>
        </w:rPr>
        <w:t>[  ] Hematocrit (while on high volume IV fluids)</w:t>
      </w:r>
    </w:p>
    <w:p w14:paraId="0C4C9ABD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71D901CD" w14:textId="77777777" w:rsidR="00782B67" w:rsidRPr="00374EF8" w:rsidRDefault="00782B67" w:rsidP="00782B67">
      <w:pPr>
        <w:outlineLvl w:val="0"/>
        <w:rPr>
          <w:b/>
          <w:color w:val="000000" w:themeColor="text1"/>
        </w:rPr>
      </w:pPr>
    </w:p>
    <w:p w14:paraId="2D26F7B5" w14:textId="77777777" w:rsidR="00782B67" w:rsidRDefault="00782B67" w:rsidP="00782B67">
      <w:pPr>
        <w:outlineLvl w:val="0"/>
        <w:rPr>
          <w:b/>
        </w:rPr>
      </w:pPr>
    </w:p>
    <w:p w14:paraId="4AF99353" w14:textId="77777777" w:rsidR="00782B67" w:rsidRPr="00C25BEB" w:rsidRDefault="00782B67" w:rsidP="00782B67">
      <w:pPr>
        <w:outlineLvl w:val="0"/>
        <w:rPr>
          <w:b/>
        </w:rPr>
      </w:pPr>
      <w:r w:rsidRPr="00C25BEB">
        <w:rPr>
          <w:b/>
        </w:rPr>
        <w:t>Imaging</w:t>
      </w:r>
    </w:p>
    <w:p w14:paraId="6395B64F" w14:textId="77777777" w:rsidR="00782B67" w:rsidRDefault="00782B67" w:rsidP="00782B67">
      <w:r>
        <w:t>[  ] US Abdomen (if first episode of pancreatitis or if recurrent episode with concern for gallstone/biliary pancreatitis)</w:t>
      </w:r>
    </w:p>
    <w:p w14:paraId="017FE8C4" w14:textId="63413EC9" w:rsidR="00782B67" w:rsidRDefault="00782B67">
      <w:r>
        <w:t xml:space="preserve">[  ] </w:t>
      </w:r>
      <w:r w:rsidR="00751B6C" w:rsidRPr="00F853CD">
        <w:rPr>
          <w:color w:val="FF0000"/>
        </w:rPr>
        <w:t>IV</w:t>
      </w:r>
      <w:r w:rsidR="00751B6C">
        <w:t xml:space="preserve"> c</w:t>
      </w:r>
      <w:r w:rsidRPr="008F2BF8">
        <w:t>ontrast enhanced CT</w:t>
      </w:r>
      <w:r>
        <w:t xml:space="preserve"> if worsening symptoms after admission and/or concern for complications from pancreatitis</w:t>
      </w:r>
      <w:r w:rsidR="00751B6C">
        <w:t xml:space="preserve"> </w:t>
      </w:r>
      <w:r w:rsidR="00751B6C" w:rsidRPr="00F853CD">
        <w:rPr>
          <w:rFonts w:cstheme="minorHAnsi"/>
          <w:color w:val="FF0000"/>
        </w:rPr>
        <w:t>(e.g. pancreatic fluid collection/necrosis or pancreatic duct stricture/stones)</w:t>
      </w:r>
    </w:p>
    <w:p w14:paraId="25A3D275" w14:textId="34C26A4C" w:rsidR="00751B6C" w:rsidRPr="00684B88" w:rsidRDefault="00782B67" w:rsidP="00F853CD">
      <w:pPr>
        <w:rPr>
          <w:rFonts w:cstheme="minorHAnsi"/>
        </w:rPr>
      </w:pPr>
      <w:r>
        <w:t>[  ] MRCP if biliary/pancreatic duct abnormalities are suspected</w:t>
      </w:r>
      <w:r w:rsidR="00751B6C">
        <w:t xml:space="preserve"> </w:t>
      </w:r>
      <w:r w:rsidR="00751B6C" w:rsidRPr="00F853CD">
        <w:rPr>
          <w:rFonts w:cstheme="minorHAnsi"/>
          <w:color w:val="FF0000"/>
        </w:rPr>
        <w:t>(with IV secretin if available for pancreatic duct evaluation)</w:t>
      </w:r>
    </w:p>
    <w:p w14:paraId="6DE45EF5" w14:textId="77777777" w:rsidR="00782B67" w:rsidRDefault="00782B67" w:rsidP="00782B67">
      <w:pPr>
        <w:rPr>
          <w:b/>
        </w:rPr>
      </w:pPr>
    </w:p>
    <w:p w14:paraId="6D1BC6C3" w14:textId="77777777" w:rsidR="00782B67" w:rsidRPr="00C25BEB" w:rsidRDefault="00782B67" w:rsidP="00782B67">
      <w:pPr>
        <w:rPr>
          <w:b/>
        </w:rPr>
      </w:pPr>
      <w:r w:rsidRPr="00C25BEB">
        <w:rPr>
          <w:b/>
        </w:rPr>
        <w:t>Consult</w:t>
      </w:r>
      <w:r>
        <w:rPr>
          <w:b/>
        </w:rPr>
        <w:t>ant</w:t>
      </w:r>
      <w:r w:rsidRPr="00C25BEB">
        <w:rPr>
          <w:b/>
        </w:rPr>
        <w:t>s</w:t>
      </w:r>
      <w:r>
        <w:rPr>
          <w:b/>
        </w:rPr>
        <w:t xml:space="preserve"> (as clinically indicated)</w:t>
      </w:r>
    </w:p>
    <w:p w14:paraId="5DA522B2" w14:textId="77777777" w:rsidR="00782B67" w:rsidRDefault="00782B67" w:rsidP="00782B67">
      <w:r>
        <w:t xml:space="preserve">[  ] Pain service </w:t>
      </w:r>
    </w:p>
    <w:p w14:paraId="2330EA3F" w14:textId="77777777" w:rsidR="00782B67" w:rsidRDefault="00782B67" w:rsidP="00782B67">
      <w:r>
        <w:t xml:space="preserve">[  ] Dietician </w:t>
      </w:r>
    </w:p>
    <w:p w14:paraId="269735BA" w14:textId="77777777" w:rsidR="00782B67" w:rsidRDefault="00782B67" w:rsidP="00782B67">
      <w:r>
        <w:t xml:space="preserve">[  ] Therapeutic </w:t>
      </w:r>
      <w:proofErr w:type="spellStart"/>
      <w:r>
        <w:t>Endoscopist</w:t>
      </w:r>
      <w:proofErr w:type="spellEnd"/>
      <w:r>
        <w:t xml:space="preserve"> </w:t>
      </w:r>
    </w:p>
    <w:p w14:paraId="11F4D4F3" w14:textId="77777777" w:rsidR="00782B67" w:rsidRDefault="00782B67" w:rsidP="00782B67">
      <w:r>
        <w:t xml:space="preserve">[  ] Pediatric surgery </w:t>
      </w:r>
    </w:p>
    <w:p w14:paraId="789A207A" w14:textId="77777777" w:rsidR="00782B67" w:rsidRDefault="00782B67" w:rsidP="00782B67">
      <w:r>
        <w:t xml:space="preserve">[  ] Nephrology </w:t>
      </w:r>
    </w:p>
    <w:p w14:paraId="4BDCDCFC" w14:textId="77777777" w:rsidR="00782B67" w:rsidRDefault="00782B67" w:rsidP="00782B67">
      <w:r>
        <w:t>[  ] Child life</w:t>
      </w:r>
    </w:p>
    <w:p w14:paraId="73168257" w14:textId="77777777" w:rsidR="00782B67" w:rsidRDefault="00782B67" w:rsidP="00782B67">
      <w:r>
        <w:t>[  ] Social Work</w:t>
      </w:r>
    </w:p>
    <w:p w14:paraId="419338CB" w14:textId="77777777" w:rsidR="00782B67" w:rsidRDefault="00782B67" w:rsidP="00782B67">
      <w:pPr>
        <w:rPr>
          <w:b/>
        </w:rPr>
      </w:pPr>
    </w:p>
    <w:p w14:paraId="47F6A0E2" w14:textId="77777777" w:rsidR="00782B67" w:rsidRPr="00C25BEB" w:rsidRDefault="00782B67" w:rsidP="00782B67">
      <w:pPr>
        <w:rPr>
          <w:b/>
        </w:rPr>
      </w:pPr>
      <w:r w:rsidRPr="00C25BEB">
        <w:rPr>
          <w:b/>
        </w:rPr>
        <w:t>Follow-up</w:t>
      </w:r>
    </w:p>
    <w:p w14:paraId="5B86CF79" w14:textId="69EAF727" w:rsidR="00782B67" w:rsidRDefault="00782B67" w:rsidP="00782B67">
      <w:r>
        <w:t>[  ] Pediatric Gastroenterology/Pancreatology, within 1 month of discharge</w:t>
      </w:r>
    </w:p>
    <w:p w14:paraId="76188A60" w14:textId="1479B73E" w:rsidR="001C12F8" w:rsidRDefault="001C12F8" w:rsidP="00782B67">
      <w:r>
        <w:t xml:space="preserve">[  ] </w:t>
      </w:r>
      <w:r w:rsidRPr="00F853CD">
        <w:rPr>
          <w:color w:val="FF0000"/>
        </w:rPr>
        <w:t>Pediatrician 1 week after discharge</w:t>
      </w:r>
    </w:p>
    <w:p w14:paraId="5DD238D6" w14:textId="77777777" w:rsidR="00DA3543" w:rsidRDefault="00DA3543"/>
    <w:sectPr w:rsidR="00DA3543" w:rsidSect="0033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67"/>
    <w:rsid w:val="001176A8"/>
    <w:rsid w:val="001178EF"/>
    <w:rsid w:val="001C12F8"/>
    <w:rsid w:val="001E01ED"/>
    <w:rsid w:val="002F16CB"/>
    <w:rsid w:val="00302912"/>
    <w:rsid w:val="0033704F"/>
    <w:rsid w:val="00374EF8"/>
    <w:rsid w:val="004954B3"/>
    <w:rsid w:val="005F0121"/>
    <w:rsid w:val="006D32AF"/>
    <w:rsid w:val="006D43D5"/>
    <w:rsid w:val="00751B6C"/>
    <w:rsid w:val="00782B67"/>
    <w:rsid w:val="008503B7"/>
    <w:rsid w:val="0087519E"/>
    <w:rsid w:val="008F741A"/>
    <w:rsid w:val="0090603D"/>
    <w:rsid w:val="00994941"/>
    <w:rsid w:val="009D29B1"/>
    <w:rsid w:val="00AE1CA8"/>
    <w:rsid w:val="00AF67AF"/>
    <w:rsid w:val="00B40086"/>
    <w:rsid w:val="00BD229E"/>
    <w:rsid w:val="00BD3232"/>
    <w:rsid w:val="00C8006B"/>
    <w:rsid w:val="00DA3543"/>
    <w:rsid w:val="00DD74AD"/>
    <w:rsid w:val="00E64B26"/>
    <w:rsid w:val="00ED5CE8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5465"/>
  <w14:defaultImageDpi w14:val="32767"/>
  <w15:chartTrackingRefBased/>
  <w15:docId w15:val="{9E4C386E-3985-4645-B7C2-D1E98DA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Michael Sellers</dc:creator>
  <cp:keywords/>
  <dc:description/>
  <cp:lastModifiedBy>Abu-El-Haija, Maisam</cp:lastModifiedBy>
  <cp:revision>3</cp:revision>
  <dcterms:created xsi:type="dcterms:W3CDTF">2019-01-17T18:42:00Z</dcterms:created>
  <dcterms:modified xsi:type="dcterms:W3CDTF">2019-01-17T19:59:00Z</dcterms:modified>
</cp:coreProperties>
</file>