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26724" w14:textId="69CE75B1" w:rsidR="00561ADE" w:rsidRDefault="00561ADE" w:rsidP="00561ADE">
      <w:pPr>
        <w:spacing w:after="200" w:line="48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Figure, </w:t>
      </w:r>
      <w:proofErr w:type="spellStart"/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Supplemental</w:t>
      </w:r>
      <w:proofErr w:type="spellEnd"/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Digital Content 1.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1D1CDD">
        <w:rPr>
          <w:rFonts w:ascii="Arial" w:hAnsi="Arial" w:cs="Arial"/>
          <w:color w:val="000000" w:themeColor="text1"/>
          <w:sz w:val="24"/>
          <w:szCs w:val="24"/>
        </w:rPr>
        <w:t>Faecal</w:t>
      </w:r>
      <w:proofErr w:type="spellEnd"/>
      <w:r w:rsidRPr="001D1CDD">
        <w:rPr>
          <w:rFonts w:ascii="Arial" w:hAnsi="Arial" w:cs="Arial"/>
          <w:color w:val="000000" w:themeColor="text1"/>
          <w:sz w:val="24"/>
          <w:szCs w:val="24"/>
        </w:rPr>
        <w:t xml:space="preserve"> calprotectin</w:t>
      </w:r>
      <w:r w:rsidRPr="001D1CDD">
        <w:rPr>
          <w:rFonts w:ascii="Arial" w:hAnsi="Arial" w:cs="Arial"/>
          <w:sz w:val="24"/>
          <w:szCs w:val="24"/>
        </w:rPr>
        <w:t xml:space="preserve"> of an imaginary patient with Crohn’s disease</w:t>
      </w:r>
      <w:r>
        <w:rPr>
          <w:rFonts w:ascii="Arial" w:hAnsi="Arial" w:cs="Arial"/>
          <w:sz w:val="24"/>
          <w:szCs w:val="24"/>
        </w:rPr>
        <w:t xml:space="preserve"> plotted over time. </w:t>
      </w:r>
      <w:r w:rsidRPr="00210F83">
        <w:rPr>
          <w:rFonts w:ascii="Arial" w:hAnsi="Arial" w:cs="Arial"/>
          <w:sz w:val="24"/>
          <w:szCs w:val="24"/>
        </w:rPr>
        <w:t xml:space="preserve">Time-to-reach target </w:t>
      </w:r>
      <w:r>
        <w:rPr>
          <w:rFonts w:ascii="Arial" w:hAnsi="Arial" w:cs="Arial"/>
          <w:sz w:val="24"/>
          <w:szCs w:val="24"/>
        </w:rPr>
        <w:t>i</w:t>
      </w:r>
      <w:r w:rsidRPr="00210F83">
        <w:rPr>
          <w:rFonts w:ascii="Arial" w:hAnsi="Arial" w:cs="Arial"/>
          <w:sz w:val="24"/>
          <w:szCs w:val="24"/>
        </w:rPr>
        <w:t xml:space="preserve">s defined as the first calprotectin measurement below 250 </w:t>
      </w:r>
      <w:r w:rsidRPr="00210F83">
        <w:rPr>
          <w:rFonts w:ascii="Arial" w:hAnsi="Arial" w:cs="Arial"/>
          <w:sz w:val="24"/>
          <w:szCs w:val="24"/>
        </w:rPr>
        <w:sym w:font="Symbol" w:char="F06D"/>
      </w:r>
      <w:r w:rsidRPr="00210F83">
        <w:rPr>
          <w:rFonts w:ascii="Arial" w:hAnsi="Arial" w:cs="Arial"/>
          <w:sz w:val="24"/>
          <w:szCs w:val="24"/>
        </w:rPr>
        <w:t>g/g after the start of induction therapy</w:t>
      </w:r>
      <w:r>
        <w:rPr>
          <w:rFonts w:ascii="Arial" w:hAnsi="Arial" w:cs="Arial"/>
          <w:sz w:val="24"/>
          <w:szCs w:val="24"/>
        </w:rPr>
        <w:t xml:space="preserve"> (in this case 6 months). T</w:t>
      </w:r>
      <w:r w:rsidRPr="00210F83">
        <w:rPr>
          <w:rFonts w:ascii="Arial" w:hAnsi="Arial" w:cs="Arial"/>
          <w:sz w:val="24"/>
          <w:szCs w:val="24"/>
        </w:rPr>
        <w:t xml:space="preserve">ime-to-first </w:t>
      </w:r>
      <w:r>
        <w:rPr>
          <w:rFonts w:ascii="Arial" w:hAnsi="Arial" w:cs="Arial"/>
          <w:sz w:val="24"/>
          <w:szCs w:val="24"/>
        </w:rPr>
        <w:t>flare i</w:t>
      </w:r>
      <w:r w:rsidRPr="00210F83">
        <w:rPr>
          <w:rFonts w:ascii="Arial" w:hAnsi="Arial" w:cs="Arial"/>
          <w:sz w:val="24"/>
          <w:szCs w:val="24"/>
        </w:rPr>
        <w:t xml:space="preserve">s defined as the time from the first calprotectin measurement below 250 </w:t>
      </w:r>
      <w:r w:rsidRPr="00210F83">
        <w:rPr>
          <w:rFonts w:ascii="Arial" w:hAnsi="Arial" w:cs="Arial"/>
          <w:sz w:val="24"/>
          <w:szCs w:val="24"/>
        </w:rPr>
        <w:sym w:font="Symbol" w:char="F06D"/>
      </w:r>
      <w:r w:rsidRPr="00210F83">
        <w:rPr>
          <w:rFonts w:ascii="Arial" w:hAnsi="Arial" w:cs="Arial"/>
          <w:sz w:val="24"/>
          <w:szCs w:val="24"/>
        </w:rPr>
        <w:t xml:space="preserve">g/g until reappearance of symptoms </w:t>
      </w:r>
      <w:r w:rsidRPr="00210F83">
        <w:rPr>
          <w:rFonts w:ascii="Arial" w:hAnsi="Arial" w:cs="Arial"/>
          <w:color w:val="000000" w:themeColor="text1"/>
          <w:sz w:val="24"/>
          <w:szCs w:val="24"/>
        </w:rPr>
        <w:t xml:space="preserve">with calprotectin values above 250 </w:t>
      </w:r>
      <w:r w:rsidRPr="00210F83">
        <w:rPr>
          <w:rFonts w:ascii="Arial" w:hAnsi="Arial" w:cs="Arial"/>
          <w:color w:val="000000" w:themeColor="text1"/>
          <w:sz w:val="24"/>
          <w:szCs w:val="24"/>
        </w:rPr>
        <w:sym w:font="Symbol" w:char="F06D"/>
      </w:r>
      <w:r w:rsidRPr="00210F83">
        <w:rPr>
          <w:rFonts w:ascii="Arial" w:hAnsi="Arial" w:cs="Arial"/>
          <w:color w:val="000000" w:themeColor="text1"/>
          <w:sz w:val="24"/>
          <w:szCs w:val="24"/>
        </w:rPr>
        <w:t>g/g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(in this case 6 months)</w:t>
      </w:r>
    </w:p>
    <w:p w14:paraId="3085EE1B" w14:textId="0AE34AD9" w:rsidR="00561ADE" w:rsidRDefault="00561ADE" w:rsidP="00561ADE">
      <w:pPr>
        <w:spacing w:after="200" w:line="48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C682400" wp14:editId="16F6889A">
            <wp:extent cx="5762625" cy="5953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C0E1" w14:textId="77777777" w:rsidR="00561ADE" w:rsidRDefault="00561ADE">
      <w:pP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br w:type="page"/>
      </w:r>
    </w:p>
    <w:p w14:paraId="3C2B9B4F" w14:textId="1249D600" w:rsidR="00561ADE" w:rsidRDefault="00561ADE" w:rsidP="00561ADE">
      <w:pPr>
        <w:spacing w:after="20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E358D07" wp14:editId="37842E53">
            <wp:simplePos x="0" y="0"/>
            <wp:positionH relativeFrom="margin">
              <wp:align>center</wp:align>
            </wp:positionH>
            <wp:positionV relativeFrom="paragraph">
              <wp:posOffset>1337945</wp:posOffset>
            </wp:positionV>
            <wp:extent cx="7498080" cy="4370705"/>
            <wp:effectExtent l="0" t="0" r="762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Figure, </w:t>
      </w:r>
      <w:proofErr w:type="spellStart"/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Supplemental</w:t>
      </w:r>
      <w:proofErr w:type="spellEnd"/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Digital Content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2</w:t>
      </w:r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.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</w:t>
      </w:r>
      <w:r w:rsidRPr="00D875A7">
        <w:rPr>
          <w:rFonts w:ascii="Arial" w:hAnsi="Arial" w:cs="Arial"/>
          <w:sz w:val="24"/>
          <w:szCs w:val="24"/>
        </w:rPr>
        <w:t>Flow of patients with (a) Crohn’s disease and (b) ulcerative colitis in the first year postdiagnosis indicating how many reached the treatment target within 12 weeks, and how many at a later stage.</w:t>
      </w:r>
    </w:p>
    <w:p w14:paraId="480737F7" w14:textId="71E250FC" w:rsidR="00561ADE" w:rsidRDefault="00561ADE" w:rsidP="00561ADE">
      <w:pPr>
        <w:spacing w:after="200" w:line="480" w:lineRule="auto"/>
        <w:rPr>
          <w:rFonts w:ascii="Arial" w:hAnsi="Arial" w:cs="Arial"/>
          <w:sz w:val="24"/>
          <w:szCs w:val="24"/>
        </w:rPr>
      </w:pPr>
    </w:p>
    <w:p w14:paraId="4E6FBDE8" w14:textId="62A003AB" w:rsidR="00561ADE" w:rsidRDefault="00561ADE" w:rsidP="00561ADE">
      <w:pPr>
        <w:spacing w:after="200" w:line="480" w:lineRule="auto"/>
        <w:rPr>
          <w:rFonts w:ascii="Arial" w:hAnsi="Arial" w:cs="Arial"/>
          <w:sz w:val="24"/>
          <w:szCs w:val="24"/>
        </w:rPr>
      </w:pPr>
    </w:p>
    <w:p w14:paraId="4276E8A7" w14:textId="5993BA90" w:rsidR="00561ADE" w:rsidRDefault="00561ADE" w:rsidP="00561ADE">
      <w:pPr>
        <w:spacing w:after="200" w:line="48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E7AF72F" w14:textId="77777777" w:rsidR="00561ADE" w:rsidRDefault="00561ADE">
      <w:pP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br w:type="page"/>
      </w:r>
    </w:p>
    <w:p w14:paraId="569EDCE0" w14:textId="77777777" w:rsidR="00561ADE" w:rsidRPr="00E4410C" w:rsidRDefault="00561ADE" w:rsidP="00561ADE">
      <w:pPr>
        <w:rPr>
          <w:rFonts w:ascii="Arial" w:eastAsia="Times New Roman" w:hAnsi="Arial" w:cs="Arial"/>
          <w:sz w:val="24"/>
          <w:szCs w:val="24"/>
          <w:lang w:eastAsia="nl-NL"/>
        </w:rPr>
      </w:pPr>
      <w:r w:rsidRPr="007C324E">
        <w:rPr>
          <w:rFonts w:ascii="Arial" w:eastAsia="Times New Roman" w:hAnsi="Arial" w:cs="Arial"/>
          <w:b/>
          <w:sz w:val="24"/>
          <w:szCs w:val="24"/>
          <w:lang w:eastAsia="nl-NL"/>
        </w:rPr>
        <w:lastRenderedPageBreak/>
        <w:t>Table</w:t>
      </w:r>
      <w:r>
        <w:rPr>
          <w:rFonts w:ascii="Arial" w:eastAsia="Times New Roman" w:hAnsi="Arial" w:cs="Arial"/>
          <w:b/>
          <w:sz w:val="24"/>
          <w:szCs w:val="24"/>
          <w:lang w:eastAsia="nl-NL"/>
        </w:rPr>
        <w:t>, Supplemental Digital Content 3</w:t>
      </w:r>
      <w:r w:rsidRPr="007C324E">
        <w:rPr>
          <w:rFonts w:ascii="Arial" w:eastAsia="Times New Roman" w:hAnsi="Arial" w:cs="Arial"/>
          <w:sz w:val="24"/>
          <w:szCs w:val="24"/>
          <w:lang w:eastAsia="nl-NL"/>
        </w:rPr>
        <w:t>. 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Impact of initial choice of induction therapy on </w:t>
      </w:r>
      <w:proofErr w:type="gramStart"/>
      <w:r>
        <w:rPr>
          <w:rFonts w:ascii="Arial" w:eastAsia="Times New Roman" w:hAnsi="Arial" w:cs="Arial"/>
          <w:sz w:val="24"/>
          <w:szCs w:val="24"/>
          <w:lang w:eastAsia="nl-NL"/>
        </w:rPr>
        <w:t>one year</w:t>
      </w:r>
      <w:proofErr w:type="gramEnd"/>
      <w:r>
        <w:rPr>
          <w:rFonts w:ascii="Arial" w:eastAsia="Times New Roman" w:hAnsi="Arial" w:cs="Arial"/>
          <w:sz w:val="24"/>
          <w:szCs w:val="24"/>
          <w:lang w:eastAsia="nl-NL"/>
        </w:rPr>
        <w:t xml:space="preserve"> outcomes </w:t>
      </w:r>
    </w:p>
    <w:tbl>
      <w:tblPr>
        <w:tblW w:w="87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2410"/>
        <w:gridCol w:w="567"/>
        <w:gridCol w:w="2410"/>
      </w:tblGrid>
      <w:tr w:rsidR="00561ADE" w:rsidRPr="000179E4" w14:paraId="0B750DEA" w14:textId="77777777" w:rsidTr="001C371B">
        <w:trPr>
          <w:trHeight w:val="3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</w:tcPr>
          <w:p w14:paraId="278C5F3C" w14:textId="77777777" w:rsidR="00561ADE" w:rsidRPr="00E4410C" w:rsidRDefault="00561ADE" w:rsidP="001C371B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</w:pPr>
            <w:r w:rsidRPr="00E4410C"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  <w:t>Crohn’s disease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</w:tcPr>
          <w:p w14:paraId="4F2E3CD0" w14:textId="77777777" w:rsidR="00561ADE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</w:tcPr>
          <w:p w14:paraId="3BDFE45C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</w:tcPr>
          <w:p w14:paraId="17486D60" w14:textId="77777777" w:rsidR="00561ADE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</w:tcPr>
          <w:p w14:paraId="5098A815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</w:tc>
      </w:tr>
      <w:tr w:rsidR="00561ADE" w:rsidRPr="000179E4" w14:paraId="3AA2D040" w14:textId="77777777" w:rsidTr="001C371B">
        <w:trPr>
          <w:trHeight w:val="3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hideMark/>
          </w:tcPr>
          <w:p w14:paraId="24A38D25" w14:textId="77777777" w:rsidR="00561ADE" w:rsidRPr="000179E4" w:rsidRDefault="00561ADE" w:rsidP="001C371B">
            <w:pPr>
              <w:spacing w:line="240" w:lineRule="auto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179E4">
              <w:rPr>
                <w:rFonts w:ascii="Arial" w:hAnsi="Arial" w:cs="Arial"/>
                <w:sz w:val="24"/>
                <w:szCs w:val="24"/>
                <w:lang w:eastAsia="nl-NL"/>
              </w:rPr>
              <w:t>Induction + maintenance therapy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hideMark/>
          </w:tcPr>
          <w:p w14:paraId="316A94B1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n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</w:tcPr>
          <w:p w14:paraId="60D71261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179E4">
              <w:rPr>
                <w:rFonts w:ascii="Arial" w:hAnsi="Arial" w:cs="Arial"/>
                <w:sz w:val="24"/>
                <w:szCs w:val="24"/>
                <w:lang w:eastAsia="nl-NL"/>
              </w:rPr>
              <w:t>Median time-to-reach target (range)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hideMark/>
          </w:tcPr>
          <w:p w14:paraId="35E90967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n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</w:tcPr>
          <w:p w14:paraId="481A790D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179E4">
              <w:rPr>
                <w:rFonts w:ascii="Arial" w:hAnsi="Arial" w:cs="Arial"/>
                <w:sz w:val="24"/>
                <w:szCs w:val="24"/>
                <w:lang w:eastAsia="nl-NL"/>
              </w:rPr>
              <w:t>Median time-to-flare (range)</w:t>
            </w:r>
          </w:p>
        </w:tc>
      </w:tr>
      <w:tr w:rsidR="00561ADE" w:rsidRPr="007C324E" w14:paraId="2EB2ED74" w14:textId="77777777" w:rsidTr="001C371B">
        <w:trPr>
          <w:trHeight w:val="340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31BE9A4" w14:textId="77777777" w:rsidR="00561ADE" w:rsidRPr="000179E4" w:rsidRDefault="00561ADE" w:rsidP="001C371B">
            <w:pPr>
              <w:spacing w:line="240" w:lineRule="auto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EEN + thiopurine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30DEE982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4C1AD6">
              <w:rPr>
                <w:rFonts w:ascii="Arial" w:hAnsi="Arial" w:cs="Arial"/>
                <w:sz w:val="24"/>
                <w:szCs w:val="24"/>
                <w:lang w:eastAsia="nl-NL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2B0EB27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4C1AD6">
              <w:rPr>
                <w:rFonts w:ascii="Arial" w:hAnsi="Arial" w:cs="Arial"/>
                <w:sz w:val="24"/>
                <w:szCs w:val="24"/>
                <w:lang w:eastAsia="nl-NL"/>
              </w:rPr>
              <w:t>7.5 weeks (4 – 24)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083A2996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4C1AD6">
              <w:rPr>
                <w:rFonts w:ascii="Arial" w:hAnsi="Arial" w:cs="Arial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A5A210E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4C1AD6">
              <w:rPr>
                <w:rFonts w:ascii="Arial" w:hAnsi="Arial" w:cs="Arial"/>
                <w:sz w:val="24"/>
                <w:szCs w:val="24"/>
                <w:lang w:eastAsia="nl-NL"/>
              </w:rPr>
              <w:t>7 weeks (1 – 42)</w:t>
            </w:r>
          </w:p>
        </w:tc>
      </w:tr>
      <w:tr w:rsidR="00561ADE" w:rsidRPr="007C324E" w14:paraId="42B70109" w14:textId="77777777" w:rsidTr="001C371B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4C4D0A" w14:textId="77777777" w:rsidR="00561ADE" w:rsidRPr="007C324E" w:rsidRDefault="00561ADE" w:rsidP="001C371B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nl-NL"/>
              </w:rPr>
              <w:t>Steroids + thiopurine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344091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A9DBC89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14.5 weeks (4 – 58)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56C703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C1D7FA6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41.5 weeks (34 – 49)</w:t>
            </w:r>
          </w:p>
        </w:tc>
      </w:tr>
    </w:tbl>
    <w:p w14:paraId="01AF8852" w14:textId="77777777" w:rsidR="00561ADE" w:rsidRPr="000179E4" w:rsidRDefault="00561ADE" w:rsidP="00561ADE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tbl>
      <w:tblPr>
        <w:tblW w:w="87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2410"/>
        <w:gridCol w:w="567"/>
        <w:gridCol w:w="2410"/>
      </w:tblGrid>
      <w:tr w:rsidR="00561ADE" w:rsidRPr="000179E4" w14:paraId="1DB0F92B" w14:textId="77777777" w:rsidTr="001C371B">
        <w:trPr>
          <w:trHeight w:val="3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60D614B" w14:textId="77777777" w:rsidR="00561ADE" w:rsidRPr="00E4410C" w:rsidRDefault="00561ADE" w:rsidP="001C371B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</w:pPr>
            <w:r w:rsidRPr="00E4410C"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  <w:t>Ulcerative colitis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A5A5A3C" w14:textId="77777777" w:rsidR="00561ADE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446E10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3F337B" w14:textId="77777777" w:rsidR="00561ADE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A6BD17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</w:tc>
      </w:tr>
      <w:tr w:rsidR="00561ADE" w:rsidRPr="000179E4" w14:paraId="0F996251" w14:textId="77777777" w:rsidTr="001C371B">
        <w:trPr>
          <w:trHeight w:val="3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hideMark/>
          </w:tcPr>
          <w:p w14:paraId="2953A9FC" w14:textId="77777777" w:rsidR="00561ADE" w:rsidRPr="000179E4" w:rsidRDefault="00561ADE" w:rsidP="001C371B">
            <w:pPr>
              <w:spacing w:line="240" w:lineRule="auto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179E4">
              <w:rPr>
                <w:rFonts w:ascii="Arial" w:hAnsi="Arial" w:cs="Arial"/>
                <w:sz w:val="24"/>
                <w:szCs w:val="24"/>
                <w:lang w:eastAsia="nl-NL"/>
              </w:rPr>
              <w:t>Induction + maintenance therapy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hideMark/>
          </w:tcPr>
          <w:p w14:paraId="09ACE757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n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</w:tcPr>
          <w:p w14:paraId="4933B053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179E4">
              <w:rPr>
                <w:rFonts w:ascii="Arial" w:hAnsi="Arial" w:cs="Arial"/>
                <w:sz w:val="24"/>
                <w:szCs w:val="24"/>
                <w:lang w:eastAsia="nl-NL"/>
              </w:rPr>
              <w:t>Median time-to-reach target (range)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hideMark/>
          </w:tcPr>
          <w:p w14:paraId="5F003113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n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</w:tcPr>
          <w:p w14:paraId="25678656" w14:textId="77777777" w:rsidR="00561ADE" w:rsidRPr="000179E4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179E4">
              <w:rPr>
                <w:rFonts w:ascii="Arial" w:hAnsi="Arial" w:cs="Arial"/>
                <w:sz w:val="24"/>
                <w:szCs w:val="24"/>
                <w:lang w:eastAsia="nl-NL"/>
              </w:rPr>
              <w:t>Median time-to-flare (range)</w:t>
            </w:r>
          </w:p>
        </w:tc>
      </w:tr>
      <w:tr w:rsidR="00561ADE" w:rsidRPr="007C324E" w14:paraId="763CBB4C" w14:textId="77777777" w:rsidTr="001C371B">
        <w:trPr>
          <w:trHeight w:val="340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A5D856F" w14:textId="77777777" w:rsidR="00561ADE" w:rsidRPr="000179E4" w:rsidRDefault="00561ADE" w:rsidP="001C371B">
            <w:pPr>
              <w:spacing w:line="240" w:lineRule="auto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Steroids + 5-ASA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40D4BC28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C43134A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11 weeks (3 – 56)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7447BFAB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F90EF64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22 weeks (5 – 55)</w:t>
            </w:r>
          </w:p>
        </w:tc>
      </w:tr>
      <w:tr w:rsidR="00561ADE" w:rsidRPr="007C324E" w14:paraId="512E3D19" w14:textId="77777777" w:rsidTr="001C371B">
        <w:trPr>
          <w:trHeight w:val="340"/>
        </w:trPr>
        <w:tc>
          <w:tcPr>
            <w:tcW w:w="2835" w:type="dxa"/>
            <w:shd w:val="clear" w:color="auto" w:fill="auto"/>
            <w:noWrap/>
            <w:vAlign w:val="center"/>
          </w:tcPr>
          <w:p w14:paraId="12EA4913" w14:textId="77777777" w:rsidR="00561ADE" w:rsidRPr="007C324E" w:rsidRDefault="00561ADE" w:rsidP="001C371B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nl-NL"/>
              </w:rPr>
              <w:t>Steroids + thiopurine + 5-ASA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02181F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2410" w:type="dxa"/>
            <w:vAlign w:val="center"/>
          </w:tcPr>
          <w:p w14:paraId="08643C46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11 weeks (2 – 35)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690933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2410" w:type="dxa"/>
            <w:vAlign w:val="center"/>
          </w:tcPr>
          <w:p w14:paraId="40928CBE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40 weeks (20 – 73)</w:t>
            </w:r>
          </w:p>
        </w:tc>
      </w:tr>
      <w:tr w:rsidR="00561ADE" w:rsidRPr="007C324E" w14:paraId="70F2D91E" w14:textId="77777777" w:rsidTr="001C371B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EACD62" w14:textId="77777777" w:rsidR="00561ADE" w:rsidRPr="007C324E" w:rsidRDefault="00561ADE" w:rsidP="001C371B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nl-NL"/>
              </w:rPr>
              <w:t>5-ASA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D6189E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F7B5484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5 weeks (3 – 63)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6341A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0E9B5DF" w14:textId="77777777" w:rsidR="00561ADE" w:rsidRPr="004C1AD6" w:rsidRDefault="00561ADE" w:rsidP="001C371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43 weeks</w:t>
            </w:r>
          </w:p>
        </w:tc>
      </w:tr>
    </w:tbl>
    <w:p w14:paraId="2F803B13" w14:textId="77777777" w:rsidR="00561ADE" w:rsidRPr="002B6673" w:rsidRDefault="00561ADE" w:rsidP="00561ADE">
      <w:pPr>
        <w:spacing w:after="0" w:line="240" w:lineRule="auto"/>
        <w:rPr>
          <w:lang w:val="sv-SE"/>
        </w:rPr>
      </w:pPr>
    </w:p>
    <w:p w14:paraId="50DA4747" w14:textId="65672663" w:rsidR="00561ADE" w:rsidRDefault="00561ADE">
      <w:pP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br w:type="page"/>
      </w:r>
    </w:p>
    <w:p w14:paraId="6FF1E742" w14:textId="64F1FBB8" w:rsidR="00561ADE" w:rsidRDefault="00561ADE" w:rsidP="00561ADE">
      <w:pPr>
        <w:spacing w:after="200" w:line="480" w:lineRule="auto"/>
        <w:rPr>
          <w:rFonts w:ascii="Arial" w:hAnsi="Arial" w:cs="Arial"/>
          <w:color w:val="000000" w:themeColor="text1"/>
          <w:sz w:val="24"/>
          <w:szCs w:val="24"/>
          <w:lang w:val="fr-FR"/>
        </w:rPr>
      </w:pPr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lastRenderedPageBreak/>
        <w:t xml:space="preserve">Figure, </w:t>
      </w:r>
      <w:proofErr w:type="spellStart"/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Supplemental</w:t>
      </w:r>
      <w:proofErr w:type="spellEnd"/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Digital Content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4</w:t>
      </w:r>
      <w:r w:rsidRPr="001D1CDD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.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Overview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of changes in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faecal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calprotectin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from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baseline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to the moment of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reaching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the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target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range</w:t>
      </w:r>
      <w:r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</w:t>
      </w:r>
      <w:r w:rsidRPr="009C0076">
        <w:rPr>
          <w:rFonts w:ascii="Arial" w:hAnsi="Arial" w:cs="Arial"/>
          <w:color w:val="000000" w:themeColor="text1"/>
          <w:sz w:val="24"/>
          <w:szCs w:val="24"/>
        </w:rPr>
        <w:t>(</w:t>
      </w:r>
      <w:r w:rsidRPr="009C0076">
        <w:rPr>
          <w:rFonts w:ascii="Arial" w:hAnsi="Arial" w:cs="Arial"/>
          <w:color w:val="000000" w:themeColor="text1"/>
          <w:sz w:val="24"/>
          <w:szCs w:val="24"/>
        </w:rPr>
        <w:sym w:font="Symbol" w:char="F044"/>
      </w:r>
      <w:r w:rsidRPr="009C0076">
        <w:rPr>
          <w:rFonts w:ascii="Arial" w:hAnsi="Arial" w:cs="Arial"/>
          <w:color w:val="000000" w:themeColor="text1"/>
          <w:sz w:val="24"/>
          <w:szCs w:val="24"/>
        </w:rPr>
        <w:t>FC</w:t>
      </w:r>
      <w:r w:rsidRPr="009C0076">
        <w:rPr>
          <w:rFonts w:ascii="Arial" w:hAnsi="Arial" w:cs="Arial"/>
          <w:color w:val="000000" w:themeColor="text1"/>
          <w:sz w:val="24"/>
          <w:szCs w:val="24"/>
          <w:vertAlign w:val="subscript"/>
        </w:rPr>
        <w:sym w:font="Symbol" w:char="F0AF"/>
      </w:r>
      <w:r w:rsidRPr="009C0076">
        <w:rPr>
          <w:rFonts w:ascii="Arial" w:hAnsi="Arial" w:cs="Arial"/>
          <w:color w:val="000000" w:themeColor="text1"/>
          <w:sz w:val="24"/>
          <w:szCs w:val="24"/>
        </w:rPr>
        <w:t>)</w:t>
      </w:r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and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from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the last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result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in range to the first out-of-range </w:t>
      </w:r>
      <w:proofErr w:type="spellStart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>result</w:t>
      </w:r>
      <w:proofErr w:type="spellEnd"/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</w:t>
      </w:r>
      <w:r w:rsidRPr="009C0076">
        <w:rPr>
          <w:rFonts w:ascii="Arial" w:hAnsi="Arial" w:cs="Arial"/>
          <w:color w:val="000000" w:themeColor="text1"/>
          <w:sz w:val="24"/>
          <w:szCs w:val="24"/>
        </w:rPr>
        <w:t>(</w:t>
      </w:r>
      <w:r w:rsidRPr="009C0076">
        <w:rPr>
          <w:rFonts w:ascii="Arial" w:hAnsi="Arial" w:cs="Arial"/>
          <w:color w:val="000000" w:themeColor="text1"/>
          <w:sz w:val="24"/>
          <w:szCs w:val="24"/>
        </w:rPr>
        <w:sym w:font="Symbol" w:char="F044"/>
      </w:r>
      <w:r w:rsidRPr="009C0076">
        <w:rPr>
          <w:rFonts w:ascii="Arial" w:hAnsi="Arial" w:cs="Arial"/>
          <w:color w:val="000000" w:themeColor="text1"/>
          <w:sz w:val="24"/>
          <w:szCs w:val="24"/>
        </w:rPr>
        <w:t>FC</w:t>
      </w:r>
      <w:r w:rsidRPr="009C0076">
        <w:rPr>
          <w:rFonts w:ascii="Arial" w:hAnsi="Arial" w:cs="Arial"/>
          <w:color w:val="000000" w:themeColor="text1"/>
          <w:sz w:val="24"/>
          <w:szCs w:val="24"/>
          <w:vertAlign w:val="subscript"/>
        </w:rPr>
        <w:sym w:font="Symbol" w:char="F0AD"/>
      </w:r>
      <w:r w:rsidRPr="009C0076">
        <w:rPr>
          <w:rFonts w:ascii="Arial" w:hAnsi="Arial" w:cs="Arial"/>
          <w:color w:val="000000" w:themeColor="text1"/>
          <w:sz w:val="24"/>
          <w:szCs w:val="24"/>
        </w:rPr>
        <w:t>).</w:t>
      </w:r>
      <w:r w:rsidRPr="009C0076">
        <w:rPr>
          <w:rFonts w:ascii="Arial" w:hAnsi="Arial" w:cs="Arial"/>
          <w:color w:val="000000" w:themeColor="text1"/>
          <w:sz w:val="24"/>
          <w:szCs w:val="24"/>
          <w:lang w:val="fr-FR"/>
        </w:rPr>
        <w:t xml:space="preserve"> </w:t>
      </w:r>
    </w:p>
    <w:p w14:paraId="3252AC51" w14:textId="504492BE" w:rsidR="00561ADE" w:rsidRPr="00FD7592" w:rsidRDefault="00561ADE" w:rsidP="00561ADE">
      <w:pPr>
        <w:spacing w:after="200" w:line="480" w:lineRule="auto"/>
        <w:rPr>
          <w:rFonts w:ascii="Arial" w:hAnsi="Arial" w:cs="Arial"/>
          <w:color w:val="000000" w:themeColor="text1"/>
          <w:sz w:val="24"/>
          <w:szCs w:val="24"/>
          <w:lang w:val="fr-FR"/>
        </w:rPr>
      </w:pPr>
      <w:bookmarkStart w:id="0" w:name="_GoBack"/>
      <w:bookmarkEnd w:id="0"/>
      <w:r>
        <w:rPr>
          <w:rFonts w:ascii="Arial" w:hAnsi="Arial" w:cs="Arial"/>
          <w:noProof/>
          <w:color w:val="000000" w:themeColor="text1"/>
          <w:sz w:val="24"/>
          <w:szCs w:val="24"/>
          <w:lang w:val="fr-FR"/>
        </w:rPr>
        <w:drawing>
          <wp:inline distT="0" distB="0" distL="0" distR="0" wp14:anchorId="6743957C" wp14:editId="38C09C9A">
            <wp:extent cx="3248025" cy="7058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7573" w14:textId="77777777" w:rsidR="00D1054E" w:rsidRDefault="00D1054E"/>
    <w:sectPr w:rsidR="00D1054E">
      <w:footerReference w:type="even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945907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41CCB5" w14:textId="77777777" w:rsidR="00137612" w:rsidRDefault="00561ADE" w:rsidP="00A348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570DCD" w14:textId="77777777" w:rsidR="00137612" w:rsidRDefault="00561ADE" w:rsidP="005328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279678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F2B498" w14:textId="77777777" w:rsidR="00137612" w:rsidRDefault="00561ADE" w:rsidP="00A348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06D28E" w14:textId="77777777" w:rsidR="00137612" w:rsidRDefault="00561ADE" w:rsidP="00532837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ADE"/>
    <w:rsid w:val="00561ADE"/>
    <w:rsid w:val="00D1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26D1B"/>
  <w15:chartTrackingRefBased/>
  <w15:docId w15:val="{E071C51F-443D-4FA9-8A46-9F8C2114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A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61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ADE"/>
  </w:style>
  <w:style w:type="character" w:styleId="PageNumber">
    <w:name w:val="page number"/>
    <w:basedOn w:val="DefaultParagraphFont"/>
    <w:uiPriority w:val="99"/>
    <w:semiHidden/>
    <w:unhideWhenUsed/>
    <w:rsid w:val="00561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1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Peeples</dc:creator>
  <cp:keywords/>
  <dc:description/>
  <cp:lastModifiedBy>Justin Peeples</cp:lastModifiedBy>
  <cp:revision>1</cp:revision>
  <dcterms:created xsi:type="dcterms:W3CDTF">2019-07-25T18:27:00Z</dcterms:created>
  <dcterms:modified xsi:type="dcterms:W3CDTF">2019-07-25T18:37:00Z</dcterms:modified>
</cp:coreProperties>
</file>