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792A" w14:textId="2EC0D586" w:rsidR="00074C41" w:rsidRDefault="00074C41">
      <w:r w:rsidRPr="00074C41">
        <w:rPr>
          <w:rFonts w:ascii="Arial" w:hAnsi="Arial" w:cs="Arial"/>
          <w:b/>
        </w:rPr>
        <w:t>Figure S1:  Study Schema</w:t>
      </w:r>
    </w:p>
    <w:p w14:paraId="19BC4E57" w14:textId="77777777" w:rsidR="00074C41" w:rsidRDefault="00074C41"/>
    <w:p w14:paraId="2BCC9395" w14:textId="4E123F66" w:rsidR="00227D22" w:rsidRDefault="00197ADC" w:rsidP="00074C41">
      <w:pPr>
        <w:jc w:val="center"/>
      </w:pPr>
      <w:r>
        <w:rPr>
          <w:noProof/>
        </w:rPr>
        <w:drawing>
          <wp:inline distT="0" distB="0" distL="0" distR="0" wp14:anchorId="1271A0CD" wp14:editId="2E525CD2">
            <wp:extent cx="3048000" cy="5554218"/>
            <wp:effectExtent l="0" t="0" r="0" b="889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ort figure 07162019.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5554218"/>
                    </a:xfrm>
                    <a:prstGeom prst="rect">
                      <a:avLst/>
                    </a:prstGeom>
                  </pic:spPr>
                </pic:pic>
              </a:graphicData>
            </a:graphic>
          </wp:inline>
        </w:drawing>
      </w:r>
    </w:p>
    <w:p w14:paraId="2D16FF14" w14:textId="66445FA1" w:rsidR="003C1578" w:rsidRDefault="003C1578" w:rsidP="003C1578"/>
    <w:p w14:paraId="38386581" w14:textId="51C58368" w:rsidR="003C1578" w:rsidRPr="003C1578" w:rsidRDefault="003C1578" w:rsidP="003C1578">
      <w:pPr>
        <w:spacing w:after="0" w:line="480" w:lineRule="auto"/>
        <w:rPr>
          <w:rFonts w:ascii="Arial" w:hAnsi="Arial" w:cs="Arial"/>
          <w:color w:val="000000" w:themeColor="text1"/>
        </w:rPr>
      </w:pPr>
      <w:r w:rsidRPr="003C1578">
        <w:rPr>
          <w:rFonts w:ascii="Arial" w:hAnsi="Arial" w:cs="Arial"/>
          <w:color w:val="000000" w:themeColor="text1"/>
        </w:rPr>
        <w:t>PPI dosage is reported as the total dosage in mg given per kg per day.  Patients received two PPI doses per day so one half of the reported dosage was given at each dosing interval.  Patient counts and percentages of the total count are reported as (n=xx; N%).  Abbreviations: yo, years old; PPI, proton pump inhibitor; eos, eosinophils; hpf, high powered field (0.24 mm</w:t>
      </w:r>
      <w:r w:rsidRPr="003C1578">
        <w:rPr>
          <w:rFonts w:ascii="Arial" w:hAnsi="Arial" w:cs="Arial"/>
          <w:color w:val="000000" w:themeColor="text1"/>
          <w:vertAlign w:val="superscript"/>
        </w:rPr>
        <w:t>2</w:t>
      </w:r>
      <w:r w:rsidRPr="003C1578">
        <w:rPr>
          <w:rFonts w:ascii="Arial" w:hAnsi="Arial" w:cs="Arial"/>
          <w:color w:val="000000" w:themeColor="text1"/>
        </w:rPr>
        <w:t>); PPI-REE, PPI responsive es</w:t>
      </w:r>
      <w:r w:rsidR="00357F8F">
        <w:rPr>
          <w:rFonts w:ascii="Arial" w:hAnsi="Arial" w:cs="Arial"/>
          <w:color w:val="000000" w:themeColor="text1"/>
        </w:rPr>
        <w:t>o</w:t>
      </w:r>
      <w:r w:rsidRPr="003C1578">
        <w:rPr>
          <w:rFonts w:ascii="Arial" w:hAnsi="Arial" w:cs="Arial"/>
          <w:color w:val="000000" w:themeColor="text1"/>
        </w:rPr>
        <w:t>ph</w:t>
      </w:r>
      <w:r w:rsidR="00357F8F">
        <w:rPr>
          <w:rFonts w:ascii="Arial" w:hAnsi="Arial" w:cs="Arial"/>
          <w:color w:val="000000" w:themeColor="text1"/>
        </w:rPr>
        <w:t>ageal</w:t>
      </w:r>
      <w:r w:rsidRPr="003C1578">
        <w:rPr>
          <w:rFonts w:ascii="Arial" w:hAnsi="Arial" w:cs="Arial"/>
          <w:color w:val="000000" w:themeColor="text1"/>
        </w:rPr>
        <w:t xml:space="preserve"> eo</w:t>
      </w:r>
      <w:r w:rsidR="00357F8F">
        <w:rPr>
          <w:rFonts w:ascii="Arial" w:hAnsi="Arial" w:cs="Arial"/>
          <w:color w:val="000000" w:themeColor="text1"/>
        </w:rPr>
        <w:t>sinophilia</w:t>
      </w:r>
      <w:r w:rsidRPr="003C1578">
        <w:rPr>
          <w:rFonts w:ascii="Arial" w:hAnsi="Arial" w:cs="Arial"/>
          <w:color w:val="000000" w:themeColor="text1"/>
        </w:rPr>
        <w:t>; PPI-n</w:t>
      </w:r>
      <w:r>
        <w:rPr>
          <w:rFonts w:ascii="Arial" w:hAnsi="Arial" w:cs="Arial"/>
          <w:color w:val="000000" w:themeColor="text1"/>
        </w:rPr>
        <w:t xml:space="preserve">onresponsive </w:t>
      </w:r>
      <w:r w:rsidRPr="003C1578">
        <w:rPr>
          <w:rFonts w:ascii="Arial" w:hAnsi="Arial" w:cs="Arial"/>
          <w:color w:val="000000" w:themeColor="text1"/>
        </w:rPr>
        <w:t>E</w:t>
      </w:r>
      <w:r>
        <w:rPr>
          <w:rFonts w:ascii="Arial" w:hAnsi="Arial" w:cs="Arial"/>
          <w:color w:val="000000" w:themeColor="text1"/>
        </w:rPr>
        <w:t>o</w:t>
      </w:r>
      <w:r w:rsidRPr="003C1578">
        <w:rPr>
          <w:rFonts w:ascii="Arial" w:hAnsi="Arial" w:cs="Arial"/>
          <w:color w:val="000000" w:themeColor="text1"/>
        </w:rPr>
        <w:t xml:space="preserve">E, PPI </w:t>
      </w:r>
      <w:r>
        <w:rPr>
          <w:rFonts w:ascii="Arial" w:hAnsi="Arial" w:cs="Arial"/>
          <w:color w:val="000000" w:themeColor="text1"/>
        </w:rPr>
        <w:t>nonres</w:t>
      </w:r>
      <w:r w:rsidRPr="003C1578">
        <w:rPr>
          <w:rFonts w:ascii="Arial" w:hAnsi="Arial" w:cs="Arial"/>
          <w:color w:val="000000" w:themeColor="text1"/>
        </w:rPr>
        <w:t>ponsive eosinophilic esophagitis.</w:t>
      </w:r>
    </w:p>
    <w:p w14:paraId="68159A9F" w14:textId="77777777" w:rsidR="003C1578" w:rsidRDefault="003C1578" w:rsidP="003C1578">
      <w:bookmarkStart w:id="0" w:name="_GoBack"/>
      <w:bookmarkEnd w:id="0"/>
    </w:p>
    <w:sectPr w:rsidR="003C1578" w:rsidSect="00197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DC"/>
    <w:rsid w:val="00074C41"/>
    <w:rsid w:val="00197ADC"/>
    <w:rsid w:val="00227D22"/>
    <w:rsid w:val="00357F8F"/>
    <w:rsid w:val="003C1578"/>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CB17"/>
  <w15:chartTrackingRefBased/>
  <w15:docId w15:val="{DA528172-DBFC-4721-BB25-0DAD40D6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Mougey</dc:creator>
  <cp:keywords/>
  <dc:description/>
  <cp:lastModifiedBy>Ed Mougey</cp:lastModifiedBy>
  <cp:revision>2</cp:revision>
  <dcterms:created xsi:type="dcterms:W3CDTF">2019-07-16T14:43:00Z</dcterms:created>
  <dcterms:modified xsi:type="dcterms:W3CDTF">2019-07-16T14:43:00Z</dcterms:modified>
</cp:coreProperties>
</file>