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132A5" w14:textId="77777777" w:rsidR="00E171CE" w:rsidRPr="00E171CE" w:rsidRDefault="00E171CE" w:rsidP="004579E6">
      <w:pPr>
        <w:spacing w:line="480" w:lineRule="auto"/>
        <w:jc w:val="both"/>
        <w:outlineLvl w:val="0"/>
        <w:rPr>
          <w:rFonts w:ascii="Times New Roman" w:hAnsi="Times New Roman" w:cs="Times New Roman"/>
          <w:i/>
          <w:iCs/>
        </w:rPr>
      </w:pPr>
      <w:proofErr w:type="spellStart"/>
      <w:r w:rsidRPr="00E171CE">
        <w:rPr>
          <w:rFonts w:ascii="Times New Roman" w:hAnsi="Times New Roman" w:cs="Times New Roman"/>
          <w:i/>
          <w:iCs/>
        </w:rPr>
        <w:t>Suppl</w:t>
      </w:r>
      <w:proofErr w:type="spellEnd"/>
      <w:r w:rsidRPr="00E171CE">
        <w:rPr>
          <w:rFonts w:ascii="Times New Roman" w:hAnsi="Times New Roman" w:cs="Times New Roman"/>
          <w:i/>
          <w:iCs/>
        </w:rPr>
        <w:t xml:space="preserve"> Content 1</w:t>
      </w:r>
    </w:p>
    <w:p w14:paraId="0EFBE22A" w14:textId="182A3BB4" w:rsidR="00AF4280" w:rsidRPr="00E171CE" w:rsidRDefault="00AF4280" w:rsidP="004579E6">
      <w:pPr>
        <w:spacing w:line="480" w:lineRule="auto"/>
        <w:jc w:val="both"/>
        <w:outlineLvl w:val="0"/>
        <w:rPr>
          <w:rFonts w:ascii="Times New Roman" w:hAnsi="Times New Roman" w:cs="Times New Roman"/>
          <w:i/>
          <w:iCs/>
        </w:rPr>
      </w:pPr>
      <w:r w:rsidRPr="00E171CE">
        <w:rPr>
          <w:rFonts w:ascii="Times New Roman" w:hAnsi="Times New Roman" w:cs="Times New Roman"/>
          <w:i/>
          <w:iCs/>
        </w:rPr>
        <w:t>Measurement of</w:t>
      </w:r>
      <w:r w:rsidR="002E65B4" w:rsidRPr="00E171CE">
        <w:rPr>
          <w:rFonts w:ascii="Times New Roman" w:hAnsi="Times New Roman" w:cs="Times New Roman"/>
          <w:i/>
          <w:iCs/>
        </w:rPr>
        <w:t xml:space="preserve"> plasma</w:t>
      </w:r>
      <w:r w:rsidRPr="00E171CE">
        <w:rPr>
          <w:rFonts w:ascii="Times New Roman" w:hAnsi="Times New Roman" w:cs="Times New Roman"/>
          <w:i/>
          <w:iCs/>
        </w:rPr>
        <w:t xml:space="preserve"> GLP-2</w:t>
      </w:r>
    </w:p>
    <w:p w14:paraId="70201EBA" w14:textId="4793F7E7" w:rsidR="00AF4280" w:rsidRPr="00E171CE" w:rsidRDefault="00AF4280" w:rsidP="004579E6">
      <w:pPr>
        <w:widowControl w:val="0"/>
        <w:spacing w:line="480" w:lineRule="auto"/>
        <w:jc w:val="both"/>
        <w:rPr>
          <w:rFonts w:ascii="Times New Roman" w:eastAsia="Arial Unicode MS" w:hAnsi="Times New Roman" w:cs="Times New Roman"/>
        </w:rPr>
      </w:pPr>
      <w:r w:rsidRPr="00E171CE">
        <w:rPr>
          <w:rFonts w:ascii="Times New Roman" w:eastAsia="Arial Unicode MS" w:hAnsi="Times New Roman" w:cs="Times New Roman"/>
        </w:rPr>
        <w:t>Blood samples were collected from the antecubital vein following local anaesthesia with 4% tetracaine gel, into BD Vacutainer plastic blood collection tubes (Becton Dickinson, Plymouth, UK), and spun down at 2700rpm for 15mins; plasma was then aliquoted in duplicate into 1.5ml tubes for storage at -80°C. Plasma samples were tested for total GLP-2 by Enzyme Linked Immunosorbent Assay (Millipore Corporation, St Charles Missouri, USA). The assay is a sandwich ELISA that measures the enzyme activity spectrophotometrically by the increased absorbance at 450nm-540nm after acidification of formed products</w:t>
      </w:r>
      <w:r w:rsidR="004625E9" w:rsidRPr="00E171CE">
        <w:rPr>
          <w:rFonts w:ascii="Times New Roman" w:eastAsia="Arial Unicode MS" w:hAnsi="Times New Roman" w:cs="Times New Roman"/>
        </w:rPr>
        <w:t>. Briefly, 50ul of standards and samples were added in duplicate to a microtiter assay plate which contained 50ul of assay buffer</w:t>
      </w:r>
      <w:r w:rsidRPr="00E171CE">
        <w:rPr>
          <w:rFonts w:ascii="Times New Roman" w:eastAsia="Arial Unicode MS" w:hAnsi="Times New Roman" w:cs="Times New Roman"/>
        </w:rPr>
        <w:t xml:space="preserve">. </w:t>
      </w:r>
      <w:r w:rsidR="004625E9" w:rsidRPr="00E171CE">
        <w:rPr>
          <w:rFonts w:ascii="Times New Roman" w:eastAsia="Arial Unicode MS" w:hAnsi="Times New Roman" w:cs="Times New Roman"/>
        </w:rPr>
        <w:t xml:space="preserve">The plate was then incubated for 2 hours, washed and then incubated for another hour after addition of detection antibody. </w:t>
      </w:r>
      <w:r w:rsidR="003479DB" w:rsidRPr="00E171CE">
        <w:rPr>
          <w:rFonts w:ascii="Times New Roman" w:eastAsia="Arial Unicode MS" w:hAnsi="Times New Roman" w:cs="Times New Roman"/>
        </w:rPr>
        <w:t>The plate was then washed a second time, before e</w:t>
      </w:r>
      <w:r w:rsidR="004625E9" w:rsidRPr="00E171CE">
        <w:rPr>
          <w:rFonts w:ascii="Times New Roman" w:eastAsia="Arial Unicode MS" w:hAnsi="Times New Roman" w:cs="Times New Roman"/>
        </w:rPr>
        <w:t>nzyme solution was added for 30minutes</w:t>
      </w:r>
      <w:r w:rsidR="003479DB" w:rsidRPr="00E171CE">
        <w:rPr>
          <w:rFonts w:ascii="Times New Roman" w:eastAsia="Arial Unicode MS" w:hAnsi="Times New Roman" w:cs="Times New Roman"/>
        </w:rPr>
        <w:t>.</w:t>
      </w:r>
      <w:r w:rsidR="004625E9" w:rsidRPr="00E171CE">
        <w:rPr>
          <w:rFonts w:ascii="Times New Roman" w:eastAsia="Arial Unicode MS" w:hAnsi="Times New Roman" w:cs="Times New Roman"/>
        </w:rPr>
        <w:t xml:space="preserve"> </w:t>
      </w:r>
      <w:r w:rsidR="003479DB" w:rsidRPr="00E171CE">
        <w:rPr>
          <w:rFonts w:ascii="Times New Roman" w:eastAsia="Arial Unicode MS" w:hAnsi="Times New Roman" w:cs="Times New Roman"/>
        </w:rPr>
        <w:t xml:space="preserve">100uL of substrate solution was </w:t>
      </w:r>
      <w:r w:rsidR="00402153" w:rsidRPr="00E171CE">
        <w:rPr>
          <w:rFonts w:ascii="Times New Roman" w:eastAsia="Arial Unicode MS" w:hAnsi="Times New Roman" w:cs="Times New Roman"/>
        </w:rPr>
        <w:t xml:space="preserve">then </w:t>
      </w:r>
      <w:r w:rsidR="003479DB" w:rsidRPr="00E171CE">
        <w:rPr>
          <w:rFonts w:ascii="Times New Roman" w:eastAsia="Arial Unicode MS" w:hAnsi="Times New Roman" w:cs="Times New Roman"/>
        </w:rPr>
        <w:t xml:space="preserve">added for 20mins before the reaction was stopped. </w:t>
      </w:r>
      <w:r w:rsidRPr="00E171CE">
        <w:rPr>
          <w:rFonts w:ascii="Times New Roman" w:eastAsia="Arial Unicode MS" w:hAnsi="Times New Roman" w:cs="Times New Roman"/>
        </w:rPr>
        <w:t xml:space="preserve">The plate was read using a </w:t>
      </w:r>
      <w:proofErr w:type="spellStart"/>
      <w:r w:rsidRPr="00E171CE">
        <w:rPr>
          <w:rFonts w:ascii="Times New Roman" w:eastAsia="Arial Unicode MS" w:hAnsi="Times New Roman" w:cs="Times New Roman"/>
        </w:rPr>
        <w:t>BioTek</w:t>
      </w:r>
      <w:proofErr w:type="spellEnd"/>
      <w:r w:rsidRPr="00E171CE">
        <w:rPr>
          <w:rFonts w:ascii="Times New Roman" w:eastAsia="Arial Unicode MS" w:hAnsi="Times New Roman" w:cs="Times New Roman"/>
        </w:rPr>
        <w:t xml:space="preserve"> Plate Reader and analysed using Gen 5.1.10 software.</w:t>
      </w:r>
      <w:r w:rsidR="003479DB" w:rsidRPr="00E171CE">
        <w:rPr>
          <w:rFonts w:ascii="Times New Roman" w:eastAsia="Arial Unicode MS" w:hAnsi="Times New Roman" w:cs="Times New Roman"/>
        </w:rPr>
        <w:t xml:space="preserve"> The GLP-2 kit used does not differentiate between the inactive (1-33) and the active (3-33) peptide forms of GLP-2.</w:t>
      </w:r>
    </w:p>
    <w:p w14:paraId="792422B9" w14:textId="7A551C53" w:rsidR="001513EB" w:rsidRPr="00E171CE" w:rsidRDefault="001513EB" w:rsidP="004579E6">
      <w:pPr>
        <w:widowControl w:val="0"/>
        <w:spacing w:line="480" w:lineRule="auto"/>
        <w:jc w:val="both"/>
        <w:rPr>
          <w:rFonts w:ascii="Times New Roman" w:eastAsia="Arial Unicode MS" w:hAnsi="Times New Roman" w:cs="Times New Roman"/>
        </w:rPr>
      </w:pPr>
    </w:p>
    <w:p w14:paraId="7D0D481E" w14:textId="1A266DA3" w:rsidR="001513EB" w:rsidRPr="00E171CE" w:rsidRDefault="001513EB" w:rsidP="004579E6">
      <w:pPr>
        <w:widowControl w:val="0"/>
        <w:spacing w:line="480" w:lineRule="auto"/>
        <w:jc w:val="both"/>
        <w:rPr>
          <w:rFonts w:ascii="Times New Roman" w:eastAsia="Arial Unicode MS" w:hAnsi="Times New Roman" w:cs="Times New Roman"/>
          <w:i/>
          <w:iCs/>
        </w:rPr>
      </w:pPr>
      <w:r w:rsidRPr="00E171CE">
        <w:rPr>
          <w:rFonts w:ascii="Times New Roman" w:eastAsia="Arial Unicode MS" w:hAnsi="Times New Roman" w:cs="Times New Roman"/>
          <w:i/>
          <w:iCs/>
        </w:rPr>
        <w:t>Collection of stool and measurement of pathogens</w:t>
      </w:r>
    </w:p>
    <w:p w14:paraId="0194A070" w14:textId="129A3F59" w:rsidR="001513EB" w:rsidRPr="00E171CE" w:rsidRDefault="001513EB" w:rsidP="004579E6">
      <w:pPr>
        <w:widowControl w:val="0"/>
        <w:spacing w:line="480" w:lineRule="auto"/>
        <w:jc w:val="both"/>
        <w:rPr>
          <w:rFonts w:ascii="Times New Roman" w:eastAsia="Arial Unicode MS" w:hAnsi="Times New Roman" w:cs="Times New Roman"/>
        </w:rPr>
      </w:pPr>
      <w:r w:rsidRPr="00E171CE">
        <w:rPr>
          <w:rFonts w:ascii="Times New Roman" w:eastAsia="Arial Unicode MS" w:hAnsi="Times New Roman" w:cs="Times New Roman"/>
        </w:rPr>
        <w:t>Baseline stool samples were collected as the children came for their first visit after recruitment. The collected samples were then transported to the laboratory within a 2-hour window, aliquoted into marked storage containers and stored at -80°C.</w:t>
      </w:r>
    </w:p>
    <w:p w14:paraId="3DDB8DC7" w14:textId="77777777" w:rsidR="001513EB" w:rsidRPr="00E171CE" w:rsidRDefault="001513EB" w:rsidP="004579E6">
      <w:pPr>
        <w:widowControl w:val="0"/>
        <w:spacing w:line="480" w:lineRule="auto"/>
        <w:jc w:val="both"/>
        <w:rPr>
          <w:rFonts w:ascii="Times New Roman" w:eastAsia="Arial Unicode MS" w:hAnsi="Times New Roman" w:cs="Times New Roman"/>
        </w:rPr>
      </w:pPr>
    </w:p>
    <w:p w14:paraId="2ADAE1C3" w14:textId="3DA191F9" w:rsidR="001513EB" w:rsidRPr="00E171CE" w:rsidRDefault="001513EB" w:rsidP="004579E6">
      <w:pPr>
        <w:autoSpaceDE w:val="0"/>
        <w:autoSpaceDN w:val="0"/>
        <w:adjustRightInd w:val="0"/>
        <w:spacing w:line="480" w:lineRule="auto"/>
        <w:rPr>
          <w:rFonts w:ascii="Times New Roman" w:hAnsi="Times New Roman" w:cs="Times New Roman"/>
        </w:rPr>
      </w:pPr>
      <w:r w:rsidRPr="00E171CE">
        <w:rPr>
          <w:rFonts w:ascii="Times New Roman" w:eastAsia="Arial Unicode MS" w:hAnsi="Times New Roman" w:cs="Times New Roman"/>
        </w:rPr>
        <w:t xml:space="preserve">Stool </w:t>
      </w:r>
      <w:r w:rsidR="00F74F74" w:rsidRPr="00E171CE">
        <w:rPr>
          <w:rFonts w:ascii="Times New Roman" w:eastAsia="Arial Unicode MS" w:hAnsi="Times New Roman" w:cs="Times New Roman"/>
        </w:rPr>
        <w:t xml:space="preserve">pathogens </w:t>
      </w:r>
      <w:r w:rsidRPr="00E171CE">
        <w:rPr>
          <w:rFonts w:ascii="Times New Roman" w:eastAsia="Arial Unicode MS" w:hAnsi="Times New Roman" w:cs="Times New Roman"/>
        </w:rPr>
        <w:t>were analysed using the qualitative, multiplex polymerase chain reaction (PCR) based Luminex x-TAG</w:t>
      </w:r>
      <w:r w:rsidRPr="00E171CE">
        <w:rPr>
          <w:rFonts w:ascii="Times New Roman" w:eastAsia="Arial Unicode MS" w:hAnsi="Times New Roman" w:cs="Times New Roman"/>
          <w:vertAlign w:val="superscript"/>
        </w:rPr>
        <w:sym w:font="Symbol" w:char="F0D2"/>
      </w:r>
      <w:r w:rsidRPr="00E171CE">
        <w:rPr>
          <w:rFonts w:ascii="Times New Roman" w:eastAsia="Arial Unicode MS" w:hAnsi="Times New Roman" w:cs="Times New Roman"/>
        </w:rPr>
        <w:t xml:space="preserve">gastrointestinal pathogen panel (Luminex Corporation, Austin, Texas, USA). This assay is able to simultaneously detect 15 enteric pathogens </w:t>
      </w:r>
      <w:r w:rsidRPr="00E171CE">
        <w:rPr>
          <w:rFonts w:ascii="Times New Roman" w:eastAsia="Arial Unicode MS" w:hAnsi="Times New Roman" w:cs="Times New Roman"/>
        </w:rPr>
        <w:lastRenderedPageBreak/>
        <w:t>namely;</w:t>
      </w:r>
      <w:r w:rsidRPr="00E171CE">
        <w:rPr>
          <w:rFonts w:ascii="Times New Roman" w:hAnsi="Times New Roman" w:cs="Times New Roman"/>
        </w:rPr>
        <w:t xml:space="preserve"> Adenovirus 40/41, Campylobacter (C. </w:t>
      </w:r>
      <w:proofErr w:type="spellStart"/>
      <w:r w:rsidRPr="00E171CE">
        <w:rPr>
          <w:rFonts w:ascii="Times New Roman" w:hAnsi="Times New Roman" w:cs="Times New Roman"/>
        </w:rPr>
        <w:t>jejuni</w:t>
      </w:r>
      <w:proofErr w:type="spellEnd"/>
      <w:r w:rsidRPr="00E171CE">
        <w:rPr>
          <w:rFonts w:ascii="Times New Roman" w:hAnsi="Times New Roman" w:cs="Times New Roman"/>
        </w:rPr>
        <w:t xml:space="preserve">, C. coli and C. </w:t>
      </w:r>
      <w:proofErr w:type="spellStart"/>
      <w:r w:rsidRPr="00E171CE">
        <w:rPr>
          <w:rFonts w:ascii="Times New Roman" w:hAnsi="Times New Roman" w:cs="Times New Roman"/>
        </w:rPr>
        <w:t>lari</w:t>
      </w:r>
      <w:proofErr w:type="spellEnd"/>
      <w:r w:rsidRPr="00E171CE">
        <w:rPr>
          <w:rFonts w:ascii="Times New Roman" w:hAnsi="Times New Roman" w:cs="Times New Roman"/>
        </w:rPr>
        <w:t xml:space="preserve"> only), Clostridium difficile (C. difficile) toxin A/B, Cryptosporidium(C. parvum and C. hominis only), Entamoeba histolytica (E. histolytica), Escherichia coli (E. coli) O157, Enterotoxigenic E. coli(ETEC) LT/ST, Giardia (G. lamblia/G. intestinalis/G. </w:t>
      </w:r>
      <w:proofErr w:type="spellStart"/>
      <w:r w:rsidRPr="00E171CE">
        <w:rPr>
          <w:rFonts w:ascii="Times New Roman" w:hAnsi="Times New Roman" w:cs="Times New Roman"/>
        </w:rPr>
        <w:t>duodenalis</w:t>
      </w:r>
      <w:proofErr w:type="spellEnd"/>
      <w:r w:rsidRPr="00E171CE">
        <w:rPr>
          <w:rFonts w:ascii="Times New Roman" w:hAnsi="Times New Roman" w:cs="Times New Roman"/>
        </w:rPr>
        <w:t xml:space="preserve"> only), Norovirus GI/GII, Rotavirus A, Salmonella, Shiga-like Toxin producing E. coli (STEC) </w:t>
      </w:r>
      <w:proofErr w:type="spellStart"/>
      <w:r w:rsidRPr="00E171CE">
        <w:rPr>
          <w:rFonts w:ascii="Times New Roman" w:hAnsi="Times New Roman" w:cs="Times New Roman"/>
        </w:rPr>
        <w:t>stx</w:t>
      </w:r>
      <w:proofErr w:type="spellEnd"/>
      <w:r w:rsidRPr="00E171CE">
        <w:rPr>
          <w:rFonts w:ascii="Times New Roman" w:hAnsi="Times New Roman" w:cs="Times New Roman"/>
        </w:rPr>
        <w:t xml:space="preserve"> 1/</w:t>
      </w:r>
      <w:proofErr w:type="spellStart"/>
      <w:r w:rsidRPr="00E171CE">
        <w:rPr>
          <w:rFonts w:ascii="Times New Roman" w:hAnsi="Times New Roman" w:cs="Times New Roman"/>
        </w:rPr>
        <w:t>stx</w:t>
      </w:r>
      <w:proofErr w:type="spellEnd"/>
      <w:r w:rsidRPr="00E171CE">
        <w:rPr>
          <w:rFonts w:ascii="Times New Roman" w:hAnsi="Times New Roman" w:cs="Times New Roman"/>
        </w:rPr>
        <w:t xml:space="preserve"> 2, Shigella (S. boydii, S. </w:t>
      </w:r>
      <w:proofErr w:type="spellStart"/>
      <w:r w:rsidRPr="00E171CE">
        <w:rPr>
          <w:rFonts w:ascii="Times New Roman" w:hAnsi="Times New Roman" w:cs="Times New Roman"/>
        </w:rPr>
        <w:t>sonnei,S</w:t>
      </w:r>
      <w:proofErr w:type="spellEnd"/>
      <w:r w:rsidRPr="00E171CE">
        <w:rPr>
          <w:rFonts w:ascii="Times New Roman" w:hAnsi="Times New Roman" w:cs="Times New Roman"/>
        </w:rPr>
        <w:t xml:space="preserve">. </w:t>
      </w:r>
      <w:proofErr w:type="spellStart"/>
      <w:r w:rsidRPr="00E171CE">
        <w:rPr>
          <w:rFonts w:ascii="Times New Roman" w:hAnsi="Times New Roman" w:cs="Times New Roman"/>
        </w:rPr>
        <w:t>flexneri</w:t>
      </w:r>
      <w:proofErr w:type="spellEnd"/>
      <w:r w:rsidRPr="00E171CE">
        <w:rPr>
          <w:rFonts w:ascii="Times New Roman" w:hAnsi="Times New Roman" w:cs="Times New Roman"/>
        </w:rPr>
        <w:t xml:space="preserve"> and S. </w:t>
      </w:r>
      <w:proofErr w:type="spellStart"/>
      <w:r w:rsidRPr="00E171CE">
        <w:rPr>
          <w:rFonts w:ascii="Times New Roman" w:hAnsi="Times New Roman" w:cs="Times New Roman"/>
        </w:rPr>
        <w:t>dysenteriae</w:t>
      </w:r>
      <w:proofErr w:type="spellEnd"/>
      <w:r w:rsidRPr="00E171CE">
        <w:rPr>
          <w:rFonts w:ascii="Times New Roman" w:hAnsi="Times New Roman" w:cs="Times New Roman"/>
        </w:rPr>
        <w:t>), Vibrio cholerae (V. cholerae) and Yersinia enterocolitica (Y. enterocolitica).</w:t>
      </w:r>
      <w:r w:rsidRPr="00E171CE">
        <w:rPr>
          <w:rFonts w:ascii="Times New Roman" w:eastAsia="Arial Unicode MS" w:hAnsi="Times New Roman" w:cs="Times New Roman"/>
        </w:rPr>
        <w:t xml:space="preserve"> </w:t>
      </w:r>
    </w:p>
    <w:p w14:paraId="2A13CC4F" w14:textId="76894DCE" w:rsidR="001513EB" w:rsidRPr="00E171CE" w:rsidRDefault="001513EB" w:rsidP="004579E6">
      <w:pPr>
        <w:pStyle w:val="NormalWeb"/>
        <w:spacing w:line="480" w:lineRule="auto"/>
      </w:pPr>
      <w:r w:rsidRPr="00E171CE">
        <w:rPr>
          <w:rFonts w:eastAsia="Arial Unicode MS"/>
        </w:rPr>
        <w:t xml:space="preserve">The assay was run according to the manufacturer’s instructions. The samples were thawed out and then </w:t>
      </w:r>
      <w:proofErr w:type="spellStart"/>
      <w:r w:rsidRPr="00E171CE">
        <w:rPr>
          <w:rFonts w:eastAsia="Arial Unicode MS"/>
        </w:rPr>
        <w:t>homogenised</w:t>
      </w:r>
      <w:proofErr w:type="spellEnd"/>
      <w:r w:rsidRPr="00E171CE">
        <w:rPr>
          <w:rFonts w:eastAsia="Arial Unicode MS"/>
        </w:rPr>
        <w:t xml:space="preserve"> by bead beating in SK38 soil grinding tubes (Cat KT03962-1-006.2, </w:t>
      </w:r>
      <w:proofErr w:type="spellStart"/>
      <w:r w:rsidRPr="00E171CE">
        <w:rPr>
          <w:rFonts w:eastAsia="Arial Unicode MS"/>
        </w:rPr>
        <w:t>Bertin</w:t>
      </w:r>
      <w:proofErr w:type="spellEnd"/>
      <w:r w:rsidRPr="00E171CE">
        <w:rPr>
          <w:rFonts w:eastAsia="Arial Unicode MS"/>
        </w:rPr>
        <w:t xml:space="preserve"> Corporation, USA). The </w:t>
      </w:r>
      <w:proofErr w:type="spellStart"/>
      <w:r w:rsidRPr="00E171CE">
        <w:rPr>
          <w:rFonts w:eastAsia="Arial Unicode MS"/>
        </w:rPr>
        <w:t>homogenised</w:t>
      </w:r>
      <w:proofErr w:type="spellEnd"/>
      <w:r w:rsidRPr="00E171CE">
        <w:rPr>
          <w:rFonts w:eastAsia="Arial Unicode MS"/>
        </w:rPr>
        <w:t xml:space="preserve"> sample was then incubated in a lysis buffer (</w:t>
      </w:r>
      <w:proofErr w:type="spellStart"/>
      <w:r w:rsidRPr="00E171CE">
        <w:rPr>
          <w:rFonts w:eastAsia="Arial Unicode MS"/>
        </w:rPr>
        <w:t>NucliSENS</w:t>
      </w:r>
      <w:proofErr w:type="spellEnd"/>
      <w:r w:rsidRPr="00E171CE">
        <w:rPr>
          <w:rFonts w:eastAsia="Arial Unicode MS"/>
          <w:vertAlign w:val="superscript"/>
        </w:rPr>
        <w:sym w:font="Symbol" w:char="F0D2"/>
      </w:r>
      <w:r w:rsidRPr="00E171CE">
        <w:rPr>
          <w:rFonts w:eastAsia="Arial Unicode MS"/>
        </w:rPr>
        <w:t xml:space="preserve"> </w:t>
      </w:r>
      <w:proofErr w:type="spellStart"/>
      <w:r w:rsidRPr="00E171CE">
        <w:rPr>
          <w:rFonts w:eastAsia="Arial Unicode MS"/>
        </w:rPr>
        <w:t>easyMAG</w:t>
      </w:r>
      <w:proofErr w:type="spellEnd"/>
      <w:r w:rsidRPr="00E171CE">
        <w:rPr>
          <w:rFonts w:eastAsia="Arial Unicode MS"/>
          <w:vertAlign w:val="superscript"/>
        </w:rPr>
        <w:sym w:font="Symbol" w:char="F0D2"/>
      </w:r>
      <w:r w:rsidRPr="00E171CE">
        <w:rPr>
          <w:rFonts w:eastAsia="Arial Unicode MS"/>
        </w:rPr>
        <w:t xml:space="preserve"> lysis buffer, </w:t>
      </w:r>
      <w:proofErr w:type="spellStart"/>
      <w:r w:rsidRPr="00E171CE">
        <w:rPr>
          <w:rFonts w:eastAsia="Arial Unicode MS"/>
        </w:rPr>
        <w:t>BioMérieux</w:t>
      </w:r>
      <w:proofErr w:type="spellEnd"/>
      <w:r w:rsidRPr="00E171CE">
        <w:rPr>
          <w:rFonts w:eastAsia="Arial Unicode MS"/>
        </w:rPr>
        <w:t xml:space="preserve">, France) containing bacteriophage MS2 as an internal positive control,  After lysis the sample was centrifuged and the supernatant collected was used to extract nucleic acids using the commercially available </w:t>
      </w:r>
      <w:proofErr w:type="spellStart"/>
      <w:r w:rsidRPr="00E171CE">
        <w:rPr>
          <w:rFonts w:eastAsia="Arial Unicode MS"/>
        </w:rPr>
        <w:t>QIAamp</w:t>
      </w:r>
      <w:proofErr w:type="spellEnd"/>
      <w:r w:rsidRPr="00E171CE">
        <w:rPr>
          <w:rFonts w:eastAsia="Arial Unicode MS"/>
        </w:rPr>
        <w:t xml:space="preserve"> </w:t>
      </w:r>
      <w:proofErr w:type="spellStart"/>
      <w:r w:rsidRPr="00E171CE">
        <w:rPr>
          <w:rFonts w:eastAsia="Arial Unicode MS"/>
        </w:rPr>
        <w:t>MinElute</w:t>
      </w:r>
      <w:proofErr w:type="spellEnd"/>
      <w:r w:rsidRPr="00E171CE">
        <w:rPr>
          <w:rFonts w:eastAsia="Arial Unicode MS"/>
        </w:rPr>
        <w:t xml:space="preserve"> Virus Spin kit(Qiagen, Germany). The nucleic acid extract was then used as a template in the x-TAG gastrointestinal panel PCR reaction mix. </w:t>
      </w:r>
    </w:p>
    <w:p w14:paraId="5491BDB4" w14:textId="77777777" w:rsidR="001513EB" w:rsidRPr="00E171CE" w:rsidRDefault="001513EB" w:rsidP="004579E6">
      <w:pPr>
        <w:spacing w:line="480" w:lineRule="auto"/>
        <w:rPr>
          <w:rFonts w:ascii="Times New Roman" w:hAnsi="Times New Roman" w:cs="Times New Roman"/>
        </w:rPr>
      </w:pPr>
    </w:p>
    <w:p w14:paraId="54F3673C" w14:textId="09328A50" w:rsidR="00AF4280" w:rsidRPr="00E171CE" w:rsidRDefault="00AF4280" w:rsidP="004579E6">
      <w:pPr>
        <w:widowControl w:val="0"/>
        <w:spacing w:line="480" w:lineRule="auto"/>
        <w:jc w:val="both"/>
        <w:rPr>
          <w:rFonts w:ascii="Times New Roman" w:eastAsia="Arial Unicode MS" w:hAnsi="Times New Roman" w:cs="Times New Roman"/>
        </w:rPr>
      </w:pPr>
      <w:r w:rsidRPr="00E171CE">
        <w:rPr>
          <w:rFonts w:ascii="Times New Roman" w:eastAsia="Arial Unicode MS" w:hAnsi="Times New Roman" w:cs="Times New Roman"/>
          <w:i/>
          <w:iCs/>
        </w:rPr>
        <w:t xml:space="preserve">Measurement of </w:t>
      </w:r>
      <w:r w:rsidR="001513EB" w:rsidRPr="00E171CE">
        <w:rPr>
          <w:rFonts w:ascii="Times New Roman" w:eastAsia="Arial Unicode MS" w:hAnsi="Times New Roman" w:cs="Times New Roman"/>
          <w:i/>
          <w:iCs/>
        </w:rPr>
        <w:t xml:space="preserve">Stool </w:t>
      </w:r>
      <w:r w:rsidRPr="00E171CE">
        <w:rPr>
          <w:rFonts w:ascii="Times New Roman" w:eastAsia="Arial Unicode MS" w:hAnsi="Times New Roman" w:cs="Times New Roman"/>
          <w:i/>
          <w:iCs/>
        </w:rPr>
        <w:t>Myeloperoxidase and Calprotectin</w:t>
      </w:r>
      <w:r w:rsidRPr="00E171CE">
        <w:rPr>
          <w:rFonts w:ascii="Times New Roman" w:eastAsia="Arial Unicode MS" w:hAnsi="Times New Roman" w:cs="Times New Roman"/>
        </w:rPr>
        <w:t>.</w:t>
      </w:r>
    </w:p>
    <w:p w14:paraId="18CC457C" w14:textId="463C54F6" w:rsidR="00AF4280" w:rsidRPr="00E171CE" w:rsidRDefault="00AF4280" w:rsidP="004579E6">
      <w:pPr>
        <w:widowControl w:val="0"/>
        <w:spacing w:line="480" w:lineRule="auto"/>
        <w:jc w:val="both"/>
        <w:rPr>
          <w:rFonts w:ascii="Times New Roman" w:eastAsia="Arial Unicode MS" w:hAnsi="Times New Roman" w:cs="Times New Roman"/>
        </w:rPr>
      </w:pPr>
      <w:r w:rsidRPr="00E171CE">
        <w:rPr>
          <w:rFonts w:ascii="Times New Roman" w:eastAsia="Arial Unicode MS" w:hAnsi="Times New Roman" w:cs="Times New Roman"/>
        </w:rPr>
        <w:t xml:space="preserve">Myeloperoxidase was measured using the EDI™ Quantitative </w:t>
      </w:r>
      <w:proofErr w:type="spellStart"/>
      <w:r w:rsidRPr="00E171CE">
        <w:rPr>
          <w:rFonts w:ascii="Times New Roman" w:eastAsia="Arial Unicode MS" w:hAnsi="Times New Roman" w:cs="Times New Roman"/>
        </w:rPr>
        <w:t>Fecal</w:t>
      </w:r>
      <w:proofErr w:type="spellEnd"/>
      <w:r w:rsidRPr="00E171CE">
        <w:rPr>
          <w:rFonts w:ascii="Times New Roman" w:eastAsia="Arial Unicode MS" w:hAnsi="Times New Roman" w:cs="Times New Roman"/>
        </w:rPr>
        <w:t xml:space="preserve">/Urine Myeloperoxidase ELISA Kit (Epitope diagnostics, Inc. San Diego, USA). </w:t>
      </w:r>
      <w:r w:rsidR="004A6D48" w:rsidRPr="00E171CE">
        <w:rPr>
          <w:rFonts w:ascii="Times New Roman" w:eastAsia="Arial Unicode MS" w:hAnsi="Times New Roman" w:cs="Times New Roman"/>
        </w:rPr>
        <w:t xml:space="preserve">Briefly, 38mg of stool was weighed out and mixed with 1.5ml extraction buffer by vertexing. It was then let to sit for 30 mins before being centrifuged at 3000 x g for 5 mins. The supernatant was then transferred into a new tube for measurement of the </w:t>
      </w:r>
      <w:proofErr w:type="spellStart"/>
      <w:r w:rsidR="004A6D48" w:rsidRPr="00E171CE">
        <w:rPr>
          <w:rFonts w:ascii="Times New Roman" w:eastAsia="Arial Unicode MS" w:hAnsi="Times New Roman" w:cs="Times New Roman"/>
        </w:rPr>
        <w:t>fecal</w:t>
      </w:r>
      <w:proofErr w:type="spellEnd"/>
      <w:r w:rsidR="004A6D48" w:rsidRPr="00E171CE">
        <w:rPr>
          <w:rFonts w:ascii="Times New Roman" w:eastAsia="Arial Unicode MS" w:hAnsi="Times New Roman" w:cs="Times New Roman"/>
        </w:rPr>
        <w:t xml:space="preserve"> myeloperoxidase. </w:t>
      </w:r>
      <w:r w:rsidRPr="00E171CE">
        <w:rPr>
          <w:rFonts w:ascii="Times New Roman" w:eastAsia="Arial Unicode MS" w:hAnsi="Times New Roman" w:cs="Times New Roman"/>
        </w:rPr>
        <w:t xml:space="preserve">The assay was run according to the manufacturers instruction with the absorbance read at 405nm with the reference filter at 630. The average absorbance of each pair of duplicate test results was then used to determine the </w:t>
      </w:r>
      <w:r w:rsidRPr="00E171CE">
        <w:rPr>
          <w:rFonts w:ascii="Times New Roman" w:eastAsia="Arial Unicode MS" w:hAnsi="Times New Roman" w:cs="Times New Roman"/>
        </w:rPr>
        <w:lastRenderedPageBreak/>
        <w:t>myeloperoxidase present in each sample using a standard curve in ng/ml.</w:t>
      </w:r>
    </w:p>
    <w:p w14:paraId="1A39A596" w14:textId="77777777" w:rsidR="004A6D48" w:rsidRPr="00E171CE" w:rsidRDefault="004A6D48" w:rsidP="004579E6">
      <w:pPr>
        <w:widowControl w:val="0"/>
        <w:spacing w:line="480" w:lineRule="auto"/>
        <w:jc w:val="both"/>
        <w:rPr>
          <w:rFonts w:ascii="Times New Roman" w:eastAsia="Arial Unicode MS" w:hAnsi="Times New Roman" w:cs="Times New Roman"/>
        </w:rPr>
      </w:pPr>
    </w:p>
    <w:p w14:paraId="6F9273F8" w14:textId="1ACAD938" w:rsidR="00AF4280" w:rsidRPr="00E171CE" w:rsidRDefault="00AF4280" w:rsidP="004579E6">
      <w:pPr>
        <w:widowControl w:val="0"/>
        <w:spacing w:line="480" w:lineRule="auto"/>
        <w:jc w:val="both"/>
        <w:rPr>
          <w:rFonts w:ascii="Times New Roman" w:eastAsia="Arial Unicode MS" w:hAnsi="Times New Roman" w:cs="Times New Roman"/>
        </w:rPr>
      </w:pPr>
      <w:r w:rsidRPr="00E171CE">
        <w:rPr>
          <w:rFonts w:ascii="Times New Roman" w:eastAsia="Arial Unicode MS" w:hAnsi="Times New Roman" w:cs="Times New Roman"/>
        </w:rPr>
        <w:t>Calprotectin was measured using the IDK® Calprotectin ELISA (</w:t>
      </w:r>
      <w:proofErr w:type="spellStart"/>
      <w:r w:rsidRPr="00E171CE">
        <w:rPr>
          <w:rFonts w:ascii="Times New Roman" w:eastAsia="Arial Unicode MS" w:hAnsi="Times New Roman" w:cs="Times New Roman"/>
        </w:rPr>
        <w:t>Immundiagnostik</w:t>
      </w:r>
      <w:proofErr w:type="spellEnd"/>
      <w:r w:rsidRPr="00E171CE">
        <w:rPr>
          <w:rFonts w:ascii="Times New Roman" w:eastAsia="Arial Unicode MS" w:hAnsi="Times New Roman" w:cs="Times New Roman"/>
        </w:rPr>
        <w:t xml:space="preserve"> AG, </w:t>
      </w:r>
      <w:proofErr w:type="spellStart"/>
      <w:r w:rsidRPr="00E171CE">
        <w:rPr>
          <w:rFonts w:ascii="Times New Roman" w:eastAsia="Arial Unicode MS" w:hAnsi="Times New Roman" w:cs="Times New Roman"/>
        </w:rPr>
        <w:t>Bensheim</w:t>
      </w:r>
      <w:proofErr w:type="spellEnd"/>
      <w:r w:rsidRPr="00E171CE">
        <w:rPr>
          <w:rFonts w:ascii="Times New Roman" w:eastAsia="Arial Unicode MS" w:hAnsi="Times New Roman" w:cs="Times New Roman"/>
        </w:rPr>
        <w:t>, Germany).</w:t>
      </w:r>
      <w:r w:rsidR="004A6D48" w:rsidRPr="00E171CE">
        <w:rPr>
          <w:rFonts w:ascii="Times New Roman" w:eastAsia="Arial Unicode MS" w:hAnsi="Times New Roman" w:cs="Times New Roman"/>
        </w:rPr>
        <w:t xml:space="preserve">15mg of sample was added to 1.5ml extraction buffer, allowed to stand </w:t>
      </w:r>
      <w:bookmarkStart w:id="0" w:name="_GoBack"/>
      <w:bookmarkEnd w:id="0"/>
      <w:r w:rsidR="004A6D48" w:rsidRPr="00E171CE">
        <w:rPr>
          <w:rFonts w:ascii="Times New Roman" w:eastAsia="Arial Unicode MS" w:hAnsi="Times New Roman" w:cs="Times New Roman"/>
        </w:rPr>
        <w:t xml:space="preserve">for 10mins to let the sediment settle and then the supernatant was collected. The supernatant was then diluted 25-fold in dilution buffer before it was assayed. </w:t>
      </w:r>
      <w:r w:rsidRPr="00E171CE">
        <w:rPr>
          <w:rFonts w:ascii="Times New Roman" w:eastAsia="Arial Unicode MS" w:hAnsi="Times New Roman" w:cs="Times New Roman"/>
        </w:rPr>
        <w:t>The manufacturer’s instructions were followed, and the absorbance was read at 450nm with a reference filter of 630.  The Calprotectin values were determined using a standard curve in ug/g</w:t>
      </w:r>
      <w:r w:rsidR="00383D16" w:rsidRPr="00E171CE">
        <w:rPr>
          <w:rFonts w:ascii="Times New Roman" w:eastAsia="Arial Unicode MS" w:hAnsi="Times New Roman" w:cs="Times New Roman"/>
        </w:rPr>
        <w:t>.</w:t>
      </w:r>
    </w:p>
    <w:p w14:paraId="6077EDB3" w14:textId="2C32785F" w:rsidR="00AF4280" w:rsidRPr="00E171CE" w:rsidRDefault="00AF4280" w:rsidP="004579E6">
      <w:pPr>
        <w:widowControl w:val="0"/>
        <w:spacing w:line="480" w:lineRule="auto"/>
        <w:jc w:val="both"/>
        <w:rPr>
          <w:rFonts w:ascii="Times New Roman" w:eastAsia="Arial Unicode MS" w:hAnsi="Times New Roman" w:cs="Times New Roman"/>
        </w:rPr>
      </w:pPr>
    </w:p>
    <w:p w14:paraId="56E91EB2" w14:textId="77777777" w:rsidR="001513EB" w:rsidRPr="00E171CE" w:rsidRDefault="001513EB" w:rsidP="004579E6">
      <w:pPr>
        <w:widowControl w:val="0"/>
        <w:spacing w:line="480" w:lineRule="auto"/>
        <w:jc w:val="both"/>
        <w:rPr>
          <w:rFonts w:ascii="Times New Roman" w:eastAsia="Arial Unicode MS" w:hAnsi="Times New Roman" w:cs="Times New Roman"/>
        </w:rPr>
      </w:pPr>
    </w:p>
    <w:sectPr w:rsidR="001513EB" w:rsidRPr="00E171CE" w:rsidSect="00903D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0M7Q0tjA0MzWxtDRR0lEKTi0uzszPAykwrAUAVFh2IiwAAAA="/>
  </w:docVars>
  <w:rsids>
    <w:rsidRoot w:val="00AF4280"/>
    <w:rsid w:val="00080238"/>
    <w:rsid w:val="00082C4A"/>
    <w:rsid w:val="001513EB"/>
    <w:rsid w:val="00167A3B"/>
    <w:rsid w:val="001A399C"/>
    <w:rsid w:val="00206E91"/>
    <w:rsid w:val="002E65B4"/>
    <w:rsid w:val="003479DB"/>
    <w:rsid w:val="00383D16"/>
    <w:rsid w:val="00402153"/>
    <w:rsid w:val="004579E6"/>
    <w:rsid w:val="004625E9"/>
    <w:rsid w:val="004A6D48"/>
    <w:rsid w:val="0078430E"/>
    <w:rsid w:val="00903D11"/>
    <w:rsid w:val="00AF4280"/>
    <w:rsid w:val="00B8028F"/>
    <w:rsid w:val="00C14B64"/>
    <w:rsid w:val="00C675C0"/>
    <w:rsid w:val="00D22B6B"/>
    <w:rsid w:val="00E171CE"/>
    <w:rsid w:val="00F74F7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4986"/>
  <w14:defaultImageDpi w14:val="32767"/>
  <w15:chartTrackingRefBased/>
  <w15:docId w15:val="{1E400766-ABEC-3440-AE08-5D786C85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4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280"/>
    <w:pPr>
      <w:spacing w:before="100" w:beforeAutospacing="1" w:after="100" w:afterAutospacing="1"/>
    </w:pPr>
    <w:rPr>
      <w:rFonts w:ascii="Times New Roman" w:eastAsia="Times New Roman" w:hAnsi="Times New Roman" w:cs="Times New Roman"/>
      <w:lang w:val="en-US" w:eastAsia="en-GB"/>
    </w:rPr>
  </w:style>
  <w:style w:type="paragraph" w:styleId="BalloonText">
    <w:name w:val="Balloon Text"/>
    <w:basedOn w:val="Normal"/>
    <w:link w:val="BalloonTextChar"/>
    <w:uiPriority w:val="99"/>
    <w:semiHidden/>
    <w:unhideWhenUsed/>
    <w:rsid w:val="002E65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65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Ellen@tropgan.com</dc:creator>
  <cp:keywords/>
  <dc:description/>
  <cp:lastModifiedBy>Phyllis Barr</cp:lastModifiedBy>
  <cp:revision>3</cp:revision>
  <dcterms:created xsi:type="dcterms:W3CDTF">2020-01-08T13:00:00Z</dcterms:created>
  <dcterms:modified xsi:type="dcterms:W3CDTF">2020-01-08T13:11:00Z</dcterms:modified>
</cp:coreProperties>
</file>