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D8D4" w14:textId="77777777" w:rsidR="00CF56B6" w:rsidRPr="009E4C57" w:rsidRDefault="00CF56B6" w:rsidP="00D70808">
      <w:pPr>
        <w:spacing w:after="0" w:line="240" w:lineRule="auto"/>
        <w:outlineLvl w:val="1"/>
        <w:rPr>
          <w:rFonts w:ascii="Arial" w:hAnsi="Arial" w:cs="Arial"/>
        </w:rPr>
      </w:pPr>
      <w:r w:rsidRPr="009E4C57">
        <w:rPr>
          <w:rFonts w:ascii="Arial" w:hAnsi="Arial" w:cs="Arial"/>
          <w:b/>
          <w:sz w:val="24"/>
          <w:szCs w:val="24"/>
        </w:rPr>
        <w:t>S</w:t>
      </w:r>
      <w:r w:rsidR="009E4C57" w:rsidRPr="009E4C57">
        <w:rPr>
          <w:rFonts w:ascii="Arial" w:hAnsi="Arial" w:cs="Arial"/>
          <w:b/>
          <w:sz w:val="24"/>
          <w:szCs w:val="24"/>
        </w:rPr>
        <w:t>DC</w:t>
      </w:r>
      <w:r w:rsidRPr="009E4C57">
        <w:rPr>
          <w:rFonts w:ascii="Arial" w:hAnsi="Arial" w:cs="Arial"/>
          <w:b/>
          <w:sz w:val="24"/>
          <w:szCs w:val="24"/>
        </w:rPr>
        <w:t xml:space="preserve"> T</w:t>
      </w:r>
      <w:r w:rsidR="009E4C57" w:rsidRPr="009E4C57">
        <w:rPr>
          <w:rFonts w:ascii="Arial" w:hAnsi="Arial" w:cs="Arial"/>
          <w:b/>
          <w:sz w:val="24"/>
          <w:szCs w:val="24"/>
        </w:rPr>
        <w:t>able</w:t>
      </w:r>
      <w:r w:rsidRPr="009E4C57">
        <w:rPr>
          <w:rFonts w:ascii="Arial" w:hAnsi="Arial" w:cs="Arial"/>
          <w:b/>
          <w:sz w:val="24"/>
          <w:szCs w:val="24"/>
        </w:rPr>
        <w:t xml:space="preserve"> 2</w:t>
      </w:r>
      <w:r w:rsidR="009E4C57" w:rsidRPr="009E4C57">
        <w:rPr>
          <w:rFonts w:ascii="Arial" w:hAnsi="Arial" w:cs="Arial"/>
          <w:b/>
          <w:sz w:val="24"/>
          <w:szCs w:val="24"/>
        </w:rPr>
        <w:t>.</w:t>
      </w:r>
      <w:r w:rsidRPr="009E4C57">
        <w:rPr>
          <w:rFonts w:ascii="Arial" w:hAnsi="Arial" w:cs="Arial"/>
          <w:sz w:val="24"/>
          <w:szCs w:val="24"/>
        </w:rPr>
        <w:t xml:space="preserve"> </w:t>
      </w:r>
      <w:r w:rsidRPr="009E4C57">
        <w:rPr>
          <w:rFonts w:ascii="Arial" w:hAnsi="Arial" w:cs="Arial"/>
          <w:i/>
          <w:sz w:val="24"/>
          <w:szCs w:val="24"/>
        </w:rPr>
        <w:t>ATP8B1</w:t>
      </w:r>
      <w:r w:rsidRPr="009E4C57">
        <w:rPr>
          <w:rFonts w:ascii="Arial" w:hAnsi="Arial" w:cs="Arial"/>
          <w:sz w:val="24"/>
          <w:szCs w:val="24"/>
        </w:rPr>
        <w:t xml:space="preserve"> individual participant gene mutation data. </w:t>
      </w:r>
    </w:p>
    <w:tbl>
      <w:tblPr>
        <w:tblW w:w="14554" w:type="dxa"/>
        <w:tblInd w:w="-3" w:type="dxa"/>
        <w:tblLook w:val="04A0" w:firstRow="1" w:lastRow="0" w:firstColumn="1" w:lastColumn="0" w:noHBand="0" w:noVBand="1"/>
      </w:tblPr>
      <w:tblGrid>
        <w:gridCol w:w="985"/>
        <w:gridCol w:w="1440"/>
        <w:gridCol w:w="1530"/>
        <w:gridCol w:w="1890"/>
        <w:gridCol w:w="2880"/>
        <w:gridCol w:w="1440"/>
        <w:gridCol w:w="1530"/>
        <w:gridCol w:w="1437"/>
        <w:gridCol w:w="1422"/>
      </w:tblGrid>
      <w:tr w:rsidR="00CF56B6" w:rsidRPr="00CF56B6" w14:paraId="6ED5AED2" w14:textId="77777777" w:rsidTr="00287850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386D" w14:textId="6C8607D8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Patient </w:t>
            </w:r>
            <w:r w:rsidR="0052216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75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Zygosity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5CB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Nucleotide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A9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Predicted amino acid change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4A1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Reference SNP cluster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BF1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CADD score (version 1.3)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259F" w14:textId="77777777" w:rsidR="00287850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AF </w:t>
            </w:r>
          </w:p>
          <w:p w14:paraId="4CED504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spellStart"/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gnomAD</w:t>
            </w:r>
            <w:proofErr w:type="spellEnd"/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, all)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60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AF (</w:t>
            </w:r>
            <w:proofErr w:type="spellStart"/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gnomAD</w:t>
            </w:r>
            <w:proofErr w:type="spellEnd"/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, population with highest frequency)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30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56B6">
              <w:rPr>
                <w:rFonts w:ascii="Calibri" w:eastAsia="Times New Roman" w:hAnsi="Calibri" w:cs="Calibri"/>
                <w:b/>
                <w:bCs/>
                <w:color w:val="000000"/>
              </w:rPr>
              <w:t>Mutation previously reported in literature?</w:t>
            </w:r>
          </w:p>
        </w:tc>
      </w:tr>
      <w:tr w:rsidR="00CF56B6" w:rsidRPr="00CF56B6" w14:paraId="1139E155" w14:textId="77777777" w:rsidTr="00287850">
        <w:trPr>
          <w:trHeight w:val="98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0A67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1 - 10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574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518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c.923G&gt;T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E5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308V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711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rs111033609 #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0A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4220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18F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54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(1,2)</w:t>
            </w:r>
          </w:p>
        </w:tc>
      </w:tr>
      <w:tr w:rsidR="00CF56B6" w:rsidRPr="00CF56B6" w14:paraId="661EE4DF" w14:textId="77777777" w:rsidTr="00287850">
        <w:trPr>
          <w:trHeight w:val="104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748642E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11 ^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C2A87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FC678F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c.923G&gt;T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1C308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308V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07E110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rs111033609 #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60ABB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AA8415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E00A8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0118B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(1,2)</w:t>
            </w:r>
          </w:p>
        </w:tc>
      </w:tr>
      <w:tr w:rsidR="00CF56B6" w:rsidRPr="00CF56B6" w14:paraId="7D4CE064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3F3386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886D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D49431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c.1982T&gt;C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A0901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661T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0C5ADE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 rs121909100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AD836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D971CB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35CD4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11288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CF56B6" w:rsidRPr="00CF56B6" w14:paraId="2FD20BF6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494741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3F43E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51C029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c.1220 G&gt;A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9BBA90" w14:textId="77777777" w:rsidR="00CF56B6" w:rsidRPr="00CF56B6" w:rsidRDefault="00394141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proofErr w:type="gramStart"/>
              <w:r w:rsidR="00CF56B6" w:rsidRPr="00CF56B6">
                <w:rPr>
                  <w:rFonts w:ascii="Calibri" w:eastAsia="Times New Roman" w:hAnsi="Calibri" w:cs="Calibri"/>
                  <w:color w:val="000000"/>
                </w:rPr>
                <w:t>p.S</w:t>
              </w:r>
              <w:proofErr w:type="gramEnd"/>
              <w:r w:rsidR="00CF56B6" w:rsidRPr="00CF56B6">
                <w:rPr>
                  <w:rFonts w:ascii="Calibri" w:eastAsia="Times New Roman" w:hAnsi="Calibri" w:cs="Calibri"/>
                  <w:color w:val="000000"/>
                </w:rPr>
                <w:t>407N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750F52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D91CD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29.8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F34A8A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36868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D2BE1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58789A0A" w14:textId="77777777" w:rsidTr="00287850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1A3E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6F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A36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c.1982 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4A1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661T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A94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 rs121909100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B2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53B71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5E0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68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CF56B6" w:rsidRPr="00CF56B6" w14:paraId="51602361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BA500B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AB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5F3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c.1804 C&gt;T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97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p.R602*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ACC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 rs121909105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4F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48AE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A85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462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(4,6)</w:t>
            </w:r>
          </w:p>
        </w:tc>
      </w:tr>
      <w:tr w:rsidR="00CF56B6" w:rsidRPr="00CF56B6" w14:paraId="1C43E857" w14:textId="77777777" w:rsidTr="00287850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703A26F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13^^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F5ACB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8EEEFE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c.1982T&gt;C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77009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661T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D5F434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 rs121909100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A4D62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0B799F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995FE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0036D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CF56B6" w:rsidRPr="00CF56B6" w14:paraId="7A3B9FA7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35011B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786F2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74D1F3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c.2097+2 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B4022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8C2BB2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rs387906381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938B9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45FA67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82891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D2DB7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(1,2,4,7)</w:t>
            </w:r>
          </w:p>
        </w:tc>
      </w:tr>
      <w:tr w:rsidR="00CF56B6" w:rsidRPr="00CF56B6" w14:paraId="5848DCBB" w14:textId="77777777" w:rsidTr="00287850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8C81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4D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A27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c.1982T&gt;C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9F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661T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F61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 rs121909100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E1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32E3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17D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33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CF56B6" w:rsidRPr="00CF56B6" w14:paraId="52B7313E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8D908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5B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F00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c.2674G&gt;A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3A3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 G892R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A78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rs121909098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5F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7814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0F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E7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Yes, (1,2,4,8)</w:t>
            </w:r>
          </w:p>
        </w:tc>
      </w:tr>
      <w:tr w:rsidR="00CF56B6" w:rsidRPr="00CF56B6" w14:paraId="74CD6695" w14:textId="77777777" w:rsidTr="00287850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14:paraId="58E8F4A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FEC8C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868EB1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c.1982T&gt;C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0F636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661T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565AAC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 rs121909100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567DD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925CB1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ECF71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D0F18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CF56B6" w:rsidRPr="00CF56B6" w14:paraId="69EFF848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E54CFB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C6ED8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B945F8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c.2854C&gt;T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21194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p.R952*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ED2A55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rs765889649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1D9C1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4FA4C5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4F769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85D95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(4)</w:t>
            </w:r>
          </w:p>
        </w:tc>
      </w:tr>
      <w:tr w:rsidR="00CF56B6" w:rsidRPr="00CF56B6" w14:paraId="549E60D3" w14:textId="77777777" w:rsidTr="00287850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4D0E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16 - 18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33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D29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c.1660G&gt;A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82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p.D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554N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1AD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rs121909101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EF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FF3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FD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996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(4,9)</w:t>
            </w:r>
          </w:p>
        </w:tc>
      </w:tr>
      <w:tr w:rsidR="00CF56B6" w:rsidRPr="00CF56B6" w14:paraId="2E3115A1" w14:textId="77777777" w:rsidTr="00287850">
        <w:trPr>
          <w:trHeight w:val="32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AF5742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755BB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24CAF7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c.1697G&gt;A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F400E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566D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5D2AEB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rs906857413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85DA2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00E058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F7925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B6F71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2103C8B2" w14:textId="77777777" w:rsidTr="00287850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7BC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DA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61D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c.2558T&gt;C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FEE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p.F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853S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BBE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rs773092889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6A2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9726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76A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B5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(4)</w:t>
            </w:r>
          </w:p>
        </w:tc>
      </w:tr>
      <w:tr w:rsidR="00CF56B6" w:rsidRPr="00CF56B6" w14:paraId="690C2317" w14:textId="77777777" w:rsidTr="00287850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9371C7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4B1BB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6729D8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c.3410C&gt;G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16B4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p.S1137*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54C6D1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rs74414989 #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01C1F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E7B7D9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8F028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60864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3D0949B0" w14:textId="77777777" w:rsidTr="00287850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1D4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9D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EB1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c.3531+1G&gt;A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23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ACC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rs753965947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FA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A7E1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71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B6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3DD7B273" w14:textId="77777777" w:rsidTr="00287850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285CBB6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8E4FC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697A50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c.2081T&gt;A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A3545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694N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EE8448F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rs541474497 #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9AF47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6A092B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29D73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0.00038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3142A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(10,11)</w:t>
            </w:r>
          </w:p>
        </w:tc>
      </w:tr>
      <w:tr w:rsidR="00CF56B6" w:rsidRPr="00CF56B6" w14:paraId="29B8A410" w14:textId="77777777" w:rsidTr="00287850">
        <w:trPr>
          <w:trHeight w:val="9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E5CA2F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8A2FD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859F88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c.2236T&gt;C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9F964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p.C746R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B54EFB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 xml:space="preserve">not found (there is a different very rare missense at this same base, with </w:t>
            </w:r>
            <w:r w:rsidRPr="00CF56B6">
              <w:rPr>
                <w:rFonts w:ascii="Calibri" w:eastAsia="Times New Roman" w:hAnsi="Calibri" w:cs="Calibri"/>
                <w:color w:val="000000"/>
              </w:rPr>
              <w:br/>
              <w:t>rs377461289)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7D3C1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29.5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376F48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8FC56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94922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3275E90C" w14:textId="77777777" w:rsidTr="00287850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AB9E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BD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BB9C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c.2114C&gt;A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101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705D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E41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2D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0E4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F7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E3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355492C7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A4833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A6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B37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c.2572T&gt;C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33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p.C858R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655B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372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58A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005E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019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F56B6" w:rsidRPr="00CF56B6" w14:paraId="7B2B8520" w14:textId="77777777" w:rsidTr="00287850">
        <w:trPr>
          <w:trHeight w:val="68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14:paraId="088FB20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25, 26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ACEF24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45EE796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c.2699T&gt;C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E71F1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p.M900T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8A1692A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4C2AA1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27.1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C0C291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90756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F5A0ED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CF56B6" w:rsidRPr="00CF56B6" w14:paraId="45A8B5A2" w14:textId="77777777" w:rsidTr="00287850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9F2572" w14:textId="77777777" w:rsidR="00CF56B6" w:rsidRPr="00CF56B6" w:rsidRDefault="00CF56B6" w:rsidP="00CF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6C53F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1DE048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c.2989G&gt;A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5F46D7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F56B6">
              <w:rPr>
                <w:rFonts w:ascii="Calibri" w:eastAsia="Times New Roman" w:hAnsi="Calibri" w:cs="Calibri"/>
                <w:color w:val="000000"/>
              </w:rPr>
              <w:t>p.V</w:t>
            </w:r>
            <w:proofErr w:type="gramEnd"/>
            <w:r w:rsidRPr="00CF56B6">
              <w:rPr>
                <w:rFonts w:ascii="Calibri" w:eastAsia="Times New Roman" w:hAnsi="Calibri" w:cs="Calibri"/>
                <w:color w:val="000000"/>
              </w:rPr>
              <w:t>997M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B2D839F" w14:textId="6CE7EBFE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 xml:space="preserve">no </w:t>
            </w:r>
            <w:proofErr w:type="spellStart"/>
            <w:r w:rsidRPr="00CF56B6">
              <w:rPr>
                <w:rFonts w:ascii="Calibri" w:eastAsia="Times New Roman" w:hAnsi="Calibri" w:cs="Calibri"/>
                <w:color w:val="000000"/>
              </w:rPr>
              <w:t>rs</w:t>
            </w:r>
            <w:proofErr w:type="spellEnd"/>
            <w:r w:rsidRPr="00CF56B6">
              <w:rPr>
                <w:rFonts w:ascii="Calibri" w:eastAsia="Times New Roman" w:hAnsi="Calibri" w:cs="Calibri"/>
                <w:color w:val="000000"/>
              </w:rPr>
              <w:t xml:space="preserve"> ID, but variant present in </w:t>
            </w:r>
            <w:proofErr w:type="spellStart"/>
            <w:r w:rsidR="00D07843">
              <w:rPr>
                <w:rFonts w:ascii="Calibri" w:eastAsia="Times New Roman" w:hAnsi="Calibri" w:cs="Calibri"/>
                <w:color w:val="000000"/>
              </w:rPr>
              <w:t>gnom</w:t>
            </w:r>
            <w:r w:rsidRPr="00CF56B6">
              <w:rPr>
                <w:rFonts w:ascii="Calibri" w:eastAsia="Times New Roman" w:hAnsi="Calibri" w:cs="Calibri"/>
                <w:color w:val="000000"/>
              </w:rPr>
              <w:t>AD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1F2940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27E68D3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8821C5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CF56B6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846878" w14:textId="77777777" w:rsidR="00CF56B6" w:rsidRPr="00CF56B6" w:rsidRDefault="00CF56B6" w:rsidP="00CF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6B6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</w:tbl>
    <w:p w14:paraId="744CF35F" w14:textId="77777777" w:rsidR="005629A4" w:rsidRPr="00AC4BBD" w:rsidRDefault="005629A4" w:rsidP="00AC4B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BBD">
        <w:rPr>
          <w:rFonts w:ascii="Arial" w:hAnsi="Arial" w:cs="Arial"/>
          <w:sz w:val="20"/>
          <w:szCs w:val="20"/>
        </w:rPr>
        <w:t># = 2 or more variants at this base, including the identified mutation, sharing the same '</w:t>
      </w:r>
      <w:proofErr w:type="spellStart"/>
      <w:r w:rsidRPr="00AC4BBD">
        <w:rPr>
          <w:rFonts w:ascii="Arial" w:hAnsi="Arial" w:cs="Arial"/>
          <w:sz w:val="20"/>
          <w:szCs w:val="20"/>
        </w:rPr>
        <w:t>rs</w:t>
      </w:r>
      <w:proofErr w:type="spellEnd"/>
      <w:r w:rsidRPr="00AC4BBD">
        <w:rPr>
          <w:rFonts w:ascii="Arial" w:hAnsi="Arial" w:cs="Arial"/>
          <w:sz w:val="20"/>
          <w:szCs w:val="20"/>
        </w:rPr>
        <w:t>' ID. '</w:t>
      </w:r>
      <w:proofErr w:type="spellStart"/>
      <w:r w:rsidRPr="00AC4BBD">
        <w:rPr>
          <w:rFonts w:ascii="Arial" w:hAnsi="Arial" w:cs="Arial"/>
          <w:sz w:val="20"/>
          <w:szCs w:val="20"/>
        </w:rPr>
        <w:t>rs</w:t>
      </w:r>
      <w:proofErr w:type="spellEnd"/>
      <w:r w:rsidRPr="00AC4BBD">
        <w:rPr>
          <w:rFonts w:ascii="Arial" w:hAnsi="Arial" w:cs="Arial"/>
          <w:sz w:val="20"/>
          <w:szCs w:val="20"/>
        </w:rPr>
        <w:t>' IDs do not uniquely identify a mutation, but rather, a location in the genome.</w:t>
      </w:r>
    </w:p>
    <w:p w14:paraId="47217674" w14:textId="1D4F935A" w:rsidR="005629A4" w:rsidRPr="00AC4BBD" w:rsidRDefault="005629A4" w:rsidP="00AC4B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BBD">
        <w:rPr>
          <w:rFonts w:ascii="Arial" w:hAnsi="Arial" w:cs="Arial"/>
          <w:sz w:val="20"/>
          <w:szCs w:val="20"/>
        </w:rPr>
        <w:t xml:space="preserve">^This patient is heterozygous for </w:t>
      </w:r>
      <w:r w:rsidR="00B01A4D">
        <w:rPr>
          <w:rFonts w:ascii="Arial" w:hAnsi="Arial" w:cs="Arial"/>
          <w:sz w:val="20"/>
          <w:szCs w:val="20"/>
        </w:rPr>
        <w:t>three</w:t>
      </w:r>
      <w:r w:rsidR="00B01A4D" w:rsidRPr="00AC4BBD">
        <w:rPr>
          <w:rFonts w:ascii="Arial" w:hAnsi="Arial" w:cs="Arial"/>
          <w:sz w:val="20"/>
          <w:szCs w:val="20"/>
        </w:rPr>
        <w:t xml:space="preserve"> </w:t>
      </w:r>
      <w:r w:rsidRPr="00AC4BBD">
        <w:rPr>
          <w:rFonts w:ascii="Arial" w:hAnsi="Arial" w:cs="Arial"/>
          <w:sz w:val="20"/>
          <w:szCs w:val="20"/>
        </w:rPr>
        <w:t xml:space="preserve">likely disease mutations, </w:t>
      </w:r>
      <w:r w:rsidR="00B01A4D">
        <w:rPr>
          <w:rFonts w:ascii="Arial" w:hAnsi="Arial" w:cs="Arial"/>
          <w:sz w:val="20"/>
          <w:szCs w:val="20"/>
        </w:rPr>
        <w:t>two</w:t>
      </w:r>
      <w:r w:rsidR="00B01A4D" w:rsidRPr="00AC4BBD">
        <w:rPr>
          <w:rFonts w:ascii="Arial" w:hAnsi="Arial" w:cs="Arial"/>
          <w:sz w:val="20"/>
          <w:szCs w:val="20"/>
        </w:rPr>
        <w:t xml:space="preserve"> </w:t>
      </w:r>
      <w:r w:rsidRPr="00AC4BBD">
        <w:rPr>
          <w:rFonts w:ascii="Arial" w:hAnsi="Arial" w:cs="Arial"/>
          <w:sz w:val="20"/>
          <w:szCs w:val="20"/>
        </w:rPr>
        <w:t xml:space="preserve">of which are previously reported in </w:t>
      </w:r>
      <w:proofErr w:type="gramStart"/>
      <w:r w:rsidRPr="00AC4BBD">
        <w:rPr>
          <w:rFonts w:ascii="Arial" w:hAnsi="Arial" w:cs="Arial"/>
          <w:sz w:val="20"/>
          <w:szCs w:val="20"/>
        </w:rPr>
        <w:t>a number of</w:t>
      </w:r>
      <w:proofErr w:type="gramEnd"/>
      <w:r w:rsidRPr="00AC4BBD">
        <w:rPr>
          <w:rFonts w:ascii="Arial" w:hAnsi="Arial" w:cs="Arial"/>
          <w:sz w:val="20"/>
          <w:szCs w:val="20"/>
        </w:rPr>
        <w:t xml:space="preserve"> patients. Regarding phase, the p.I661T and p.S407N mutations were contributed by the same parent.</w:t>
      </w:r>
    </w:p>
    <w:p w14:paraId="69CA0C31" w14:textId="468766DB" w:rsidR="00CF56B6" w:rsidRPr="00AC4BBD" w:rsidRDefault="005629A4" w:rsidP="00AC4B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BBD">
        <w:rPr>
          <w:rFonts w:ascii="Arial" w:hAnsi="Arial" w:cs="Arial"/>
          <w:sz w:val="20"/>
          <w:szCs w:val="20"/>
        </w:rPr>
        <w:t>^^</w:t>
      </w:r>
      <w:r w:rsidR="00CF56B6" w:rsidRPr="00AC4BBD">
        <w:rPr>
          <w:rFonts w:ascii="Arial" w:hAnsi="Arial" w:cs="Arial"/>
          <w:sz w:val="20"/>
          <w:szCs w:val="20"/>
        </w:rPr>
        <w:t xml:space="preserve">Participant 13 is compound heterozygous for p.I661T and another mutation previously reported in multiple participants, occurring at an invariant position in a splice junction (2097+2T&gt;C). This patient is also heterozygous for a missense variant in </w:t>
      </w:r>
      <w:r w:rsidR="00CF56B6" w:rsidRPr="00AC4BBD">
        <w:rPr>
          <w:rFonts w:ascii="Arial" w:hAnsi="Arial" w:cs="Arial"/>
          <w:i/>
          <w:sz w:val="20"/>
          <w:szCs w:val="20"/>
        </w:rPr>
        <w:t>ABCB11</w:t>
      </w:r>
      <w:r w:rsidR="00CF56B6" w:rsidRPr="00AC4BBD">
        <w:rPr>
          <w:rFonts w:ascii="Arial" w:hAnsi="Arial" w:cs="Arial"/>
          <w:sz w:val="20"/>
          <w:szCs w:val="20"/>
        </w:rPr>
        <w:t xml:space="preserve">, c.2087G&gt;A, resulting in p.R696Q. This </w:t>
      </w:r>
      <w:r w:rsidR="00CF56B6" w:rsidRPr="00AC4BBD">
        <w:rPr>
          <w:rFonts w:ascii="Arial" w:hAnsi="Arial" w:cs="Arial"/>
          <w:i/>
          <w:sz w:val="20"/>
          <w:szCs w:val="20"/>
        </w:rPr>
        <w:t>ABCB11</w:t>
      </w:r>
      <w:r w:rsidR="00CF56B6" w:rsidRPr="00AC4BBD">
        <w:rPr>
          <w:rFonts w:ascii="Arial" w:hAnsi="Arial" w:cs="Arial"/>
          <w:sz w:val="20"/>
          <w:szCs w:val="20"/>
        </w:rPr>
        <w:t xml:space="preserve"> variant is rare in </w:t>
      </w:r>
      <w:proofErr w:type="spellStart"/>
      <w:r w:rsidR="00CF56B6" w:rsidRPr="00AC4BBD">
        <w:rPr>
          <w:rFonts w:ascii="Arial" w:hAnsi="Arial" w:cs="Arial"/>
          <w:sz w:val="20"/>
          <w:szCs w:val="20"/>
        </w:rPr>
        <w:t>gnomAD</w:t>
      </w:r>
      <w:proofErr w:type="spellEnd"/>
      <w:r w:rsidR="00CF56B6" w:rsidRPr="00AC4BBD">
        <w:rPr>
          <w:rFonts w:ascii="Arial" w:hAnsi="Arial" w:cs="Arial"/>
          <w:sz w:val="20"/>
          <w:szCs w:val="20"/>
        </w:rPr>
        <w:t xml:space="preserve"> (</w:t>
      </w:r>
      <w:r w:rsidR="00CD06EA">
        <w:rPr>
          <w:rFonts w:ascii="Arial" w:hAnsi="Arial" w:cs="Arial"/>
          <w:sz w:val="20"/>
          <w:szCs w:val="20"/>
        </w:rPr>
        <w:t>AF</w:t>
      </w:r>
      <w:r w:rsidR="00CF56B6" w:rsidRPr="00AC4BBD">
        <w:rPr>
          <w:rFonts w:ascii="Arial" w:hAnsi="Arial" w:cs="Arial"/>
          <w:sz w:val="20"/>
          <w:szCs w:val="20"/>
        </w:rPr>
        <w:t xml:space="preserve"> 0.00019 overall, occurring at highest frequency, 0.00089, in the African population) and may be functionally deleterious (CADD 1.3 score 25.1). Given that this patient carries </w:t>
      </w:r>
      <w:r w:rsidR="00CD07DD">
        <w:rPr>
          <w:rFonts w:ascii="Arial" w:hAnsi="Arial" w:cs="Arial"/>
          <w:sz w:val="20"/>
          <w:szCs w:val="20"/>
        </w:rPr>
        <w:t>two</w:t>
      </w:r>
      <w:r w:rsidR="00CD07DD" w:rsidRPr="00AC4BBD">
        <w:rPr>
          <w:rFonts w:ascii="Arial" w:hAnsi="Arial" w:cs="Arial"/>
          <w:sz w:val="20"/>
          <w:szCs w:val="20"/>
        </w:rPr>
        <w:t xml:space="preserve"> </w:t>
      </w:r>
      <w:r w:rsidR="00CF56B6" w:rsidRPr="00AC4BBD">
        <w:rPr>
          <w:rFonts w:ascii="Arial" w:hAnsi="Arial" w:cs="Arial"/>
          <w:sz w:val="20"/>
          <w:szCs w:val="20"/>
        </w:rPr>
        <w:t xml:space="preserve">alleles bearing known disease mutations in </w:t>
      </w:r>
      <w:r w:rsidR="00CF56B6" w:rsidRPr="00AC4BBD">
        <w:rPr>
          <w:rFonts w:ascii="Arial" w:hAnsi="Arial" w:cs="Arial"/>
          <w:i/>
          <w:sz w:val="20"/>
          <w:szCs w:val="20"/>
        </w:rPr>
        <w:t>ATP8B1</w:t>
      </w:r>
      <w:r w:rsidR="00CF56B6" w:rsidRPr="00AC4BBD">
        <w:rPr>
          <w:rFonts w:ascii="Arial" w:hAnsi="Arial" w:cs="Arial"/>
          <w:sz w:val="20"/>
          <w:szCs w:val="20"/>
        </w:rPr>
        <w:t xml:space="preserve">, the variant in </w:t>
      </w:r>
      <w:r w:rsidR="00CF56B6" w:rsidRPr="00AC4BBD">
        <w:rPr>
          <w:rFonts w:ascii="Arial" w:hAnsi="Arial" w:cs="Arial"/>
          <w:i/>
          <w:sz w:val="20"/>
          <w:szCs w:val="20"/>
        </w:rPr>
        <w:t>ABCB11</w:t>
      </w:r>
      <w:r w:rsidR="00CF56B6" w:rsidRPr="00AC4BBD">
        <w:rPr>
          <w:rFonts w:ascii="Arial" w:hAnsi="Arial" w:cs="Arial"/>
          <w:sz w:val="20"/>
          <w:szCs w:val="20"/>
        </w:rPr>
        <w:t xml:space="preserve"> is not necessary for disease in this patient. However, it may be possible that the </w:t>
      </w:r>
      <w:r w:rsidR="00CF56B6" w:rsidRPr="00AC4BBD">
        <w:rPr>
          <w:rFonts w:ascii="Arial" w:hAnsi="Arial" w:cs="Arial"/>
          <w:i/>
          <w:sz w:val="20"/>
          <w:szCs w:val="20"/>
        </w:rPr>
        <w:t>ABCB11</w:t>
      </w:r>
      <w:r w:rsidR="00CF56B6" w:rsidRPr="00AC4BBD">
        <w:rPr>
          <w:rFonts w:ascii="Arial" w:hAnsi="Arial" w:cs="Arial"/>
          <w:sz w:val="20"/>
          <w:szCs w:val="20"/>
        </w:rPr>
        <w:t xml:space="preserve"> variant contributes to the disease phenotype. </w:t>
      </w:r>
    </w:p>
    <w:p w14:paraId="07429BA8" w14:textId="192DF1D1" w:rsidR="00AC4BBD" w:rsidRPr="00C277D2" w:rsidRDefault="00534B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77D2">
        <w:rPr>
          <w:rFonts w:ascii="Arial" w:hAnsi="Arial" w:cs="Arial"/>
          <w:sz w:val="20"/>
          <w:szCs w:val="20"/>
        </w:rPr>
        <w:t xml:space="preserve">Abbreviations: </w:t>
      </w:r>
      <w:r w:rsidR="00AC4BBD" w:rsidRPr="00C277D2">
        <w:rPr>
          <w:rFonts w:ascii="Arial" w:hAnsi="Arial" w:cs="Arial"/>
          <w:sz w:val="20"/>
          <w:szCs w:val="20"/>
        </w:rPr>
        <w:t>AF</w:t>
      </w:r>
      <w:r w:rsidRPr="00C277D2">
        <w:rPr>
          <w:rFonts w:ascii="Arial" w:hAnsi="Arial" w:cs="Arial"/>
          <w:sz w:val="20"/>
          <w:szCs w:val="20"/>
        </w:rPr>
        <w:t>,</w:t>
      </w:r>
      <w:r w:rsidR="00AC4BBD" w:rsidRPr="00C277D2">
        <w:rPr>
          <w:rFonts w:ascii="Arial" w:hAnsi="Arial" w:cs="Arial"/>
          <w:sz w:val="20"/>
          <w:szCs w:val="20"/>
        </w:rPr>
        <w:t xml:space="preserve"> </w:t>
      </w:r>
      <w:r w:rsidRPr="00C277D2">
        <w:rPr>
          <w:rFonts w:ascii="Arial" w:hAnsi="Arial" w:cs="Arial"/>
          <w:sz w:val="20"/>
          <w:szCs w:val="20"/>
        </w:rPr>
        <w:t xml:space="preserve">allele frequency; </w:t>
      </w:r>
      <w:r w:rsidR="000C774E" w:rsidRPr="00C277D2">
        <w:rPr>
          <w:rFonts w:ascii="Arial" w:hAnsi="Arial" w:cs="Arial"/>
          <w:sz w:val="20"/>
          <w:szCs w:val="20"/>
        </w:rPr>
        <w:t xml:space="preserve">CADD, </w:t>
      </w:r>
      <w:r w:rsidR="00C277D2" w:rsidRPr="00D70808">
        <w:rPr>
          <w:rFonts w:ascii="Arial" w:hAnsi="Arial" w:cs="Arial"/>
          <w:sz w:val="20"/>
          <w:szCs w:val="20"/>
        </w:rPr>
        <w:t>combined annotation dependent depletion</w:t>
      </w:r>
      <w:r w:rsidR="000C774E" w:rsidRPr="00C277D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C277D2">
        <w:rPr>
          <w:rFonts w:ascii="Arial" w:hAnsi="Arial" w:cs="Arial"/>
          <w:sz w:val="20"/>
          <w:szCs w:val="20"/>
        </w:rPr>
        <w:t>gnomAD</w:t>
      </w:r>
      <w:proofErr w:type="spellEnd"/>
      <w:r w:rsidRPr="00C277D2">
        <w:rPr>
          <w:rFonts w:ascii="Arial" w:hAnsi="Arial" w:cs="Arial"/>
          <w:sz w:val="20"/>
          <w:szCs w:val="20"/>
        </w:rPr>
        <w:t>,</w:t>
      </w:r>
      <w:r w:rsidR="00AC4BBD" w:rsidRPr="00C277D2">
        <w:rPr>
          <w:rFonts w:ascii="Arial" w:hAnsi="Arial" w:cs="Arial"/>
          <w:sz w:val="20"/>
          <w:szCs w:val="20"/>
        </w:rPr>
        <w:t xml:space="preserve"> genome aggregation database (</w:t>
      </w:r>
      <w:hyperlink r:id="rId6" w:history="1">
        <w:r w:rsidR="000C774E" w:rsidRPr="00C277D2">
          <w:rPr>
            <w:rStyle w:val="Hyperlink"/>
            <w:rFonts w:ascii="Arial" w:hAnsi="Arial" w:cs="Arial"/>
            <w:sz w:val="20"/>
            <w:szCs w:val="20"/>
          </w:rPr>
          <w:t>http://gnomad.broadinstitute.org/</w:t>
        </w:r>
      </w:hyperlink>
      <w:r w:rsidR="00AC4BBD" w:rsidRPr="00C277D2">
        <w:rPr>
          <w:rFonts w:ascii="Arial" w:hAnsi="Arial" w:cs="Arial"/>
          <w:sz w:val="20"/>
          <w:szCs w:val="20"/>
        </w:rPr>
        <w:t>)</w:t>
      </w:r>
      <w:r w:rsidR="000C774E" w:rsidRPr="00C277D2">
        <w:rPr>
          <w:rFonts w:ascii="Arial" w:hAnsi="Arial" w:cs="Arial"/>
          <w:sz w:val="20"/>
          <w:szCs w:val="20"/>
        </w:rPr>
        <w:t xml:space="preserve">; SNP, </w:t>
      </w:r>
      <w:r w:rsidR="00AF07AC" w:rsidRPr="00C277D2">
        <w:rPr>
          <w:rFonts w:ascii="Arial" w:hAnsi="Arial" w:cs="Arial"/>
          <w:color w:val="000000"/>
          <w:sz w:val="20"/>
          <w:szCs w:val="20"/>
        </w:rPr>
        <w:t>s</w:t>
      </w:r>
      <w:r w:rsidR="00AF07AC" w:rsidRPr="00D70808">
        <w:rPr>
          <w:rFonts w:ascii="Arial" w:hAnsi="Arial" w:cs="Arial"/>
          <w:color w:val="000000"/>
          <w:sz w:val="20"/>
          <w:szCs w:val="20"/>
        </w:rPr>
        <w:t xml:space="preserve">ingle </w:t>
      </w:r>
      <w:r w:rsidR="00AF07AC" w:rsidRPr="00C277D2">
        <w:rPr>
          <w:rFonts w:ascii="Arial" w:hAnsi="Arial" w:cs="Arial"/>
          <w:color w:val="000000"/>
          <w:sz w:val="20"/>
          <w:szCs w:val="20"/>
        </w:rPr>
        <w:t>n</w:t>
      </w:r>
      <w:r w:rsidR="00AF07AC" w:rsidRPr="00D70808">
        <w:rPr>
          <w:rFonts w:ascii="Arial" w:hAnsi="Arial" w:cs="Arial"/>
          <w:color w:val="000000"/>
          <w:sz w:val="20"/>
          <w:szCs w:val="20"/>
        </w:rPr>
        <w:t xml:space="preserve">ucleotide </w:t>
      </w:r>
      <w:r w:rsidR="00AF07AC" w:rsidRPr="00C277D2">
        <w:rPr>
          <w:rFonts w:ascii="Arial" w:hAnsi="Arial" w:cs="Arial"/>
          <w:color w:val="000000"/>
          <w:sz w:val="20"/>
          <w:szCs w:val="20"/>
        </w:rPr>
        <w:t>p</w:t>
      </w:r>
      <w:r w:rsidR="00AF07AC" w:rsidRPr="00D70808">
        <w:rPr>
          <w:rFonts w:ascii="Arial" w:hAnsi="Arial" w:cs="Arial"/>
          <w:color w:val="000000"/>
          <w:sz w:val="20"/>
          <w:szCs w:val="20"/>
        </w:rPr>
        <w:t>olymorphism</w:t>
      </w:r>
      <w:r w:rsidR="00AC4BBD" w:rsidRPr="00C277D2">
        <w:rPr>
          <w:rFonts w:ascii="Arial" w:hAnsi="Arial" w:cs="Arial"/>
          <w:sz w:val="20"/>
          <w:szCs w:val="20"/>
        </w:rPr>
        <w:t>.</w:t>
      </w:r>
    </w:p>
    <w:p w14:paraId="7BBC61B0" w14:textId="456B8327" w:rsidR="00394141" w:rsidRDefault="00394141">
      <w:r>
        <w:br w:type="page"/>
      </w:r>
    </w:p>
    <w:p w14:paraId="55E03DD6" w14:textId="77777777" w:rsidR="00394141" w:rsidRPr="00394141" w:rsidRDefault="00394141" w:rsidP="00394141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394141">
        <w:rPr>
          <w:rFonts w:ascii="Arial" w:eastAsia="Calibri" w:hAnsi="Arial" w:cs="Arial"/>
          <w:b/>
          <w:sz w:val="24"/>
          <w:szCs w:val="24"/>
        </w:rPr>
        <w:lastRenderedPageBreak/>
        <w:t>SDC TABLE 2 REFERENCES</w:t>
      </w:r>
    </w:p>
    <w:p w14:paraId="16B122BF" w14:textId="77777777" w:rsidR="00394141" w:rsidRPr="00394141" w:rsidRDefault="00394141" w:rsidP="003941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8EB15C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Bull LN, van Eijk MJ, Pawlikowska L, et al. A gene encoding a P-type ATPase mutated in two forms of hereditary cholestasis. Nat Genet 1998;18(3):219-224.</w:t>
      </w:r>
    </w:p>
    <w:p w14:paraId="1136E433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01DD40D6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Wang KS, Tiao G, Bass LM, et al. Analysis of surgical interruption of the enterohepatic circulation as a treatment for pediatric cholestasis. Hepatology 2017;65(5):1645-1654.</w:t>
      </w:r>
    </w:p>
    <w:p w14:paraId="200D1016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302ED444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 xml:space="preserve">Tygstrup N, Steig BA, Juijn JA, et al. Recurrent familial intrahepatic cholestasis in the Faeroe Islands. Phenotypic heterogeneity but genetic homogeneity. Hepatology 1999;29(2):506-508. </w:t>
      </w:r>
    </w:p>
    <w:p w14:paraId="0F920EFF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7155FB64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 xml:space="preserve">Klomp LW, Vargas JC, van Mil SW, et al. Characterization of mutations in ATP8B1 associated with hereditary cholestasis. Hepatology 2004;40(1):27-38. </w:t>
      </w:r>
    </w:p>
    <w:p w14:paraId="0A9A125C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53BEFD9B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Davit-Spraul A, Fabre M, Branchereau S, et al. ATP8B1 and ABCB11 analysis in 62 children with normal gamma-glutamyl transferase progressive familial intrahepatic cholestasis (PFIC): phenotypic differences between PFIC1 and PFIC2 and natural history. Hepatology 2010;51(5):1645-1655.</w:t>
      </w:r>
    </w:p>
    <w:p w14:paraId="61140743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58677B04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Alvarez L, Jara P, Sanchez-Sabate E, et al. Reduced hepatic expression of farnesoid X receptor in hereditary cholestasis associated to mutation in ATP8B1. Hum Mol Genet 2004;13(20):2451-2460.</w:t>
      </w:r>
    </w:p>
    <w:p w14:paraId="14E734F4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04E728B8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Lykavieris P, van Mil S, Cresteil D, et al. Progressive familial intrahepatic cholestasis type 1 and extrahepatic features: no catch-up of stature growth, exacerbation of diarrhea, and appearance of liver steatosis after liver transplantation. J Hepatol 2003;39(3):447-452.</w:t>
      </w:r>
    </w:p>
    <w:p w14:paraId="3311D789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4E86818E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 xml:space="preserve">Droge C, Bonus M, Baumann U, et al. Sequencing of FIC1, BSEP and MDR3 in a large cohort of patients with cholestasis revealed a high number of different genetic variants. J Hepatol 2017;67(6):1253-1264. </w:t>
      </w:r>
    </w:p>
    <w:p w14:paraId="1924F5D0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39F6DC25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Klomp LW, Bull LN, Knisely AS, et al. A missense mutation in FIC1 is associated with greenland familial cholestasis. Hepatology 2000;32(6):1337-1341.</w:t>
      </w:r>
    </w:p>
    <w:p w14:paraId="4E683807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0F3A546A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Chen HL, Chang PS, Hsu HC, et al. FIC1 and BSEP defects in Taiwanese patients with chronic intrahepatic cholestasis with low gamma-glutamyltranspeptidase levels. J Pediatr 2002;140(1):119-124.</w:t>
      </w:r>
    </w:p>
    <w:p w14:paraId="4BC52140" w14:textId="77777777" w:rsidR="00394141" w:rsidRPr="00394141" w:rsidRDefault="00394141" w:rsidP="00394141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64997DAC" w14:textId="77777777" w:rsidR="00394141" w:rsidRPr="00394141" w:rsidRDefault="00394141" w:rsidP="0039414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394141">
        <w:rPr>
          <w:rFonts w:ascii="Arial" w:eastAsia="Calibri" w:hAnsi="Arial" w:cs="Arial"/>
          <w:noProof/>
        </w:rPr>
        <w:t>Cheng Y, Guo L, Song YZ. [Clinical feature and ATP8B1 mutation analysis of a patient with progressive familial intrahepatic cholestasis type I]. Zhongguo Dang Dai Er Ke Za Zhi 2016;18(8):751-756.</w:t>
      </w:r>
    </w:p>
    <w:p w14:paraId="48934C3B" w14:textId="77777777" w:rsidR="00162606" w:rsidRPr="00FF5507" w:rsidRDefault="00162606" w:rsidP="00FF5507"/>
    <w:sectPr w:rsidR="00162606" w:rsidRPr="00FF5507" w:rsidSect="00CF56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3FD4"/>
    <w:multiLevelType w:val="hybridMultilevel"/>
    <w:tmpl w:val="E6FE44B2"/>
    <w:lvl w:ilvl="0" w:tplc="A5F89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1C"/>
    <w:rsid w:val="000A23B0"/>
    <w:rsid w:val="000A50B2"/>
    <w:rsid w:val="000B56BF"/>
    <w:rsid w:val="000C774E"/>
    <w:rsid w:val="000F6DDB"/>
    <w:rsid w:val="00101ABF"/>
    <w:rsid w:val="00117A64"/>
    <w:rsid w:val="00142F49"/>
    <w:rsid w:val="00162606"/>
    <w:rsid w:val="001A0E97"/>
    <w:rsid w:val="001E0AD2"/>
    <w:rsid w:val="002575DD"/>
    <w:rsid w:val="0026363A"/>
    <w:rsid w:val="0028031C"/>
    <w:rsid w:val="00287850"/>
    <w:rsid w:val="002A743A"/>
    <w:rsid w:val="002C2A02"/>
    <w:rsid w:val="002E3CED"/>
    <w:rsid w:val="00340B9D"/>
    <w:rsid w:val="00345A1B"/>
    <w:rsid w:val="0035060F"/>
    <w:rsid w:val="0036139E"/>
    <w:rsid w:val="00376450"/>
    <w:rsid w:val="0037664A"/>
    <w:rsid w:val="00394141"/>
    <w:rsid w:val="003B799D"/>
    <w:rsid w:val="003D4A6C"/>
    <w:rsid w:val="003F11D9"/>
    <w:rsid w:val="00414462"/>
    <w:rsid w:val="00415A4A"/>
    <w:rsid w:val="00453012"/>
    <w:rsid w:val="00456FE3"/>
    <w:rsid w:val="0046730C"/>
    <w:rsid w:val="004D57C4"/>
    <w:rsid w:val="00522162"/>
    <w:rsid w:val="0052460C"/>
    <w:rsid w:val="00534B8C"/>
    <w:rsid w:val="005629A4"/>
    <w:rsid w:val="00592150"/>
    <w:rsid w:val="005E049F"/>
    <w:rsid w:val="00600C06"/>
    <w:rsid w:val="00606A3D"/>
    <w:rsid w:val="00640E49"/>
    <w:rsid w:val="00672ED1"/>
    <w:rsid w:val="00692387"/>
    <w:rsid w:val="006A4AFC"/>
    <w:rsid w:val="006D26BD"/>
    <w:rsid w:val="006D45C6"/>
    <w:rsid w:val="006D57D0"/>
    <w:rsid w:val="006F667E"/>
    <w:rsid w:val="00707BB8"/>
    <w:rsid w:val="007106DF"/>
    <w:rsid w:val="00714039"/>
    <w:rsid w:val="00757952"/>
    <w:rsid w:val="007D12DF"/>
    <w:rsid w:val="007D488F"/>
    <w:rsid w:val="007F2024"/>
    <w:rsid w:val="008026FA"/>
    <w:rsid w:val="0085756B"/>
    <w:rsid w:val="008674A2"/>
    <w:rsid w:val="00867CD1"/>
    <w:rsid w:val="008A5088"/>
    <w:rsid w:val="008B2C5F"/>
    <w:rsid w:val="008B2D34"/>
    <w:rsid w:val="008E550F"/>
    <w:rsid w:val="00944915"/>
    <w:rsid w:val="00970D1C"/>
    <w:rsid w:val="009D4ABB"/>
    <w:rsid w:val="009E4C57"/>
    <w:rsid w:val="00A00841"/>
    <w:rsid w:val="00A10A20"/>
    <w:rsid w:val="00A665B8"/>
    <w:rsid w:val="00A77683"/>
    <w:rsid w:val="00AC244D"/>
    <w:rsid w:val="00AC4BBD"/>
    <w:rsid w:val="00AF07AC"/>
    <w:rsid w:val="00B01A4D"/>
    <w:rsid w:val="00B44248"/>
    <w:rsid w:val="00B608CF"/>
    <w:rsid w:val="00B71DD2"/>
    <w:rsid w:val="00B8062C"/>
    <w:rsid w:val="00B82DD9"/>
    <w:rsid w:val="00B86E5D"/>
    <w:rsid w:val="00BA6733"/>
    <w:rsid w:val="00BE6F5C"/>
    <w:rsid w:val="00C159A3"/>
    <w:rsid w:val="00C277D2"/>
    <w:rsid w:val="00C4042E"/>
    <w:rsid w:val="00C65859"/>
    <w:rsid w:val="00C71DAE"/>
    <w:rsid w:val="00CD06EA"/>
    <w:rsid w:val="00CD07DD"/>
    <w:rsid w:val="00CF56B6"/>
    <w:rsid w:val="00D07843"/>
    <w:rsid w:val="00D15308"/>
    <w:rsid w:val="00D27228"/>
    <w:rsid w:val="00D463D8"/>
    <w:rsid w:val="00D70808"/>
    <w:rsid w:val="00D877C9"/>
    <w:rsid w:val="00DB2C99"/>
    <w:rsid w:val="00DE0CEE"/>
    <w:rsid w:val="00DF5E26"/>
    <w:rsid w:val="00E22140"/>
    <w:rsid w:val="00E86423"/>
    <w:rsid w:val="00EC5B26"/>
    <w:rsid w:val="00EF4A47"/>
    <w:rsid w:val="00F1097E"/>
    <w:rsid w:val="00F37CC8"/>
    <w:rsid w:val="00F435B3"/>
    <w:rsid w:val="00F9368C"/>
    <w:rsid w:val="00F97154"/>
    <w:rsid w:val="00FB17C3"/>
    <w:rsid w:val="00FF34EB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42E"/>
  <w15:chartTrackingRefBased/>
  <w15:docId w15:val="{8925EC1F-5EC9-4F33-9EBE-112A534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D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DB"/>
    <w:rPr>
      <w:sz w:val="20"/>
      <w:szCs w:val="20"/>
    </w:rPr>
  </w:style>
  <w:style w:type="table" w:styleId="TableGrid">
    <w:name w:val="Table Grid"/>
    <w:basedOn w:val="TableNormal"/>
    <w:uiPriority w:val="59"/>
    <w:rsid w:val="000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B6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B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omad.broadinstitute.org/" TargetMode="External"/><Relationship Id="rId5" Type="http://schemas.openxmlformats.org/officeDocument/2006/relationships/hyperlink" Target="mailto:p.S407N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Goodrich</dc:creator>
  <cp:keywords/>
  <dc:description/>
  <cp:lastModifiedBy>Hagan, Marianna</cp:lastModifiedBy>
  <cp:revision>4</cp:revision>
  <dcterms:created xsi:type="dcterms:W3CDTF">2021-04-19T19:35:00Z</dcterms:created>
  <dcterms:modified xsi:type="dcterms:W3CDTF">2021-04-19T19:43:00Z</dcterms:modified>
</cp:coreProperties>
</file>