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523" w:rsidRDefault="00B07523"/>
    <w:p w:rsidR="00226483" w:rsidRDefault="00226483" w:rsidP="00226483">
      <w:r>
        <w:rPr>
          <w:noProof/>
          <w:lang w:eastAsia="en-NZ"/>
        </w:rPr>
        <w:drawing>
          <wp:inline distT="0" distB="0" distL="0" distR="0" wp14:anchorId="184F6BA5" wp14:editId="39E1697D">
            <wp:extent cx="3013544" cy="3208237"/>
            <wp:effectExtent l="0" t="0" r="0" b="0"/>
            <wp:docPr id="2" name="Picture 2" descr="C:\Massey_2012\Research\Postgrads\Wendy O'Brian\Ratio Project 2010\Manuscript\MSSE\Revision 1\figure SDC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ssey_2012\Research\Postgrads\Wendy O'Brian\Ratio Project 2010\Manuscript\MSSE\Revision 1\figure SDC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97" cy="32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68" w:rsidRPr="003206D0" w:rsidRDefault="0038514E" w:rsidP="00226483">
      <w:pPr>
        <w:spacing w:line="240" w:lineRule="auto"/>
      </w:pPr>
      <w:r>
        <w:t xml:space="preserve">SDC3 Figure 1. </w:t>
      </w:r>
      <w:bookmarkStart w:id="0" w:name="_GoBack"/>
      <w:bookmarkEnd w:id="0"/>
      <w:r w:rsidR="007E7368" w:rsidRPr="003206D0">
        <w:t xml:space="preserve">Ratings of (A) nausea, (B) abdominal cramp, and (C) drink sweetness during the 2-h ride and the repeated-sprint performance test. </w:t>
      </w:r>
    </w:p>
    <w:sectPr w:rsidR="007E7368" w:rsidRPr="003206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D12"/>
    <w:rsid w:val="00226483"/>
    <w:rsid w:val="00341F1E"/>
    <w:rsid w:val="0038514E"/>
    <w:rsid w:val="007E7368"/>
    <w:rsid w:val="009C6D12"/>
    <w:rsid w:val="00B0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368"/>
    <w:pPr>
      <w:spacing w:after="36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36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368"/>
    <w:pPr>
      <w:spacing w:after="36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36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Rowlands, David</dc:creator>
  <cp:lastModifiedBy>Rowlands, David</cp:lastModifiedBy>
  <cp:revision>4</cp:revision>
  <dcterms:created xsi:type="dcterms:W3CDTF">2012-09-27T13:30:00Z</dcterms:created>
  <dcterms:modified xsi:type="dcterms:W3CDTF">2013-01-22T03:06:00Z</dcterms:modified>
</cp:coreProperties>
</file>