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74" w:rsidRPr="00FE146B" w:rsidRDefault="0032198C" w:rsidP="004D5874">
      <w:r>
        <w:t xml:space="preserve">Supplemental Digital Content </w:t>
      </w:r>
      <w:r w:rsidR="00C953C9">
        <w:t>1</w:t>
      </w:r>
      <w:r w:rsidR="004D5874" w:rsidRPr="00FE146B">
        <w:t xml:space="preserve">. </w:t>
      </w:r>
      <w:r w:rsidR="00C953C9">
        <w:rPr>
          <w:bCs/>
        </w:rPr>
        <w:t>Pearson correlation coefficients between measured (Cosmed) and ActiGraph hip (Crouter vertical axis</w:t>
      </w:r>
      <w:r w:rsidR="00FF62A5">
        <w:rPr>
          <w:bCs/>
        </w:rPr>
        <w:t xml:space="preserve"> (VA)</w:t>
      </w:r>
      <w:r w:rsidR="00C953C9">
        <w:rPr>
          <w:bCs/>
        </w:rPr>
        <w:t xml:space="preserve"> 2-regression model and Crouter vector magnitude</w:t>
      </w:r>
      <w:r w:rsidR="00FF62A5">
        <w:rPr>
          <w:bCs/>
        </w:rPr>
        <w:t xml:space="preserve"> (VM)</w:t>
      </w:r>
      <w:r w:rsidR="00C953C9">
        <w:rPr>
          <w:bCs/>
        </w:rPr>
        <w:t xml:space="preserve"> 2-regression model) and wrist (</w:t>
      </w:r>
      <w:r w:rsidR="00FF62A5">
        <w:rPr>
          <w:bCs/>
        </w:rPr>
        <w:t>VA</w:t>
      </w:r>
      <w:r w:rsidR="00C953C9">
        <w:rPr>
          <w:bCs/>
        </w:rPr>
        <w:t xml:space="preserve"> single regression model and </w:t>
      </w:r>
      <w:r w:rsidR="00FF62A5">
        <w:rPr>
          <w:bCs/>
        </w:rPr>
        <w:t>VM</w:t>
      </w:r>
      <w:r w:rsidR="00C953C9">
        <w:rPr>
          <w:bCs/>
        </w:rPr>
        <w:t xml:space="preserve"> single regression model) prediction methods for child-METs and time spent in sedentary behaviors (SB)</w:t>
      </w:r>
      <w:r w:rsidR="00684635">
        <w:rPr>
          <w:bCs/>
        </w:rPr>
        <w:t>,</w:t>
      </w:r>
      <w:r w:rsidR="00C953C9">
        <w:rPr>
          <w:bCs/>
        </w:rPr>
        <w:t xml:space="preserve"> light physical activity (LPA), moderate PA (MPA), vigorous PA (VPA) and moderate and vigorous PA (MVPA) during approximately two hours of </w:t>
      </w:r>
      <w:r w:rsidR="00042C26">
        <w:rPr>
          <w:bCs/>
        </w:rPr>
        <w:t>unstructured PA</w:t>
      </w:r>
      <w:r w:rsidR="00C953C9">
        <w:rPr>
          <w:bCs/>
        </w:rPr>
        <w:t>. All correlations are significant (P ≤ 0.001).</w:t>
      </w:r>
    </w:p>
    <w:p w:rsidR="004D5874" w:rsidRPr="005D2F5C" w:rsidRDefault="004D5874" w:rsidP="004D5874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828"/>
        <w:gridCol w:w="4859"/>
        <w:gridCol w:w="1352"/>
        <w:gridCol w:w="1349"/>
        <w:gridCol w:w="1260"/>
        <w:gridCol w:w="1170"/>
        <w:gridCol w:w="1170"/>
        <w:gridCol w:w="1188"/>
      </w:tblGrid>
      <w:tr w:rsidR="0032305E" w:rsidRPr="00433471" w:rsidTr="00C953C9"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</w:tcPr>
          <w:p w:rsidR="00A16DC2" w:rsidRPr="00433471" w:rsidRDefault="00A16DC2" w:rsidP="00433471">
            <w:pPr>
              <w:jc w:val="center"/>
              <w:rPr>
                <w:b/>
                <w:bCs/>
              </w:rPr>
            </w:pPr>
          </w:p>
        </w:tc>
        <w:tc>
          <w:tcPr>
            <w:tcW w:w="1844" w:type="pct"/>
            <w:tcBorders>
              <w:top w:val="single" w:sz="4" w:space="0" w:color="auto"/>
              <w:bottom w:val="single" w:sz="4" w:space="0" w:color="auto"/>
            </w:tcBorders>
          </w:tcPr>
          <w:p w:rsidR="00A16DC2" w:rsidRPr="0032305E" w:rsidRDefault="00A16DC2" w:rsidP="00433471">
            <w:pPr>
              <w:jc w:val="center"/>
              <w:rPr>
                <w:b/>
                <w:bCs/>
                <w:vertAlign w:val="subscript"/>
              </w:rPr>
            </w:pPr>
          </w:p>
        </w:tc>
        <w:tc>
          <w:tcPr>
            <w:tcW w:w="513" w:type="pct"/>
            <w:tcBorders>
              <w:top w:val="single" w:sz="4" w:space="0" w:color="auto"/>
              <w:bottom w:val="single" w:sz="4" w:space="0" w:color="auto"/>
            </w:tcBorders>
          </w:tcPr>
          <w:p w:rsidR="00A16DC2" w:rsidRPr="00433471" w:rsidRDefault="00C953C9" w:rsidP="00C95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Cosmed</w:t>
            </w:r>
            <w:r w:rsidRPr="0043347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child-MET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A16DC2" w:rsidRPr="00433471" w:rsidRDefault="00C953C9" w:rsidP="00C953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Cosmed SB 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</w:tcPr>
          <w:p w:rsidR="00A16DC2" w:rsidRPr="00433471" w:rsidRDefault="00C953C9" w:rsidP="00A16DC2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Cosmed LPA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A16DC2" w:rsidRPr="00433471" w:rsidRDefault="00C953C9" w:rsidP="00433471">
            <w:pPr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Cosmed MPA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</w:tcPr>
          <w:p w:rsidR="00A16DC2" w:rsidRPr="00433471" w:rsidRDefault="00C953C9" w:rsidP="00433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Cosmed VPA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:rsidR="00A16DC2" w:rsidRPr="00433471" w:rsidRDefault="00C953C9" w:rsidP="004334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Cosmed MVPA</w:t>
            </w:r>
          </w:p>
        </w:tc>
      </w:tr>
      <w:tr w:rsidR="00C953C9" w:rsidRPr="00433471" w:rsidTr="00C953C9">
        <w:tc>
          <w:tcPr>
            <w:tcW w:w="31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3C9" w:rsidRPr="00C953C9" w:rsidRDefault="00C953C9" w:rsidP="00C953C9">
            <w:pPr>
              <w:jc w:val="center"/>
              <w:rPr>
                <w:b/>
                <w:bCs/>
              </w:rPr>
            </w:pPr>
            <w:r w:rsidRPr="00C953C9">
              <w:rPr>
                <w:b/>
                <w:bCs/>
              </w:rPr>
              <w:t>Hip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:rsidR="00C953C9" w:rsidRPr="0032305E" w:rsidRDefault="00C953C9" w:rsidP="00FF62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Crouter </w:t>
            </w:r>
            <w:r w:rsidR="00FF62A5">
              <w:rPr>
                <w:bCs/>
              </w:rPr>
              <w:t>VA</w:t>
            </w:r>
            <w:r>
              <w:rPr>
                <w:bCs/>
              </w:rPr>
              <w:t xml:space="preserve"> 2-regression model</w:t>
            </w:r>
          </w:p>
        </w:tc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:rsidR="00C953C9" w:rsidRPr="0032305E" w:rsidRDefault="00C953C9" w:rsidP="00646212">
            <w:pPr>
              <w:jc w:val="center"/>
              <w:rPr>
                <w:bCs/>
              </w:rPr>
            </w:pPr>
            <w:r>
              <w:rPr>
                <w:bCs/>
              </w:rPr>
              <w:t>0.825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C953C9" w:rsidRPr="0032305E" w:rsidRDefault="00C953C9" w:rsidP="00646212">
            <w:pPr>
              <w:jc w:val="center"/>
              <w:rPr>
                <w:bCs/>
              </w:rPr>
            </w:pPr>
            <w:r>
              <w:rPr>
                <w:bCs/>
              </w:rPr>
              <w:t>0.776</w:t>
            </w:r>
          </w:p>
        </w:tc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:rsidR="00C953C9" w:rsidRPr="0032305E" w:rsidRDefault="00C953C9" w:rsidP="00935FAD">
            <w:pPr>
              <w:jc w:val="center"/>
              <w:rPr>
                <w:bCs/>
              </w:rPr>
            </w:pPr>
            <w:r>
              <w:rPr>
                <w:bCs/>
              </w:rPr>
              <w:t>0.725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C953C9" w:rsidRPr="0032305E" w:rsidRDefault="00C953C9" w:rsidP="00935FAD">
            <w:pPr>
              <w:jc w:val="center"/>
              <w:rPr>
                <w:bCs/>
              </w:rPr>
            </w:pPr>
            <w:r>
              <w:rPr>
                <w:bCs/>
              </w:rPr>
              <w:t>0.710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C953C9" w:rsidRPr="0032305E" w:rsidRDefault="00C953C9" w:rsidP="00935FAD">
            <w:pPr>
              <w:jc w:val="center"/>
              <w:rPr>
                <w:bCs/>
              </w:rPr>
            </w:pPr>
            <w:r>
              <w:rPr>
                <w:bCs/>
              </w:rPr>
              <w:t>0.634</w:t>
            </w:r>
          </w:p>
        </w:tc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:rsidR="00C953C9" w:rsidRPr="0032305E" w:rsidRDefault="00C953C9" w:rsidP="004F7D31">
            <w:pPr>
              <w:jc w:val="center"/>
              <w:rPr>
                <w:bCs/>
              </w:rPr>
            </w:pPr>
            <w:r>
              <w:rPr>
                <w:bCs/>
              </w:rPr>
              <w:t>0.965</w:t>
            </w:r>
          </w:p>
        </w:tc>
      </w:tr>
      <w:tr w:rsidR="00C953C9" w:rsidRPr="00433471" w:rsidTr="00C953C9"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C953C9" w:rsidRPr="001F10BB" w:rsidRDefault="00C953C9" w:rsidP="0032305E">
            <w:pPr>
              <w:rPr>
                <w:bCs/>
              </w:rPr>
            </w:pPr>
          </w:p>
        </w:tc>
        <w:tc>
          <w:tcPr>
            <w:tcW w:w="1844" w:type="pct"/>
            <w:tcBorders>
              <w:bottom w:val="single" w:sz="4" w:space="0" w:color="auto"/>
            </w:tcBorders>
            <w:vAlign w:val="center"/>
          </w:tcPr>
          <w:p w:rsidR="00C953C9" w:rsidRPr="0032305E" w:rsidRDefault="00C953C9" w:rsidP="00FF62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Crouter </w:t>
            </w:r>
            <w:r w:rsidR="00FF62A5">
              <w:rPr>
                <w:bCs/>
              </w:rPr>
              <w:t>VM</w:t>
            </w:r>
            <w:r>
              <w:rPr>
                <w:bCs/>
              </w:rPr>
              <w:t xml:space="preserve"> 2-regression model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C953C9" w:rsidRPr="0032305E" w:rsidRDefault="00C953C9" w:rsidP="00646212">
            <w:pPr>
              <w:jc w:val="center"/>
              <w:rPr>
                <w:bCs/>
              </w:rPr>
            </w:pPr>
            <w:r>
              <w:rPr>
                <w:bCs/>
              </w:rPr>
              <w:t>0.811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C953C9" w:rsidRPr="0032305E" w:rsidRDefault="00C953C9" w:rsidP="00646212">
            <w:pPr>
              <w:jc w:val="center"/>
              <w:rPr>
                <w:bCs/>
              </w:rPr>
            </w:pPr>
            <w:r>
              <w:rPr>
                <w:bCs/>
              </w:rPr>
              <w:t>0.742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C953C9" w:rsidRPr="0032305E" w:rsidRDefault="00C953C9" w:rsidP="00935FAD">
            <w:pPr>
              <w:jc w:val="center"/>
              <w:rPr>
                <w:bCs/>
              </w:rPr>
            </w:pPr>
            <w:r>
              <w:rPr>
                <w:bCs/>
              </w:rPr>
              <w:t>0.746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C953C9" w:rsidRPr="0032305E" w:rsidRDefault="00C953C9" w:rsidP="00935FAD">
            <w:pPr>
              <w:jc w:val="center"/>
              <w:rPr>
                <w:bCs/>
              </w:rPr>
            </w:pPr>
            <w:r>
              <w:rPr>
                <w:bCs/>
              </w:rPr>
              <w:t>0.695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C953C9" w:rsidRPr="0032305E" w:rsidRDefault="00C953C9" w:rsidP="00935FAD">
            <w:pPr>
              <w:jc w:val="center"/>
              <w:rPr>
                <w:bCs/>
              </w:rPr>
            </w:pPr>
            <w:r>
              <w:rPr>
                <w:bCs/>
              </w:rPr>
              <w:t>0.646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C953C9" w:rsidRPr="0032305E" w:rsidRDefault="00C953C9" w:rsidP="004F7D31">
            <w:pPr>
              <w:jc w:val="center"/>
              <w:rPr>
                <w:bCs/>
              </w:rPr>
            </w:pPr>
            <w:r>
              <w:rPr>
                <w:bCs/>
              </w:rPr>
              <w:t>0.962</w:t>
            </w:r>
          </w:p>
        </w:tc>
      </w:tr>
      <w:tr w:rsidR="00C953C9" w:rsidRPr="00433471" w:rsidTr="00C953C9">
        <w:tc>
          <w:tcPr>
            <w:tcW w:w="314" w:type="pct"/>
            <w:vMerge w:val="restart"/>
            <w:tcBorders>
              <w:top w:val="single" w:sz="4" w:space="0" w:color="auto"/>
            </w:tcBorders>
            <w:vAlign w:val="center"/>
          </w:tcPr>
          <w:p w:rsidR="00C953C9" w:rsidRPr="00C953C9" w:rsidRDefault="00C953C9" w:rsidP="00C953C9">
            <w:pPr>
              <w:jc w:val="center"/>
              <w:rPr>
                <w:b/>
                <w:bCs/>
              </w:rPr>
            </w:pPr>
            <w:r w:rsidRPr="00C953C9">
              <w:rPr>
                <w:b/>
                <w:bCs/>
              </w:rPr>
              <w:t>Wrist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:rsidR="00C953C9" w:rsidRPr="0032305E" w:rsidRDefault="00C953C9" w:rsidP="00FF62A5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  <w:r w:rsidR="00FF62A5">
              <w:rPr>
                <w:bCs/>
              </w:rPr>
              <w:t>A</w:t>
            </w:r>
            <w:r>
              <w:rPr>
                <w:bCs/>
              </w:rPr>
              <w:t xml:space="preserve"> single regression model</w:t>
            </w:r>
          </w:p>
        </w:tc>
        <w:tc>
          <w:tcPr>
            <w:tcW w:w="513" w:type="pct"/>
            <w:tcBorders>
              <w:top w:val="single" w:sz="4" w:space="0" w:color="auto"/>
            </w:tcBorders>
            <w:vAlign w:val="center"/>
          </w:tcPr>
          <w:p w:rsidR="00C953C9" w:rsidRPr="0032305E" w:rsidRDefault="00C953C9" w:rsidP="00646212">
            <w:pPr>
              <w:jc w:val="center"/>
              <w:rPr>
                <w:bCs/>
              </w:rPr>
            </w:pPr>
            <w:r>
              <w:rPr>
                <w:bCs/>
              </w:rPr>
              <w:t>0.814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:rsidR="00C953C9" w:rsidRPr="0032305E" w:rsidRDefault="00C953C9" w:rsidP="00646212">
            <w:pPr>
              <w:jc w:val="center"/>
              <w:rPr>
                <w:bCs/>
              </w:rPr>
            </w:pPr>
            <w:r>
              <w:rPr>
                <w:bCs/>
              </w:rPr>
              <w:t>0.825</w:t>
            </w:r>
          </w:p>
        </w:tc>
        <w:tc>
          <w:tcPr>
            <w:tcW w:w="478" w:type="pct"/>
            <w:tcBorders>
              <w:top w:val="single" w:sz="4" w:space="0" w:color="auto"/>
            </w:tcBorders>
            <w:vAlign w:val="center"/>
          </w:tcPr>
          <w:p w:rsidR="00C953C9" w:rsidRPr="0032305E" w:rsidRDefault="00C953C9" w:rsidP="00935FAD">
            <w:pPr>
              <w:jc w:val="center"/>
              <w:rPr>
                <w:bCs/>
              </w:rPr>
            </w:pPr>
            <w:r>
              <w:rPr>
                <w:bCs/>
              </w:rPr>
              <w:t>0.778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C953C9" w:rsidRPr="0032305E" w:rsidRDefault="00C953C9" w:rsidP="00935FAD">
            <w:pPr>
              <w:jc w:val="center"/>
              <w:rPr>
                <w:bCs/>
              </w:rPr>
            </w:pPr>
            <w:r>
              <w:rPr>
                <w:bCs/>
              </w:rPr>
              <w:t>0.595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C953C9" w:rsidRPr="0032305E" w:rsidRDefault="00C953C9" w:rsidP="00935FAD">
            <w:pPr>
              <w:jc w:val="center"/>
              <w:rPr>
                <w:bCs/>
              </w:rPr>
            </w:pPr>
            <w:r>
              <w:rPr>
                <w:bCs/>
              </w:rPr>
              <w:t>0.748</w:t>
            </w:r>
          </w:p>
        </w:tc>
        <w:tc>
          <w:tcPr>
            <w:tcW w:w="451" w:type="pct"/>
            <w:tcBorders>
              <w:top w:val="single" w:sz="4" w:space="0" w:color="auto"/>
            </w:tcBorders>
            <w:vAlign w:val="center"/>
          </w:tcPr>
          <w:p w:rsidR="00C953C9" w:rsidRPr="0032305E" w:rsidRDefault="00C953C9" w:rsidP="004F7D31">
            <w:pPr>
              <w:jc w:val="center"/>
              <w:rPr>
                <w:bCs/>
              </w:rPr>
            </w:pPr>
            <w:r>
              <w:rPr>
                <w:bCs/>
              </w:rPr>
              <w:t>0.901</w:t>
            </w:r>
          </w:p>
        </w:tc>
      </w:tr>
      <w:tr w:rsidR="00C953C9" w:rsidRPr="00433471" w:rsidTr="00C953C9">
        <w:tc>
          <w:tcPr>
            <w:tcW w:w="314" w:type="pct"/>
            <w:vMerge/>
            <w:tcBorders>
              <w:bottom w:val="single" w:sz="4" w:space="0" w:color="auto"/>
            </w:tcBorders>
          </w:tcPr>
          <w:p w:rsidR="00C953C9" w:rsidRPr="001F10BB" w:rsidRDefault="00C953C9" w:rsidP="00433471">
            <w:pPr>
              <w:rPr>
                <w:bCs/>
              </w:rPr>
            </w:pPr>
          </w:p>
        </w:tc>
        <w:tc>
          <w:tcPr>
            <w:tcW w:w="1844" w:type="pct"/>
            <w:tcBorders>
              <w:bottom w:val="single" w:sz="4" w:space="0" w:color="auto"/>
            </w:tcBorders>
            <w:vAlign w:val="center"/>
          </w:tcPr>
          <w:p w:rsidR="00C953C9" w:rsidRPr="0032305E" w:rsidRDefault="00C953C9" w:rsidP="00FF62A5">
            <w:pPr>
              <w:jc w:val="center"/>
              <w:rPr>
                <w:bCs/>
              </w:rPr>
            </w:pPr>
            <w:r>
              <w:rPr>
                <w:bCs/>
              </w:rPr>
              <w:t>V</w:t>
            </w:r>
            <w:r w:rsidR="00FF62A5">
              <w:rPr>
                <w:bCs/>
              </w:rPr>
              <w:t>M</w:t>
            </w:r>
            <w:bookmarkStart w:id="0" w:name="_GoBack"/>
            <w:bookmarkEnd w:id="0"/>
            <w:r>
              <w:rPr>
                <w:bCs/>
              </w:rPr>
              <w:t xml:space="preserve"> single regression model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C953C9" w:rsidRPr="0032305E" w:rsidRDefault="00C953C9" w:rsidP="00646212">
            <w:pPr>
              <w:jc w:val="center"/>
              <w:rPr>
                <w:bCs/>
              </w:rPr>
            </w:pPr>
            <w:r>
              <w:rPr>
                <w:bCs/>
              </w:rPr>
              <w:t>0.781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C953C9" w:rsidRPr="0032305E" w:rsidRDefault="00C953C9" w:rsidP="00646212">
            <w:pPr>
              <w:jc w:val="center"/>
              <w:rPr>
                <w:bCs/>
              </w:rPr>
            </w:pPr>
            <w:r>
              <w:rPr>
                <w:bCs/>
              </w:rPr>
              <w:t>0.730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C953C9" w:rsidRPr="0032305E" w:rsidRDefault="00C953C9" w:rsidP="00935FAD">
            <w:pPr>
              <w:jc w:val="center"/>
              <w:rPr>
                <w:bCs/>
              </w:rPr>
            </w:pPr>
            <w:r>
              <w:rPr>
                <w:bCs/>
              </w:rPr>
              <w:t>0.767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C953C9" w:rsidRPr="0032305E" w:rsidRDefault="00C953C9" w:rsidP="00935FAD">
            <w:pPr>
              <w:jc w:val="center"/>
              <w:rPr>
                <w:bCs/>
              </w:rPr>
            </w:pPr>
            <w:r>
              <w:rPr>
                <w:bCs/>
              </w:rPr>
              <w:t>0.485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vAlign w:val="center"/>
          </w:tcPr>
          <w:p w:rsidR="00C953C9" w:rsidRPr="0032305E" w:rsidRDefault="00C953C9" w:rsidP="00935FAD">
            <w:pPr>
              <w:jc w:val="center"/>
              <w:rPr>
                <w:bCs/>
              </w:rPr>
            </w:pPr>
            <w:r>
              <w:rPr>
                <w:bCs/>
              </w:rPr>
              <w:t>0.724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C953C9" w:rsidRPr="0032305E" w:rsidRDefault="00C953C9" w:rsidP="004F7D31">
            <w:pPr>
              <w:jc w:val="center"/>
              <w:rPr>
                <w:bCs/>
              </w:rPr>
            </w:pPr>
            <w:r>
              <w:rPr>
                <w:bCs/>
              </w:rPr>
              <w:t>0.859</w:t>
            </w:r>
          </w:p>
        </w:tc>
      </w:tr>
    </w:tbl>
    <w:p w:rsidR="004D5874" w:rsidRPr="00A16DC2" w:rsidRDefault="00C953C9" w:rsidP="00A16DC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child-</w:t>
      </w:r>
      <w:r w:rsidR="00A16DC2" w:rsidRPr="00A16DC2">
        <w:rPr>
          <w:bCs/>
          <w:sz w:val="22"/>
          <w:szCs w:val="22"/>
        </w:rPr>
        <w:t>MET, metabolic equivalents (measured VO</w:t>
      </w:r>
      <w:r w:rsidR="00A16DC2" w:rsidRPr="00A16DC2">
        <w:rPr>
          <w:bCs/>
          <w:sz w:val="22"/>
          <w:szCs w:val="22"/>
          <w:vertAlign w:val="subscript"/>
        </w:rPr>
        <w:t>2</w:t>
      </w:r>
      <w:r w:rsidR="00A16DC2" w:rsidRPr="00A16DC2">
        <w:rPr>
          <w:bCs/>
          <w:sz w:val="22"/>
          <w:szCs w:val="22"/>
        </w:rPr>
        <w:t xml:space="preserve"> </w:t>
      </w:r>
      <w:r w:rsidR="00E23298">
        <w:rPr>
          <w:bCs/>
          <w:sz w:val="22"/>
          <w:szCs w:val="22"/>
        </w:rPr>
        <w:t xml:space="preserve">for the activity </w:t>
      </w:r>
      <w:r w:rsidR="00A16DC2" w:rsidRPr="00A16DC2">
        <w:rPr>
          <w:bCs/>
          <w:sz w:val="22"/>
          <w:szCs w:val="22"/>
        </w:rPr>
        <w:t xml:space="preserve">divided by measured lying </w:t>
      </w:r>
      <w:r w:rsidR="00E23298">
        <w:rPr>
          <w:bCs/>
          <w:sz w:val="22"/>
          <w:szCs w:val="22"/>
        </w:rPr>
        <w:t>rest</w:t>
      </w:r>
      <w:r w:rsidR="00A16DC2" w:rsidRPr="00A16DC2">
        <w:rPr>
          <w:bCs/>
          <w:sz w:val="22"/>
          <w:szCs w:val="22"/>
        </w:rPr>
        <w:t xml:space="preserve"> VO</w:t>
      </w:r>
      <w:r w:rsidR="00A16DC2" w:rsidRPr="00A16DC2">
        <w:rPr>
          <w:bCs/>
          <w:sz w:val="22"/>
          <w:szCs w:val="22"/>
          <w:vertAlign w:val="subscript"/>
        </w:rPr>
        <w:t>2</w:t>
      </w:r>
      <w:r w:rsidR="00A16DC2" w:rsidRPr="00A16DC2">
        <w:rPr>
          <w:bCs/>
          <w:sz w:val="22"/>
          <w:szCs w:val="22"/>
        </w:rPr>
        <w:t xml:space="preserve">). </w:t>
      </w:r>
    </w:p>
    <w:sectPr w:rsidR="004D5874" w:rsidRPr="00A16DC2" w:rsidSect="00DF53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F49"/>
    <w:rsid w:val="000118E4"/>
    <w:rsid w:val="00021C40"/>
    <w:rsid w:val="0003658D"/>
    <w:rsid w:val="00042C26"/>
    <w:rsid w:val="00056DD0"/>
    <w:rsid w:val="00083942"/>
    <w:rsid w:val="00086A5F"/>
    <w:rsid w:val="000B1763"/>
    <w:rsid w:val="000C7A04"/>
    <w:rsid w:val="000E20A1"/>
    <w:rsid w:val="00142A4D"/>
    <w:rsid w:val="00166DC3"/>
    <w:rsid w:val="00167555"/>
    <w:rsid w:val="00180799"/>
    <w:rsid w:val="001A31F8"/>
    <w:rsid w:val="001A6491"/>
    <w:rsid w:val="001B4213"/>
    <w:rsid w:val="001F10BB"/>
    <w:rsid w:val="00224F0F"/>
    <w:rsid w:val="002746AA"/>
    <w:rsid w:val="00292C1F"/>
    <w:rsid w:val="002A6D08"/>
    <w:rsid w:val="002E4F49"/>
    <w:rsid w:val="002F35A8"/>
    <w:rsid w:val="002F5C1B"/>
    <w:rsid w:val="0032198C"/>
    <w:rsid w:val="0032305E"/>
    <w:rsid w:val="00330035"/>
    <w:rsid w:val="00331E85"/>
    <w:rsid w:val="0035523B"/>
    <w:rsid w:val="003F18C5"/>
    <w:rsid w:val="00433471"/>
    <w:rsid w:val="00486ADC"/>
    <w:rsid w:val="00496B79"/>
    <w:rsid w:val="004D5874"/>
    <w:rsid w:val="004E4C20"/>
    <w:rsid w:val="004F48CA"/>
    <w:rsid w:val="004F692D"/>
    <w:rsid w:val="004F7D31"/>
    <w:rsid w:val="00500F8D"/>
    <w:rsid w:val="00503A7D"/>
    <w:rsid w:val="00512DFE"/>
    <w:rsid w:val="00545827"/>
    <w:rsid w:val="005C1785"/>
    <w:rsid w:val="006318DF"/>
    <w:rsid w:val="00682672"/>
    <w:rsid w:val="00684635"/>
    <w:rsid w:val="00684EDE"/>
    <w:rsid w:val="006908F0"/>
    <w:rsid w:val="006C0DBF"/>
    <w:rsid w:val="006D54BE"/>
    <w:rsid w:val="006D5961"/>
    <w:rsid w:val="006E02A7"/>
    <w:rsid w:val="006E47A1"/>
    <w:rsid w:val="00712CAE"/>
    <w:rsid w:val="00793ACB"/>
    <w:rsid w:val="00795652"/>
    <w:rsid w:val="007B0010"/>
    <w:rsid w:val="007D07C9"/>
    <w:rsid w:val="007E1F55"/>
    <w:rsid w:val="007E2FD8"/>
    <w:rsid w:val="007F04BE"/>
    <w:rsid w:val="0080548F"/>
    <w:rsid w:val="00817D76"/>
    <w:rsid w:val="00823B31"/>
    <w:rsid w:val="00843C2B"/>
    <w:rsid w:val="00855E51"/>
    <w:rsid w:val="00861C3A"/>
    <w:rsid w:val="00862F53"/>
    <w:rsid w:val="00864A39"/>
    <w:rsid w:val="00886656"/>
    <w:rsid w:val="00894DF0"/>
    <w:rsid w:val="008C2FC0"/>
    <w:rsid w:val="008C3E27"/>
    <w:rsid w:val="008C663C"/>
    <w:rsid w:val="00901291"/>
    <w:rsid w:val="009014B2"/>
    <w:rsid w:val="00910434"/>
    <w:rsid w:val="00930A57"/>
    <w:rsid w:val="00934B1D"/>
    <w:rsid w:val="009863A3"/>
    <w:rsid w:val="009B3BBB"/>
    <w:rsid w:val="009B52BA"/>
    <w:rsid w:val="00A16DC2"/>
    <w:rsid w:val="00A16FF3"/>
    <w:rsid w:val="00A27594"/>
    <w:rsid w:val="00A27756"/>
    <w:rsid w:val="00A66465"/>
    <w:rsid w:val="00AB1DFB"/>
    <w:rsid w:val="00AC3151"/>
    <w:rsid w:val="00AE4606"/>
    <w:rsid w:val="00AF250A"/>
    <w:rsid w:val="00AF6564"/>
    <w:rsid w:val="00AF68B1"/>
    <w:rsid w:val="00B12694"/>
    <w:rsid w:val="00B375A3"/>
    <w:rsid w:val="00B56BAE"/>
    <w:rsid w:val="00B66545"/>
    <w:rsid w:val="00BA246C"/>
    <w:rsid w:val="00BE303B"/>
    <w:rsid w:val="00BF48DF"/>
    <w:rsid w:val="00BF5FB4"/>
    <w:rsid w:val="00C2569D"/>
    <w:rsid w:val="00C33656"/>
    <w:rsid w:val="00C36AEC"/>
    <w:rsid w:val="00C9111C"/>
    <w:rsid w:val="00C953C9"/>
    <w:rsid w:val="00CA2C79"/>
    <w:rsid w:val="00D353A8"/>
    <w:rsid w:val="00D6090C"/>
    <w:rsid w:val="00D63605"/>
    <w:rsid w:val="00DA115B"/>
    <w:rsid w:val="00DB0E96"/>
    <w:rsid w:val="00DE4CB8"/>
    <w:rsid w:val="00DF5318"/>
    <w:rsid w:val="00E05669"/>
    <w:rsid w:val="00E207EF"/>
    <w:rsid w:val="00E2251D"/>
    <w:rsid w:val="00E23298"/>
    <w:rsid w:val="00E47527"/>
    <w:rsid w:val="00E53220"/>
    <w:rsid w:val="00ED7356"/>
    <w:rsid w:val="00F22DFF"/>
    <w:rsid w:val="00F42033"/>
    <w:rsid w:val="00F803C0"/>
    <w:rsid w:val="00F8349C"/>
    <w:rsid w:val="00F969EA"/>
    <w:rsid w:val="00FB708E"/>
    <w:rsid w:val="00FC43EA"/>
    <w:rsid w:val="00FC5DC8"/>
    <w:rsid w:val="00FE146B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58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The University of Tennessee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Scott Crouter</dc:creator>
  <cp:keywords/>
  <dc:description/>
  <cp:lastModifiedBy>Crouter, Scott E</cp:lastModifiedBy>
  <cp:revision>10</cp:revision>
  <dcterms:created xsi:type="dcterms:W3CDTF">2011-08-30T14:46:00Z</dcterms:created>
  <dcterms:modified xsi:type="dcterms:W3CDTF">2014-08-12T18:38:00Z</dcterms:modified>
</cp:coreProperties>
</file>