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D9" w:rsidRPr="00753816" w:rsidRDefault="005C4109" w:rsidP="00D05130">
      <w:pPr>
        <w:rPr>
          <w:rFonts w:ascii="Times New Roman" w:hAnsi="Times New Roman"/>
          <w:sz w:val="24"/>
          <w:szCs w:val="24"/>
          <w:u w:val="single"/>
          <w:lang w:val="en-US"/>
        </w:rPr>
      </w:pPr>
      <w:r>
        <w:rPr>
          <w:rFonts w:ascii="Times New Roman" w:hAnsi="Times New Roman" w:cs="Times New Roman"/>
          <w:b/>
          <w:sz w:val="24"/>
        </w:rPr>
        <w:t>Supplementary File 1</w:t>
      </w:r>
      <w:bookmarkStart w:id="0" w:name="_GoBack"/>
      <w:bookmarkEnd w:id="0"/>
      <w:r w:rsidR="00D05130">
        <w:rPr>
          <w:rFonts w:ascii="Times New Roman" w:hAnsi="Times New Roman" w:cs="Times New Roman"/>
          <w:sz w:val="24"/>
        </w:rPr>
        <w:t xml:space="preserve"> - </w:t>
      </w:r>
      <w:r w:rsidR="00B21AD9" w:rsidRPr="00D05130">
        <w:rPr>
          <w:rFonts w:ascii="Times New Roman" w:hAnsi="Times New Roman"/>
          <w:sz w:val="24"/>
          <w:szCs w:val="24"/>
          <w:lang w:val="en-US"/>
        </w:rPr>
        <w:t>Footwear modification</w:t>
      </w:r>
      <w:r w:rsidR="00D05130" w:rsidRPr="00D05130">
        <w:rPr>
          <w:rFonts w:ascii="Times New Roman" w:hAnsi="Times New Roman"/>
          <w:sz w:val="24"/>
          <w:szCs w:val="24"/>
          <w:lang w:val="en-US"/>
        </w:rPr>
        <w:t xml:space="preserve"> procedure</w:t>
      </w:r>
    </w:p>
    <w:p w:rsidR="00D05130" w:rsidRDefault="00B21AD9" w:rsidP="00D05130">
      <w:pPr>
        <w:spacing w:after="0" w:line="360" w:lineRule="auto"/>
        <w:jc w:val="both"/>
        <w:rPr>
          <w:rFonts w:ascii="Times New Roman" w:hAnsi="Times New Roman"/>
          <w:sz w:val="24"/>
          <w:szCs w:val="24"/>
          <w:lang w:val="en-US"/>
        </w:rPr>
      </w:pPr>
      <w:r w:rsidRPr="00847A1C">
        <w:rPr>
          <w:rFonts w:ascii="Times New Roman" w:hAnsi="Times New Roman"/>
          <w:sz w:val="24"/>
          <w:szCs w:val="24"/>
          <w:lang w:val="en-US"/>
        </w:rPr>
        <w:t xml:space="preserve">In order to be able track in-shoe foot kinematics, </w:t>
      </w:r>
      <w:r w:rsidR="00D05130">
        <w:rPr>
          <w:rFonts w:ascii="Times New Roman" w:hAnsi="Times New Roman"/>
          <w:sz w:val="24"/>
          <w:szCs w:val="24"/>
          <w:lang w:val="en-US"/>
        </w:rPr>
        <w:t xml:space="preserve">25 mm </w:t>
      </w:r>
      <w:r>
        <w:rPr>
          <w:rFonts w:ascii="Times New Roman" w:hAnsi="Times New Roman"/>
          <w:sz w:val="24"/>
          <w:szCs w:val="24"/>
          <w:lang w:val="en-US"/>
        </w:rPr>
        <w:t xml:space="preserve">circular </w:t>
      </w:r>
      <w:r w:rsidRPr="00847A1C">
        <w:rPr>
          <w:rFonts w:ascii="Times New Roman" w:hAnsi="Times New Roman"/>
          <w:sz w:val="24"/>
          <w:szCs w:val="24"/>
          <w:lang w:val="en-US"/>
        </w:rPr>
        <w:t xml:space="preserve">holes </w:t>
      </w:r>
      <w:r w:rsidR="00D05130">
        <w:rPr>
          <w:rFonts w:ascii="Times New Roman" w:hAnsi="Times New Roman"/>
          <w:sz w:val="24"/>
          <w:szCs w:val="24"/>
          <w:lang w:val="en-US"/>
        </w:rPr>
        <w:t>need to be</w:t>
      </w:r>
      <w:r w:rsidRPr="00847A1C">
        <w:rPr>
          <w:rFonts w:ascii="Times New Roman" w:hAnsi="Times New Roman"/>
          <w:sz w:val="24"/>
          <w:szCs w:val="24"/>
          <w:lang w:val="en-US"/>
        </w:rPr>
        <w:t xml:space="preserve"> cut in the shoe upper. </w:t>
      </w:r>
      <w:r w:rsidR="00D05130" w:rsidRPr="00753816">
        <w:rPr>
          <w:rFonts w:ascii="Times New Roman" w:hAnsi="Times New Roman"/>
          <w:sz w:val="24"/>
          <w:szCs w:val="24"/>
          <w:lang w:val="en-US"/>
        </w:rPr>
        <w:t xml:space="preserve">A die grinder rotating at 30,000 rpm with </w:t>
      </w:r>
      <w:r w:rsidR="00D05130">
        <w:rPr>
          <w:rFonts w:ascii="Times New Roman" w:hAnsi="Times New Roman"/>
          <w:sz w:val="24"/>
          <w:szCs w:val="24"/>
          <w:lang w:val="en-US"/>
        </w:rPr>
        <w:t xml:space="preserve">a 25 mm </w:t>
      </w:r>
      <w:r w:rsidR="00D05130" w:rsidRPr="00753816">
        <w:rPr>
          <w:rFonts w:ascii="Times New Roman" w:hAnsi="Times New Roman"/>
          <w:sz w:val="24"/>
          <w:szCs w:val="24"/>
          <w:lang w:val="en-US"/>
        </w:rPr>
        <w:t>hole saw</w:t>
      </w:r>
      <w:r w:rsidR="00D05130">
        <w:rPr>
          <w:rFonts w:ascii="Times New Roman" w:hAnsi="Times New Roman"/>
          <w:sz w:val="24"/>
          <w:szCs w:val="24"/>
          <w:lang w:val="en-US"/>
        </w:rPr>
        <w:t xml:space="preserve"> can be</w:t>
      </w:r>
      <w:r w:rsidR="00D05130" w:rsidRPr="00753816">
        <w:rPr>
          <w:rFonts w:ascii="Times New Roman" w:hAnsi="Times New Roman"/>
          <w:sz w:val="24"/>
          <w:szCs w:val="24"/>
          <w:lang w:val="en-US"/>
        </w:rPr>
        <w:t xml:space="preserve"> used to cut the holes in the upper through </w:t>
      </w:r>
      <w:r w:rsidR="00D05130">
        <w:rPr>
          <w:rFonts w:ascii="Times New Roman" w:hAnsi="Times New Roman"/>
          <w:sz w:val="24"/>
          <w:szCs w:val="24"/>
          <w:lang w:val="en-US"/>
        </w:rPr>
        <w:t>rigid</w:t>
      </w:r>
      <w:r w:rsidR="00D05130" w:rsidRPr="00753816">
        <w:rPr>
          <w:rFonts w:ascii="Times New Roman" w:hAnsi="Times New Roman"/>
          <w:sz w:val="24"/>
          <w:szCs w:val="24"/>
          <w:lang w:val="en-US"/>
        </w:rPr>
        <w:t xml:space="preserve"> heel counter. </w:t>
      </w:r>
      <w:r w:rsidR="00D05130">
        <w:rPr>
          <w:rFonts w:ascii="Times New Roman" w:hAnsi="Times New Roman"/>
          <w:sz w:val="24"/>
          <w:szCs w:val="24"/>
          <w:lang w:val="en-US"/>
        </w:rPr>
        <w:t xml:space="preserve">In the presence of material of external polyethylene heel counters, a </w:t>
      </w:r>
      <w:r w:rsidR="00D05130" w:rsidRPr="00753816">
        <w:rPr>
          <w:rFonts w:ascii="Times New Roman" w:hAnsi="Times New Roman"/>
          <w:sz w:val="24"/>
          <w:szCs w:val="24"/>
          <w:lang w:val="en-US"/>
        </w:rPr>
        <w:t>25</w:t>
      </w:r>
      <w:r w:rsidR="00D05130">
        <w:rPr>
          <w:rFonts w:ascii="Times New Roman" w:hAnsi="Times New Roman"/>
          <w:sz w:val="24"/>
          <w:szCs w:val="24"/>
          <w:lang w:val="en-US"/>
        </w:rPr>
        <w:t xml:space="preserve"> </w:t>
      </w:r>
      <w:r w:rsidR="00D05130" w:rsidRPr="00753816">
        <w:rPr>
          <w:rFonts w:ascii="Times New Roman" w:hAnsi="Times New Roman"/>
          <w:sz w:val="24"/>
          <w:szCs w:val="24"/>
          <w:lang w:val="en-US"/>
        </w:rPr>
        <w:t xml:space="preserve">mm sized hole-punches </w:t>
      </w:r>
      <w:r w:rsidR="00D05130">
        <w:rPr>
          <w:rFonts w:ascii="Times New Roman" w:hAnsi="Times New Roman"/>
          <w:sz w:val="24"/>
          <w:szCs w:val="24"/>
          <w:lang w:val="en-US"/>
        </w:rPr>
        <w:t>can be</w:t>
      </w:r>
      <w:r w:rsidR="00D05130" w:rsidRPr="00753816">
        <w:rPr>
          <w:rFonts w:ascii="Times New Roman" w:hAnsi="Times New Roman"/>
          <w:sz w:val="24"/>
          <w:szCs w:val="24"/>
          <w:lang w:val="en-US"/>
        </w:rPr>
        <w:t xml:space="preserve"> used to cut the holes.</w:t>
      </w:r>
      <w:r w:rsidR="00D05130">
        <w:rPr>
          <w:rFonts w:ascii="Times New Roman" w:hAnsi="Times New Roman"/>
          <w:sz w:val="24"/>
          <w:szCs w:val="24"/>
          <w:lang w:val="en-US"/>
        </w:rPr>
        <w:t xml:space="preserve"> The edges of each hole need to be manually trimmed if the upper material had frayed (i.e. the foam inside the heel), and the circular nature of the hole is then protected from distortion by use of rigid tape. </w:t>
      </w:r>
    </w:p>
    <w:p w:rsidR="00D05130" w:rsidRDefault="00D05130" w:rsidP="00B21AD9">
      <w:pPr>
        <w:spacing w:after="0" w:line="360" w:lineRule="auto"/>
        <w:jc w:val="both"/>
        <w:rPr>
          <w:rFonts w:ascii="Times New Roman" w:hAnsi="Times New Roman"/>
          <w:sz w:val="24"/>
          <w:szCs w:val="24"/>
          <w:lang w:val="en-US"/>
        </w:rPr>
      </w:pPr>
    </w:p>
    <w:p w:rsidR="00B21AD9" w:rsidRDefault="00B21AD9" w:rsidP="00B21AD9">
      <w:pPr>
        <w:spacing w:after="0" w:line="360" w:lineRule="auto"/>
        <w:jc w:val="both"/>
        <w:rPr>
          <w:rFonts w:ascii="Times New Roman" w:hAnsi="Times New Roman"/>
          <w:color w:val="FF0000"/>
          <w:sz w:val="24"/>
          <w:szCs w:val="24"/>
          <w:lang w:val="en-US"/>
        </w:rPr>
      </w:pPr>
      <w:r w:rsidRPr="00847A1C">
        <w:rPr>
          <w:rFonts w:ascii="Times New Roman" w:hAnsi="Times New Roman"/>
          <w:sz w:val="24"/>
          <w:szCs w:val="24"/>
          <w:lang w:val="en-US"/>
        </w:rPr>
        <w:t xml:space="preserve">The </w:t>
      </w:r>
      <w:r>
        <w:rPr>
          <w:rFonts w:ascii="Times New Roman" w:hAnsi="Times New Roman"/>
          <w:sz w:val="24"/>
          <w:szCs w:val="24"/>
          <w:lang w:val="en-US"/>
        </w:rPr>
        <w:t>locations</w:t>
      </w:r>
      <w:r w:rsidRPr="00847A1C">
        <w:rPr>
          <w:rFonts w:ascii="Times New Roman" w:hAnsi="Times New Roman"/>
          <w:sz w:val="24"/>
          <w:szCs w:val="24"/>
          <w:lang w:val="en-US"/>
        </w:rPr>
        <w:t xml:space="preserve"> of the holes cut </w:t>
      </w:r>
      <w:r w:rsidR="00D05130">
        <w:rPr>
          <w:rFonts w:ascii="Times New Roman" w:hAnsi="Times New Roman"/>
          <w:sz w:val="24"/>
          <w:szCs w:val="24"/>
          <w:lang w:val="en-US"/>
        </w:rPr>
        <w:t>are</w:t>
      </w:r>
      <w:r w:rsidRPr="00847A1C">
        <w:rPr>
          <w:rFonts w:ascii="Times New Roman" w:hAnsi="Times New Roman"/>
          <w:sz w:val="24"/>
          <w:szCs w:val="24"/>
          <w:lang w:val="en-US"/>
        </w:rPr>
        <w:t xml:space="preserve"> defined as per the </w:t>
      </w:r>
      <w:r w:rsidRPr="00D05130">
        <w:rPr>
          <w:rFonts w:ascii="Times New Roman" w:hAnsi="Times New Roman"/>
          <w:sz w:val="24"/>
          <w:szCs w:val="24"/>
          <w:lang w:val="en-US"/>
        </w:rPr>
        <w:t xml:space="preserve">instructions in Table </w:t>
      </w:r>
      <w:r w:rsidR="00D05130" w:rsidRPr="00D05130">
        <w:rPr>
          <w:rFonts w:ascii="Times New Roman" w:hAnsi="Times New Roman"/>
          <w:sz w:val="24"/>
          <w:szCs w:val="24"/>
          <w:lang w:val="en-US"/>
        </w:rPr>
        <w:t>1</w:t>
      </w:r>
      <w:r w:rsidRPr="00D05130">
        <w:rPr>
          <w:rFonts w:ascii="Times New Roman" w:hAnsi="Times New Roman"/>
          <w:sz w:val="24"/>
          <w:szCs w:val="24"/>
          <w:lang w:val="en-US"/>
        </w:rPr>
        <w:t>. The position of holes cut in the hindfoot were informed from previous data in our lab where x-rays were taken of 27 participants feet who wore athletic shoes with the marker set applied (</w:t>
      </w:r>
      <w:r w:rsidR="00D05130" w:rsidRPr="00D05130">
        <w:rPr>
          <w:rFonts w:ascii="Times New Roman" w:hAnsi="Times New Roman"/>
          <w:sz w:val="24"/>
          <w:szCs w:val="24"/>
          <w:lang w:val="en-US"/>
        </w:rPr>
        <w:t>Figure 1</w:t>
      </w:r>
      <w:r w:rsidRPr="00D05130">
        <w:rPr>
          <w:rFonts w:ascii="Times New Roman" w:hAnsi="Times New Roman"/>
          <w:sz w:val="24"/>
          <w:szCs w:val="24"/>
          <w:lang w:val="en-US"/>
        </w:rPr>
        <w:t xml:space="preserve">). </w:t>
      </w:r>
      <w:r w:rsidRPr="00847A1C">
        <w:rPr>
          <w:rFonts w:ascii="Times New Roman" w:hAnsi="Times New Roman"/>
          <w:sz w:val="24"/>
          <w:szCs w:val="24"/>
          <w:lang w:val="en-US"/>
        </w:rPr>
        <w:t>The position of ma</w:t>
      </w:r>
      <w:r w:rsidR="00D05130">
        <w:rPr>
          <w:rFonts w:ascii="Times New Roman" w:hAnsi="Times New Roman"/>
          <w:sz w:val="24"/>
          <w:szCs w:val="24"/>
          <w:lang w:val="en-US"/>
        </w:rPr>
        <w:t>rkers in the forefoot segments a</w:t>
      </w:r>
      <w:r w:rsidRPr="00847A1C">
        <w:rPr>
          <w:rFonts w:ascii="Times New Roman" w:hAnsi="Times New Roman"/>
          <w:sz w:val="24"/>
          <w:szCs w:val="24"/>
          <w:lang w:val="en-US"/>
        </w:rPr>
        <w:t xml:space="preserve">re identified based on manual palpation of the anatomical landmark through the shoe upper following previously established guidelines </w:t>
      </w:r>
      <w:r w:rsidRPr="00847A1C">
        <w:rPr>
          <w:rFonts w:ascii="Times New Roman" w:hAnsi="Times New Roman"/>
          <w:sz w:val="24"/>
          <w:szCs w:val="24"/>
          <w:lang w:val="en-US"/>
        </w:rPr>
        <w:fldChar w:fldCharType="begin"/>
      </w:r>
      <w:r w:rsidRPr="00847A1C">
        <w:rPr>
          <w:rFonts w:ascii="Times New Roman" w:hAnsi="Times New Roman"/>
          <w:sz w:val="24"/>
          <w:szCs w:val="24"/>
          <w:lang w:val="en-US"/>
        </w:rPr>
        <w:instrText xml:space="preserve"> ADDIN EN.CITE &lt;EndNote&gt;&lt;Cite&gt;&lt;Author&gt;Bishop&lt;/Author&gt;&lt;Year&gt;2013&lt;/Year&gt;&lt;RecNum&gt;657&lt;/RecNum&gt;&lt;DisplayText&gt;(Bishop, Paul &amp;amp; Thewlis 2013)&lt;/DisplayText&gt;&lt;record&gt;&lt;rec-number&gt;657&lt;/rec-number&gt;&lt;foreign-keys&gt;&lt;key app="EN" db-id="vdtw55trw29xs5evz20pffsrrve0rrtp02rs"&gt;657&lt;/key&gt;&lt;/foreign-keys&gt;&lt;ref-type name="Journal Article"&gt;17&lt;/ref-type&gt;&lt;contributors&gt;&lt;authors&gt;&lt;author&gt;Bishop, C.&lt;/author&gt;&lt;author&gt;Paul, G.&lt;/author&gt;&lt;author&gt;Thewlis, D.&lt;/author&gt;&lt;/authors&gt;&lt;/contributors&gt;&lt;titles&gt;&lt;title&gt;The reliability, accuracy and minimal detectable difference of a multi-segment kinematic model of the foot-shoe complex&lt;/title&gt;&lt;secondary-title&gt;Gait and Posture&lt;/secondary-title&gt;&lt;/titles&gt;&lt;periodical&gt;&lt;full-title&gt;Gait and Posture&lt;/full-title&gt;&lt;/periodical&gt;&lt;pages&gt;552-557&lt;/pages&gt;&lt;volume&gt;37&lt;/volume&gt;&lt;number&gt;4&lt;/number&gt;&lt;dates&gt;&lt;year&gt;2013&lt;/year&gt;&lt;/dates&gt;&lt;urls&gt;&lt;related-urls&gt;&lt;url&gt;http://www.scopus.com/inward/record.url?eid=2-s2.0-84875624169&amp;amp;partnerID=40&amp;amp;md5=ef449e3b3846c5ffdbf4c9683359ab77&lt;/url&gt;&lt;/related-urls&gt;&lt;/urls&gt;&lt;/record&gt;&lt;/Cite&gt;&lt;/EndNote&gt;</w:instrText>
      </w:r>
      <w:r w:rsidRPr="00847A1C">
        <w:rPr>
          <w:rFonts w:ascii="Times New Roman" w:hAnsi="Times New Roman"/>
          <w:sz w:val="24"/>
          <w:szCs w:val="24"/>
          <w:lang w:val="en-US"/>
        </w:rPr>
        <w:fldChar w:fldCharType="separate"/>
      </w:r>
      <w:r w:rsidRPr="00847A1C">
        <w:rPr>
          <w:rFonts w:ascii="Times New Roman" w:hAnsi="Times New Roman"/>
          <w:noProof/>
          <w:sz w:val="24"/>
          <w:szCs w:val="24"/>
          <w:lang w:val="en-US"/>
        </w:rPr>
        <w:t>(</w:t>
      </w:r>
      <w:hyperlink w:anchor="_ENREF_4" w:tooltip="Bishop, 2013 #657" w:history="1">
        <w:r w:rsidRPr="00847A1C">
          <w:rPr>
            <w:rFonts w:ascii="Times New Roman" w:hAnsi="Times New Roman"/>
            <w:noProof/>
            <w:sz w:val="24"/>
            <w:szCs w:val="24"/>
            <w:lang w:val="en-US"/>
          </w:rPr>
          <w:t>Bishop, Paul &amp; Thewlis 2013</w:t>
        </w:r>
      </w:hyperlink>
      <w:r w:rsidRPr="00847A1C">
        <w:rPr>
          <w:rFonts w:ascii="Times New Roman" w:hAnsi="Times New Roman"/>
          <w:noProof/>
          <w:sz w:val="24"/>
          <w:szCs w:val="24"/>
          <w:lang w:val="en-US"/>
        </w:rPr>
        <w:t>)</w:t>
      </w:r>
      <w:r w:rsidRPr="00847A1C">
        <w:rPr>
          <w:rFonts w:ascii="Times New Roman" w:hAnsi="Times New Roman"/>
          <w:sz w:val="24"/>
          <w:szCs w:val="24"/>
          <w:lang w:val="en-US"/>
        </w:rPr>
        <w:fldChar w:fldCharType="end"/>
      </w:r>
      <w:r w:rsidRPr="00847A1C">
        <w:rPr>
          <w:rFonts w:ascii="Times New Roman" w:hAnsi="Times New Roman"/>
          <w:sz w:val="24"/>
          <w:szCs w:val="24"/>
          <w:lang w:val="en-US"/>
        </w:rPr>
        <w:t>.</w:t>
      </w:r>
    </w:p>
    <w:p w:rsidR="00B21AD9" w:rsidRPr="00D05130" w:rsidRDefault="00B21AD9" w:rsidP="00B21AD9">
      <w:pPr>
        <w:spacing w:after="0" w:line="360" w:lineRule="auto"/>
        <w:jc w:val="both"/>
        <w:rPr>
          <w:rFonts w:ascii="Times New Roman" w:hAnsi="Times New Roman"/>
          <w:sz w:val="24"/>
          <w:szCs w:val="24"/>
          <w:u w:val="single"/>
          <w:lang w:val="en-US"/>
        </w:rPr>
      </w:pPr>
    </w:p>
    <w:p w:rsidR="00B21AD9" w:rsidRPr="00D05130" w:rsidRDefault="00B21AD9" w:rsidP="00B21AD9">
      <w:pPr>
        <w:spacing w:after="0" w:line="360" w:lineRule="auto"/>
        <w:jc w:val="both"/>
        <w:rPr>
          <w:rFonts w:ascii="Times New Roman" w:hAnsi="Times New Roman"/>
          <w:sz w:val="24"/>
          <w:szCs w:val="24"/>
          <w:lang w:val="en-US"/>
        </w:rPr>
      </w:pPr>
      <w:r w:rsidRPr="00D05130">
        <w:rPr>
          <w:rFonts w:ascii="Times New Roman" w:hAnsi="Times New Roman"/>
          <w:b/>
          <w:sz w:val="24"/>
          <w:szCs w:val="24"/>
          <w:lang w:val="en-US"/>
        </w:rPr>
        <w:t xml:space="preserve">Table </w:t>
      </w:r>
      <w:r w:rsidR="00D05130" w:rsidRPr="00D05130">
        <w:rPr>
          <w:rFonts w:ascii="Times New Roman" w:hAnsi="Times New Roman"/>
          <w:b/>
          <w:sz w:val="24"/>
          <w:szCs w:val="24"/>
          <w:lang w:val="en-US"/>
        </w:rPr>
        <w:t>1</w:t>
      </w:r>
      <w:r w:rsidRPr="00D05130">
        <w:rPr>
          <w:rFonts w:ascii="Times New Roman" w:hAnsi="Times New Roman"/>
          <w:sz w:val="24"/>
          <w:szCs w:val="24"/>
          <w:lang w:val="en-US"/>
        </w:rPr>
        <w:t xml:space="preserve"> – Instructions for the modification of shoes to apply in-shoe marker set.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D05130" w:rsidRPr="00D05130" w:rsidTr="001371A1">
        <w:tc>
          <w:tcPr>
            <w:tcW w:w="2518" w:type="dxa"/>
            <w:tcBorders>
              <w:top w:val="single" w:sz="4" w:space="0" w:color="auto"/>
              <w:bottom w:val="single" w:sz="4" w:space="0" w:color="auto"/>
            </w:tcBorders>
          </w:tcPr>
          <w:p w:rsidR="00B21AD9" w:rsidRPr="00D05130" w:rsidRDefault="00B21AD9" w:rsidP="001371A1">
            <w:pPr>
              <w:spacing w:after="0" w:line="240" w:lineRule="auto"/>
              <w:jc w:val="both"/>
              <w:rPr>
                <w:rFonts w:ascii="Times New Roman" w:hAnsi="Times New Roman"/>
                <w:b/>
                <w:sz w:val="24"/>
                <w:szCs w:val="24"/>
                <w:lang w:val="en-US"/>
              </w:rPr>
            </w:pPr>
            <w:r w:rsidRPr="00D05130">
              <w:rPr>
                <w:rFonts w:ascii="Times New Roman" w:hAnsi="Times New Roman"/>
                <w:b/>
                <w:sz w:val="24"/>
                <w:szCs w:val="24"/>
                <w:lang w:val="en-US"/>
              </w:rPr>
              <w:t>Marker location</w:t>
            </w:r>
          </w:p>
        </w:tc>
        <w:tc>
          <w:tcPr>
            <w:tcW w:w="6724" w:type="dxa"/>
            <w:tcBorders>
              <w:top w:val="single" w:sz="4" w:space="0" w:color="auto"/>
              <w:bottom w:val="single" w:sz="4" w:space="0" w:color="auto"/>
            </w:tcBorders>
          </w:tcPr>
          <w:p w:rsidR="00B21AD9" w:rsidRPr="00D05130" w:rsidRDefault="00B21AD9" w:rsidP="001371A1">
            <w:pPr>
              <w:spacing w:after="0" w:line="240" w:lineRule="auto"/>
              <w:jc w:val="both"/>
              <w:rPr>
                <w:rFonts w:ascii="Times New Roman" w:hAnsi="Times New Roman"/>
                <w:b/>
                <w:sz w:val="24"/>
                <w:szCs w:val="24"/>
                <w:lang w:val="en-US"/>
              </w:rPr>
            </w:pPr>
            <w:r w:rsidRPr="00D05130">
              <w:rPr>
                <w:rFonts w:ascii="Times New Roman" w:hAnsi="Times New Roman"/>
                <w:b/>
                <w:sz w:val="24"/>
                <w:szCs w:val="24"/>
                <w:lang w:val="en-US"/>
              </w:rPr>
              <w:t>Instructions for modification</w:t>
            </w:r>
          </w:p>
        </w:tc>
      </w:tr>
      <w:tr w:rsidR="00D05130" w:rsidRPr="00D05130" w:rsidTr="001371A1">
        <w:tc>
          <w:tcPr>
            <w:tcW w:w="2518" w:type="dxa"/>
            <w:tcBorders>
              <w:top w:val="single" w:sz="4" w:space="0" w:color="auto"/>
            </w:tcBorders>
          </w:tcPr>
          <w:p w:rsidR="00B21AD9" w:rsidRPr="00D05130" w:rsidRDefault="00B21AD9" w:rsidP="001371A1">
            <w:pPr>
              <w:spacing w:after="0" w:line="240" w:lineRule="auto"/>
              <w:jc w:val="both"/>
              <w:rPr>
                <w:rFonts w:ascii="Times New Roman" w:hAnsi="Times New Roman"/>
                <w:i/>
                <w:sz w:val="24"/>
                <w:szCs w:val="24"/>
                <w:lang w:val="en-US"/>
              </w:rPr>
            </w:pPr>
            <w:r w:rsidRPr="00D05130">
              <w:rPr>
                <w:rFonts w:ascii="Times New Roman" w:hAnsi="Times New Roman"/>
                <w:i/>
                <w:sz w:val="24"/>
                <w:szCs w:val="24"/>
                <w:lang w:val="en-US"/>
              </w:rPr>
              <w:t>Calc 1</w:t>
            </w:r>
          </w:p>
        </w:tc>
        <w:tc>
          <w:tcPr>
            <w:tcW w:w="6724" w:type="dxa"/>
            <w:tcBorders>
              <w:top w:val="single" w:sz="4" w:space="0" w:color="auto"/>
            </w:tcBorders>
          </w:tcPr>
          <w:p w:rsidR="00B21AD9" w:rsidRPr="00D05130" w:rsidRDefault="00D05130" w:rsidP="00D05130">
            <w:pPr>
              <w:spacing w:after="0" w:line="240" w:lineRule="auto"/>
              <w:jc w:val="both"/>
              <w:rPr>
                <w:rFonts w:ascii="Times New Roman" w:hAnsi="Times New Roman"/>
                <w:sz w:val="24"/>
                <w:szCs w:val="24"/>
                <w:lang w:val="en-US"/>
              </w:rPr>
            </w:pPr>
            <w:r w:rsidRPr="00D05130">
              <w:rPr>
                <w:rFonts w:ascii="Times New Roman" w:eastAsia="Times New Roman" w:hAnsi="Times New Roman" w:cs="Times New Roman"/>
                <w:sz w:val="24"/>
                <w:lang w:val="en-GB" w:bidi="en-US"/>
              </w:rPr>
              <w:t>Starting from the medial malleolus, the medial shoe-hole (to place Calc 1 marker) is located 60% of the x-axis distance to the posterior shoe, and 54 % of the y-axis distance to the top of the midsole.</w:t>
            </w:r>
          </w:p>
        </w:tc>
      </w:tr>
      <w:tr w:rsidR="00B21AD9" w:rsidRPr="00847A1C" w:rsidTr="001371A1">
        <w:tc>
          <w:tcPr>
            <w:tcW w:w="2518" w:type="dxa"/>
          </w:tcPr>
          <w:p w:rsidR="00B21AD9" w:rsidRPr="00847A1C" w:rsidRDefault="00B21AD9" w:rsidP="001371A1">
            <w:pPr>
              <w:spacing w:after="0" w:line="240" w:lineRule="auto"/>
              <w:jc w:val="both"/>
              <w:rPr>
                <w:rFonts w:ascii="Times New Roman" w:hAnsi="Times New Roman"/>
                <w:i/>
                <w:sz w:val="24"/>
                <w:szCs w:val="24"/>
                <w:lang w:val="en-US"/>
              </w:rPr>
            </w:pPr>
            <w:r w:rsidRPr="00847A1C">
              <w:rPr>
                <w:rFonts w:ascii="Times New Roman" w:hAnsi="Times New Roman"/>
                <w:i/>
                <w:sz w:val="24"/>
                <w:szCs w:val="24"/>
                <w:lang w:val="en-US"/>
              </w:rPr>
              <w:t>Calc 2</w:t>
            </w:r>
          </w:p>
        </w:tc>
        <w:tc>
          <w:tcPr>
            <w:tcW w:w="6724" w:type="dxa"/>
          </w:tcPr>
          <w:p w:rsidR="00B21AD9" w:rsidRPr="00847A1C" w:rsidRDefault="00D05130" w:rsidP="001371A1">
            <w:pPr>
              <w:spacing w:after="0" w:line="240" w:lineRule="auto"/>
              <w:jc w:val="both"/>
              <w:rPr>
                <w:rFonts w:ascii="Times New Roman" w:hAnsi="Times New Roman"/>
                <w:sz w:val="24"/>
                <w:szCs w:val="24"/>
                <w:lang w:val="en-US"/>
              </w:rPr>
            </w:pPr>
            <w:r w:rsidRPr="00D05130">
              <w:rPr>
                <w:rFonts w:ascii="Times New Roman" w:eastAsia="Times New Roman" w:hAnsi="Times New Roman" w:cs="Times New Roman"/>
                <w:sz w:val="24"/>
                <w:lang w:val="en-GB" w:bidi="en-US"/>
              </w:rPr>
              <w:t>The posterior shoe hole</w:t>
            </w:r>
            <w:r>
              <w:rPr>
                <w:rFonts w:ascii="Times New Roman" w:eastAsia="Times New Roman" w:hAnsi="Times New Roman" w:cs="Times New Roman"/>
                <w:sz w:val="24"/>
                <w:lang w:val="en-GB" w:bidi="en-US"/>
              </w:rPr>
              <w:t xml:space="preserve"> (to place Calc 2 marker)</w:t>
            </w:r>
            <w:r w:rsidRPr="00D05130">
              <w:rPr>
                <w:rFonts w:ascii="Times New Roman" w:eastAsia="Times New Roman" w:hAnsi="Times New Roman" w:cs="Times New Roman"/>
                <w:sz w:val="24"/>
                <w:lang w:val="en-GB" w:bidi="en-US"/>
              </w:rPr>
              <w:t xml:space="preserve"> is cut at 48% of the height of the posterior shoe form the top of the midsole in the centre of the posterior aspect of the shoe</w:t>
            </w:r>
          </w:p>
        </w:tc>
      </w:tr>
      <w:tr w:rsidR="00B21AD9" w:rsidRPr="00847A1C" w:rsidTr="001371A1">
        <w:tc>
          <w:tcPr>
            <w:tcW w:w="2518" w:type="dxa"/>
          </w:tcPr>
          <w:p w:rsidR="00B21AD9" w:rsidRPr="00847A1C" w:rsidRDefault="00B21AD9" w:rsidP="001371A1">
            <w:pPr>
              <w:spacing w:after="0" w:line="240" w:lineRule="auto"/>
              <w:jc w:val="both"/>
              <w:rPr>
                <w:rFonts w:ascii="Times New Roman" w:hAnsi="Times New Roman"/>
                <w:i/>
                <w:sz w:val="24"/>
                <w:szCs w:val="24"/>
                <w:lang w:val="en-US"/>
              </w:rPr>
            </w:pPr>
            <w:r w:rsidRPr="00847A1C">
              <w:rPr>
                <w:rFonts w:ascii="Times New Roman" w:hAnsi="Times New Roman"/>
                <w:i/>
                <w:sz w:val="24"/>
                <w:szCs w:val="24"/>
                <w:lang w:val="en-US"/>
              </w:rPr>
              <w:t>Calc 3</w:t>
            </w:r>
          </w:p>
        </w:tc>
        <w:tc>
          <w:tcPr>
            <w:tcW w:w="6724" w:type="dxa"/>
          </w:tcPr>
          <w:p w:rsidR="00B21AD9" w:rsidRPr="00847A1C" w:rsidRDefault="00D05130" w:rsidP="001371A1">
            <w:pPr>
              <w:spacing w:after="0" w:line="240" w:lineRule="auto"/>
              <w:jc w:val="both"/>
              <w:rPr>
                <w:rFonts w:ascii="Times New Roman" w:hAnsi="Times New Roman"/>
                <w:sz w:val="24"/>
                <w:szCs w:val="24"/>
                <w:lang w:val="en-US"/>
              </w:rPr>
            </w:pPr>
            <w:r w:rsidRPr="00D05130">
              <w:rPr>
                <w:rFonts w:ascii="Times New Roman" w:eastAsia="Times New Roman" w:hAnsi="Times New Roman" w:cs="Times New Roman"/>
                <w:sz w:val="24"/>
                <w:lang w:val="en-GB" w:bidi="en-US"/>
              </w:rPr>
              <w:t xml:space="preserve">Starting from the lateral malleolus, the lateral shoe-hole </w:t>
            </w:r>
            <w:r>
              <w:rPr>
                <w:rFonts w:ascii="Times New Roman" w:eastAsia="Times New Roman" w:hAnsi="Times New Roman" w:cs="Times New Roman"/>
                <w:sz w:val="24"/>
                <w:lang w:val="en-GB" w:bidi="en-US"/>
              </w:rPr>
              <w:t xml:space="preserve">(to place Calc 3 marker) </w:t>
            </w:r>
            <w:r w:rsidRPr="00D05130">
              <w:rPr>
                <w:rFonts w:ascii="Times New Roman" w:eastAsia="Times New Roman" w:hAnsi="Times New Roman" w:cs="Times New Roman"/>
                <w:sz w:val="24"/>
                <w:lang w:val="en-GB" w:bidi="en-US"/>
              </w:rPr>
              <w:t>is located 15% of the x-axis distance to the posterior shoe, and 50 % of the y-axis distance to the top of the midsole</w:t>
            </w:r>
          </w:p>
        </w:tc>
      </w:tr>
      <w:tr w:rsidR="00B21AD9" w:rsidRPr="00847A1C" w:rsidTr="001371A1">
        <w:tc>
          <w:tcPr>
            <w:tcW w:w="2518" w:type="dxa"/>
          </w:tcPr>
          <w:p w:rsidR="00B21AD9" w:rsidRPr="00847A1C" w:rsidRDefault="00B21AD9" w:rsidP="001371A1">
            <w:pPr>
              <w:spacing w:after="0" w:line="240" w:lineRule="auto"/>
              <w:jc w:val="both"/>
              <w:rPr>
                <w:rFonts w:ascii="Times New Roman" w:hAnsi="Times New Roman"/>
                <w:i/>
                <w:sz w:val="24"/>
                <w:szCs w:val="24"/>
                <w:lang w:val="en-US"/>
              </w:rPr>
            </w:pPr>
            <w:r w:rsidRPr="00847A1C">
              <w:rPr>
                <w:rFonts w:ascii="Times New Roman" w:hAnsi="Times New Roman"/>
                <w:i/>
                <w:sz w:val="24"/>
                <w:szCs w:val="24"/>
                <w:lang w:val="en-US"/>
              </w:rPr>
              <w:t>Navicular Tuberosity</w:t>
            </w:r>
          </w:p>
        </w:tc>
        <w:tc>
          <w:tcPr>
            <w:tcW w:w="6724" w:type="dxa"/>
          </w:tcPr>
          <w:p w:rsidR="00B21AD9" w:rsidRPr="00847A1C" w:rsidRDefault="00B21AD9" w:rsidP="001371A1">
            <w:pPr>
              <w:spacing w:after="0" w:line="240" w:lineRule="auto"/>
              <w:jc w:val="both"/>
              <w:rPr>
                <w:rFonts w:ascii="Times New Roman" w:hAnsi="Times New Roman"/>
                <w:sz w:val="24"/>
                <w:szCs w:val="24"/>
                <w:lang w:val="en-US"/>
              </w:rPr>
            </w:pPr>
            <w:r w:rsidRPr="00847A1C">
              <w:rPr>
                <w:rFonts w:ascii="Times New Roman" w:hAnsi="Times New Roman"/>
                <w:sz w:val="24"/>
                <w:szCs w:val="24"/>
                <w:lang w:val="en-US"/>
              </w:rPr>
              <w:t>Shoe-hole to be located with the centre overlying the navicular tuberosity.</w:t>
            </w:r>
          </w:p>
        </w:tc>
      </w:tr>
      <w:tr w:rsidR="00B21AD9" w:rsidRPr="00847A1C" w:rsidTr="001371A1">
        <w:tc>
          <w:tcPr>
            <w:tcW w:w="2518" w:type="dxa"/>
          </w:tcPr>
          <w:p w:rsidR="00B21AD9" w:rsidRPr="00847A1C" w:rsidRDefault="00B21AD9" w:rsidP="001371A1">
            <w:pPr>
              <w:spacing w:after="0" w:line="240" w:lineRule="auto"/>
              <w:jc w:val="both"/>
              <w:rPr>
                <w:rFonts w:ascii="Times New Roman" w:hAnsi="Times New Roman"/>
                <w:i/>
                <w:sz w:val="24"/>
                <w:szCs w:val="24"/>
                <w:lang w:val="en-US"/>
              </w:rPr>
            </w:pPr>
            <w:r w:rsidRPr="00847A1C">
              <w:rPr>
                <w:rFonts w:ascii="Times New Roman" w:hAnsi="Times New Roman"/>
                <w:i/>
                <w:sz w:val="24"/>
                <w:szCs w:val="24"/>
                <w:lang w:val="en-US"/>
              </w:rPr>
              <w:t>1MTS</w:t>
            </w:r>
          </w:p>
        </w:tc>
        <w:tc>
          <w:tcPr>
            <w:tcW w:w="6724" w:type="dxa"/>
          </w:tcPr>
          <w:p w:rsidR="00B21AD9" w:rsidRPr="00847A1C" w:rsidRDefault="00B21AD9" w:rsidP="001371A1">
            <w:pPr>
              <w:spacing w:after="0" w:line="240" w:lineRule="auto"/>
              <w:jc w:val="both"/>
              <w:rPr>
                <w:rFonts w:ascii="Times New Roman" w:hAnsi="Times New Roman"/>
                <w:sz w:val="24"/>
                <w:szCs w:val="24"/>
                <w:lang w:val="en-US"/>
              </w:rPr>
            </w:pPr>
            <w:r w:rsidRPr="00847A1C">
              <w:rPr>
                <w:rFonts w:ascii="Times New Roman" w:hAnsi="Times New Roman"/>
                <w:sz w:val="24"/>
                <w:szCs w:val="24"/>
                <w:lang w:val="en-US"/>
              </w:rPr>
              <w:t>Shoe-hole to be located at the midpoint between the line connecting the navicular tuberosity and the first metatarsal head.</w:t>
            </w:r>
          </w:p>
        </w:tc>
      </w:tr>
      <w:tr w:rsidR="00B21AD9" w:rsidRPr="00847A1C" w:rsidTr="001371A1">
        <w:tc>
          <w:tcPr>
            <w:tcW w:w="2518" w:type="dxa"/>
          </w:tcPr>
          <w:p w:rsidR="00B21AD9" w:rsidRPr="00847A1C" w:rsidRDefault="00B21AD9" w:rsidP="001371A1">
            <w:pPr>
              <w:spacing w:after="0" w:line="240" w:lineRule="auto"/>
              <w:jc w:val="both"/>
              <w:rPr>
                <w:rFonts w:ascii="Times New Roman" w:hAnsi="Times New Roman"/>
                <w:i/>
                <w:sz w:val="24"/>
                <w:szCs w:val="24"/>
                <w:lang w:val="en-US"/>
              </w:rPr>
            </w:pPr>
            <w:r w:rsidRPr="00847A1C">
              <w:rPr>
                <w:rFonts w:ascii="Times New Roman" w:hAnsi="Times New Roman"/>
                <w:i/>
                <w:sz w:val="24"/>
                <w:szCs w:val="24"/>
                <w:lang w:val="en-US"/>
              </w:rPr>
              <w:t>1MTH</w:t>
            </w:r>
          </w:p>
        </w:tc>
        <w:tc>
          <w:tcPr>
            <w:tcW w:w="6724" w:type="dxa"/>
          </w:tcPr>
          <w:p w:rsidR="00B21AD9" w:rsidRPr="00847A1C" w:rsidRDefault="00B21AD9" w:rsidP="001371A1">
            <w:pPr>
              <w:spacing w:after="0" w:line="240" w:lineRule="auto"/>
              <w:jc w:val="both"/>
              <w:rPr>
                <w:rFonts w:ascii="Times New Roman" w:hAnsi="Times New Roman"/>
                <w:sz w:val="24"/>
                <w:szCs w:val="24"/>
                <w:lang w:val="en-US"/>
              </w:rPr>
            </w:pPr>
            <w:r w:rsidRPr="00847A1C">
              <w:rPr>
                <w:rFonts w:ascii="Times New Roman" w:hAnsi="Times New Roman"/>
                <w:sz w:val="24"/>
                <w:szCs w:val="24"/>
                <w:lang w:val="en-US"/>
              </w:rPr>
              <w:t>Shoe-hole to be located with the centre overlying the most prominent medial aspect of the first metatarsal head.</w:t>
            </w:r>
          </w:p>
        </w:tc>
      </w:tr>
      <w:tr w:rsidR="00B21AD9" w:rsidRPr="00847A1C" w:rsidTr="001371A1">
        <w:tc>
          <w:tcPr>
            <w:tcW w:w="2518" w:type="dxa"/>
          </w:tcPr>
          <w:p w:rsidR="00B21AD9" w:rsidRPr="00847A1C" w:rsidRDefault="00B21AD9" w:rsidP="001371A1">
            <w:pPr>
              <w:spacing w:after="0" w:line="240" w:lineRule="auto"/>
              <w:jc w:val="both"/>
              <w:rPr>
                <w:rFonts w:ascii="Times New Roman" w:hAnsi="Times New Roman"/>
                <w:i/>
                <w:sz w:val="24"/>
                <w:szCs w:val="24"/>
                <w:lang w:val="en-US"/>
              </w:rPr>
            </w:pPr>
            <w:r w:rsidRPr="00847A1C">
              <w:rPr>
                <w:rFonts w:ascii="Times New Roman" w:hAnsi="Times New Roman"/>
                <w:i/>
                <w:sz w:val="24"/>
                <w:szCs w:val="24"/>
                <w:lang w:val="en-US"/>
              </w:rPr>
              <w:t>4MTS</w:t>
            </w:r>
          </w:p>
        </w:tc>
        <w:tc>
          <w:tcPr>
            <w:tcW w:w="6724" w:type="dxa"/>
          </w:tcPr>
          <w:p w:rsidR="00B21AD9" w:rsidRPr="00847A1C" w:rsidRDefault="00B21AD9" w:rsidP="001371A1">
            <w:pPr>
              <w:spacing w:after="0" w:line="240" w:lineRule="auto"/>
              <w:jc w:val="both"/>
              <w:rPr>
                <w:rFonts w:ascii="Times New Roman" w:hAnsi="Times New Roman"/>
                <w:sz w:val="24"/>
                <w:szCs w:val="24"/>
                <w:lang w:val="en-US"/>
              </w:rPr>
            </w:pPr>
            <w:r w:rsidRPr="00847A1C">
              <w:rPr>
                <w:rFonts w:ascii="Times New Roman" w:hAnsi="Times New Roman"/>
                <w:sz w:val="24"/>
                <w:szCs w:val="24"/>
                <w:lang w:val="en-US"/>
              </w:rPr>
              <w:t>The shoe-hole is to be located on a line that is perpendicular to the midpoint of the line connecting the navicular tuberosity and the first metatarsal head. The centre of the shoe-hole is to be 20mm from the midpoint.</w:t>
            </w:r>
          </w:p>
        </w:tc>
      </w:tr>
      <w:tr w:rsidR="00B21AD9" w:rsidRPr="00847A1C" w:rsidTr="001371A1">
        <w:tc>
          <w:tcPr>
            <w:tcW w:w="2518" w:type="dxa"/>
          </w:tcPr>
          <w:p w:rsidR="00B21AD9" w:rsidRPr="00847A1C" w:rsidRDefault="00B21AD9" w:rsidP="001371A1">
            <w:pPr>
              <w:spacing w:after="0" w:line="240" w:lineRule="auto"/>
              <w:jc w:val="both"/>
              <w:rPr>
                <w:rFonts w:ascii="Times New Roman" w:hAnsi="Times New Roman"/>
                <w:i/>
                <w:sz w:val="24"/>
                <w:szCs w:val="24"/>
                <w:lang w:val="en-US"/>
              </w:rPr>
            </w:pPr>
            <w:r w:rsidRPr="00847A1C">
              <w:rPr>
                <w:rFonts w:ascii="Times New Roman" w:hAnsi="Times New Roman"/>
                <w:i/>
                <w:sz w:val="24"/>
                <w:szCs w:val="24"/>
                <w:lang w:val="en-US"/>
              </w:rPr>
              <w:t>Hallux</w:t>
            </w:r>
          </w:p>
        </w:tc>
        <w:tc>
          <w:tcPr>
            <w:tcW w:w="6724" w:type="dxa"/>
          </w:tcPr>
          <w:p w:rsidR="00B21AD9" w:rsidRPr="00847A1C" w:rsidRDefault="00B21AD9" w:rsidP="001371A1">
            <w:pPr>
              <w:spacing w:after="0" w:line="240" w:lineRule="auto"/>
              <w:jc w:val="both"/>
              <w:rPr>
                <w:rFonts w:ascii="Times New Roman" w:hAnsi="Times New Roman"/>
                <w:sz w:val="24"/>
                <w:szCs w:val="24"/>
                <w:lang w:val="en-US"/>
              </w:rPr>
            </w:pPr>
            <w:r w:rsidRPr="00847A1C">
              <w:rPr>
                <w:rFonts w:ascii="Times New Roman" w:hAnsi="Times New Roman"/>
                <w:sz w:val="24"/>
                <w:szCs w:val="24"/>
                <w:lang w:val="en-US"/>
              </w:rPr>
              <w:t>Shoe-hole to be located with the centre overlying the nail plate of the hallux.</w:t>
            </w:r>
          </w:p>
        </w:tc>
      </w:tr>
    </w:tbl>
    <w:p w:rsidR="00D05130" w:rsidRPr="00696FE1" w:rsidRDefault="00D05130" w:rsidP="00D05130">
      <w:pPr>
        <w:jc w:val="center"/>
        <w:rPr>
          <w:lang w:val="en-GB"/>
        </w:rPr>
      </w:pPr>
      <w:r w:rsidRPr="00696FE1">
        <w:rPr>
          <w:noProof/>
          <w:lang w:eastAsia="en-AU"/>
        </w:rPr>
        <w:lastRenderedPageBreak/>
        <w:drawing>
          <wp:inline distT="0" distB="0" distL="0" distR="0" wp14:anchorId="4B6C8A7F" wp14:editId="1E0A198F">
            <wp:extent cx="4576504" cy="61161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0259" cy="6121146"/>
                    </a:xfrm>
                    <a:prstGeom prst="rect">
                      <a:avLst/>
                    </a:prstGeom>
                    <a:noFill/>
                    <a:ln>
                      <a:noFill/>
                    </a:ln>
                  </pic:spPr>
                </pic:pic>
              </a:graphicData>
            </a:graphic>
          </wp:inline>
        </w:drawing>
      </w:r>
    </w:p>
    <w:p w:rsidR="00D05130" w:rsidRPr="00D05130" w:rsidRDefault="00D05130" w:rsidP="00D05130">
      <w:pPr>
        <w:spacing w:after="0" w:line="240" w:lineRule="auto"/>
        <w:rPr>
          <w:rFonts w:ascii="Times New Roman" w:hAnsi="Times New Roman" w:cs="Times New Roman"/>
          <w:sz w:val="24"/>
          <w:szCs w:val="24"/>
          <w:lang w:val="en-GB"/>
        </w:rPr>
      </w:pPr>
      <w:r w:rsidRPr="00D05130">
        <w:rPr>
          <w:rFonts w:ascii="Times New Roman" w:hAnsi="Times New Roman" w:cs="Times New Roman"/>
          <w:b/>
          <w:sz w:val="24"/>
          <w:szCs w:val="24"/>
          <w:lang w:val="en-GB"/>
        </w:rPr>
        <w:t>Figure 1</w:t>
      </w:r>
      <w:r w:rsidRPr="00D05130">
        <w:rPr>
          <w:rFonts w:ascii="Times New Roman" w:hAnsi="Times New Roman" w:cs="Times New Roman"/>
          <w:sz w:val="24"/>
          <w:szCs w:val="24"/>
          <w:lang w:val="en-GB"/>
        </w:rPr>
        <w:t xml:space="preserve"> – Technique used to calculate position of medial and lateral hindfoot holes</w:t>
      </w:r>
      <w:r>
        <w:rPr>
          <w:rFonts w:ascii="Times New Roman" w:hAnsi="Times New Roman" w:cs="Times New Roman"/>
          <w:sz w:val="24"/>
          <w:szCs w:val="24"/>
          <w:lang w:val="en-GB"/>
        </w:rPr>
        <w:t xml:space="preserve"> based on xray data.</w:t>
      </w:r>
    </w:p>
    <w:p w:rsidR="00D05130" w:rsidRPr="00D05130" w:rsidRDefault="00D05130" w:rsidP="00D05130">
      <w:pPr>
        <w:spacing w:after="0" w:line="240" w:lineRule="auto"/>
        <w:jc w:val="both"/>
        <w:rPr>
          <w:rFonts w:ascii="Times New Roman" w:hAnsi="Times New Roman" w:cs="Times New Roman"/>
          <w:sz w:val="20"/>
          <w:szCs w:val="24"/>
          <w:lang w:val="en-GB"/>
        </w:rPr>
      </w:pPr>
      <w:r w:rsidRPr="00D05130">
        <w:rPr>
          <w:rFonts w:ascii="Times New Roman" w:hAnsi="Times New Roman" w:cs="Times New Roman"/>
          <w:sz w:val="20"/>
          <w:szCs w:val="24"/>
          <w:lang w:val="en-GB"/>
        </w:rPr>
        <w:t>Three part method – A) define the geometric centre of the calcaneus, B) define the origin of the calcaneus co-ordinate system and C) define the variables to calculate desired hole position from the lateral and medial malleolus. L1 - Horizontal distance (m) of Medial Malleolus marker from posterior aspect of shoe, L2 – Horizontal distance (m) of Medial Malleolus marker from posterior aspect of heel, L3 – Horizontal distance (m) of Lateral Malleolus marker from HCS</w:t>
      </w:r>
      <w:r w:rsidRPr="00D05130">
        <w:rPr>
          <w:rFonts w:ascii="Times New Roman" w:hAnsi="Times New Roman" w:cs="Times New Roman"/>
          <w:i/>
          <w:sz w:val="20"/>
          <w:szCs w:val="24"/>
          <w:vertAlign w:val="subscript"/>
          <w:lang w:val="en-GB"/>
        </w:rPr>
        <w:t>origin</w:t>
      </w:r>
      <w:r w:rsidRPr="00D05130">
        <w:rPr>
          <w:rFonts w:ascii="Times New Roman" w:hAnsi="Times New Roman" w:cs="Times New Roman"/>
          <w:sz w:val="20"/>
          <w:szCs w:val="24"/>
          <w:lang w:val="en-GB"/>
        </w:rPr>
        <w:t>, L4 – Vertical distance (m) of Lateral Malleolus marker from the dorsal midsole, L5 – Vertical distance (m) of Lateral Malleolus marker from HCS</w:t>
      </w:r>
      <w:r w:rsidRPr="00D05130">
        <w:rPr>
          <w:rFonts w:ascii="Times New Roman" w:hAnsi="Times New Roman" w:cs="Times New Roman"/>
          <w:i/>
          <w:sz w:val="20"/>
          <w:szCs w:val="24"/>
          <w:vertAlign w:val="subscript"/>
          <w:lang w:val="en-GB"/>
        </w:rPr>
        <w:t>origin</w:t>
      </w:r>
      <w:r w:rsidRPr="00D05130">
        <w:rPr>
          <w:rFonts w:ascii="Times New Roman" w:hAnsi="Times New Roman" w:cs="Times New Roman"/>
          <w:sz w:val="20"/>
          <w:szCs w:val="24"/>
          <w:lang w:val="en-GB"/>
        </w:rPr>
        <w:t>, L6 – Vertical distance (m) of Medial Malleolus marker from HCS</w:t>
      </w:r>
      <w:r w:rsidRPr="00D05130">
        <w:rPr>
          <w:rFonts w:ascii="Times New Roman" w:hAnsi="Times New Roman" w:cs="Times New Roman"/>
          <w:i/>
          <w:sz w:val="20"/>
          <w:szCs w:val="24"/>
          <w:vertAlign w:val="subscript"/>
          <w:lang w:val="en-GB"/>
        </w:rPr>
        <w:t>origin</w:t>
      </w:r>
      <w:r w:rsidRPr="00D05130">
        <w:rPr>
          <w:rFonts w:ascii="Times New Roman" w:hAnsi="Times New Roman" w:cs="Times New Roman"/>
          <w:sz w:val="20"/>
          <w:szCs w:val="24"/>
          <w:lang w:val="en-GB"/>
        </w:rPr>
        <w:t>, L7 – Horizontal distance (m) of Medial Malleolus marker from HCS</w:t>
      </w:r>
      <w:r w:rsidRPr="00D05130">
        <w:rPr>
          <w:rFonts w:ascii="Times New Roman" w:hAnsi="Times New Roman" w:cs="Times New Roman"/>
          <w:i/>
          <w:sz w:val="20"/>
          <w:szCs w:val="24"/>
          <w:vertAlign w:val="subscript"/>
          <w:lang w:val="en-GB"/>
        </w:rPr>
        <w:t>origin</w:t>
      </w:r>
      <w:r w:rsidRPr="00D05130">
        <w:rPr>
          <w:rFonts w:ascii="Times New Roman" w:hAnsi="Times New Roman" w:cs="Times New Roman"/>
          <w:sz w:val="20"/>
          <w:szCs w:val="24"/>
          <w:lang w:val="en-GB"/>
        </w:rPr>
        <w:t xml:space="preserve"> and L8 – Vertical distance (m) of Medial Malleolus marker from the dorsal midsole.</w:t>
      </w:r>
    </w:p>
    <w:sectPr w:rsidR="00D05130" w:rsidRPr="00D05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F90"/>
    <w:multiLevelType w:val="hybridMultilevel"/>
    <w:tmpl w:val="D1147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D9"/>
    <w:rsid w:val="0003308A"/>
    <w:rsid w:val="00300E53"/>
    <w:rsid w:val="0039445C"/>
    <w:rsid w:val="00425D0E"/>
    <w:rsid w:val="005C4109"/>
    <w:rsid w:val="007D09CE"/>
    <w:rsid w:val="00921299"/>
    <w:rsid w:val="00B21AD9"/>
    <w:rsid w:val="00C30530"/>
    <w:rsid w:val="00D05130"/>
    <w:rsid w:val="00D620B4"/>
    <w:rsid w:val="00E833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0530"/>
    <w:pPr>
      <w:spacing w:after="200" w:line="276" w:lineRule="auto"/>
    </w:pPr>
    <w:rPr>
      <w:rFonts w:ascii="Calibri" w:eastAsia="SimSun" w:hAnsi="Calibri"/>
      <w:sz w:val="22"/>
      <w:szCs w:val="22"/>
      <w:lang w:eastAsia="zh-CN"/>
    </w:rPr>
  </w:style>
  <w:style w:type="paragraph" w:styleId="Heading1">
    <w:name w:val="heading 1"/>
    <w:basedOn w:val="Normal"/>
    <w:next w:val="Normal"/>
    <w:link w:val="Heading1Char"/>
    <w:qFormat/>
    <w:rsid w:val="00C30530"/>
    <w:pPr>
      <w:keepNext/>
      <w:spacing w:before="240" w:after="60"/>
      <w:outlineLvl w:val="0"/>
    </w:pPr>
    <w:rPr>
      <w:rFonts w:eastAsia="Times New Roman" w:cs="Times New Roman"/>
      <w:b/>
      <w:bCs/>
      <w:kern w:val="32"/>
      <w:sz w:val="32"/>
      <w:szCs w:val="32"/>
    </w:rPr>
  </w:style>
  <w:style w:type="paragraph" w:styleId="Heading2">
    <w:name w:val="heading 2"/>
    <w:basedOn w:val="Normal"/>
    <w:next w:val="Normal"/>
    <w:link w:val="Heading2Char"/>
    <w:qFormat/>
    <w:rsid w:val="00C30530"/>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qFormat/>
    <w:rsid w:val="00C30530"/>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qFormat/>
    <w:rsid w:val="00C30530"/>
    <w:pPr>
      <w:ind w:left="720"/>
      <w:contextualSpacing/>
    </w:pPr>
    <w:rPr>
      <w:rFonts w:cs="Times New Roman"/>
    </w:rPr>
  </w:style>
  <w:style w:type="paragraph" w:customStyle="1" w:styleId="MediumGrid2-Accent11">
    <w:name w:val="Medium Grid 2 - Accent 11"/>
    <w:uiPriority w:val="1"/>
    <w:qFormat/>
    <w:rsid w:val="00C30530"/>
    <w:rPr>
      <w:rFonts w:ascii="Calibri" w:eastAsia="Times New Roman" w:hAnsi="Calibri" w:cs="Times New Roman"/>
      <w:sz w:val="22"/>
      <w:szCs w:val="22"/>
      <w:lang w:eastAsia="en-AU"/>
    </w:rPr>
  </w:style>
  <w:style w:type="paragraph" w:customStyle="1" w:styleId="MediumShading1-Accent11">
    <w:name w:val="Medium Shading 1 - Accent 11"/>
    <w:uiPriority w:val="1"/>
    <w:qFormat/>
    <w:rsid w:val="00C30530"/>
    <w:rPr>
      <w:rFonts w:ascii="Calibri" w:eastAsia="Times New Roman" w:hAnsi="Calibri" w:cs="Times New Roman"/>
      <w:sz w:val="22"/>
      <w:szCs w:val="22"/>
      <w:lang w:eastAsia="en-AU"/>
    </w:rPr>
  </w:style>
  <w:style w:type="character" w:customStyle="1" w:styleId="Heading1Char">
    <w:name w:val="Heading 1 Char"/>
    <w:basedOn w:val="DefaultParagraphFont"/>
    <w:link w:val="Heading1"/>
    <w:rsid w:val="00C30530"/>
    <w:rPr>
      <w:rFonts w:ascii="Calibri" w:eastAsia="Times New Roman" w:hAnsi="Calibri" w:cs="Times New Roman"/>
      <w:b/>
      <w:bCs/>
      <w:kern w:val="32"/>
      <w:sz w:val="32"/>
      <w:szCs w:val="32"/>
      <w:lang w:eastAsia="zh-CN"/>
    </w:rPr>
  </w:style>
  <w:style w:type="character" w:customStyle="1" w:styleId="Heading2Char">
    <w:name w:val="Heading 2 Char"/>
    <w:basedOn w:val="DefaultParagraphFont"/>
    <w:link w:val="Heading2"/>
    <w:rsid w:val="00C30530"/>
    <w:rPr>
      <w:rFonts w:ascii="Times New Roman" w:eastAsia="Times New Roman" w:hAnsi="Times New Roman" w:cs="Times New Roman"/>
      <w:b/>
      <w:bCs/>
      <w:color w:val="000000"/>
      <w:kern w:val="28"/>
      <w:lang w:val="en-CA" w:eastAsia="en-CA"/>
    </w:rPr>
  </w:style>
  <w:style w:type="character" w:customStyle="1" w:styleId="Heading3Char">
    <w:name w:val="Heading 3 Char"/>
    <w:basedOn w:val="DefaultParagraphFont"/>
    <w:link w:val="Heading3"/>
    <w:uiPriority w:val="9"/>
    <w:rsid w:val="00C30530"/>
    <w:rPr>
      <w:rFonts w:ascii="Cambria" w:eastAsia="Times New Roman" w:hAnsi="Cambria" w:cs="Times New Roman"/>
      <w:b/>
      <w:bCs/>
      <w:sz w:val="26"/>
      <w:szCs w:val="26"/>
    </w:rPr>
  </w:style>
  <w:style w:type="paragraph" w:styleId="Caption">
    <w:name w:val="caption"/>
    <w:basedOn w:val="Normal"/>
    <w:uiPriority w:val="35"/>
    <w:qFormat/>
    <w:rsid w:val="00C30530"/>
    <w:pPr>
      <w:widowControl w:val="0"/>
      <w:suppressLineNumbers/>
      <w:suppressAutoHyphens/>
      <w:spacing w:before="120" w:after="120" w:line="240" w:lineRule="auto"/>
    </w:pPr>
    <w:rPr>
      <w:rFonts w:ascii="Cambria" w:eastAsia="Cambria" w:hAnsi="Cambria" w:cs="Cambria"/>
      <w:i/>
      <w:iCs/>
      <w:sz w:val="24"/>
      <w:szCs w:val="24"/>
      <w:lang w:val="en-US" w:eastAsia="ar-SA"/>
    </w:rPr>
  </w:style>
  <w:style w:type="paragraph" w:styleId="ListParagraph">
    <w:name w:val="List Paragraph"/>
    <w:basedOn w:val="Normal"/>
    <w:qFormat/>
    <w:rsid w:val="00C30530"/>
    <w:pPr>
      <w:ind w:left="720"/>
      <w:contextualSpacing/>
    </w:pPr>
    <w:rPr>
      <w:rFonts w:ascii="Cambria" w:eastAsia="Times New Roman" w:hAnsi="Cambria" w:cs="Times New Roman"/>
    </w:rPr>
  </w:style>
  <w:style w:type="paragraph" w:styleId="TOCHeading">
    <w:name w:val="TOC Heading"/>
    <w:basedOn w:val="Heading1"/>
    <w:next w:val="Normal"/>
    <w:uiPriority w:val="39"/>
    <w:unhideWhenUsed/>
    <w:qFormat/>
    <w:rsid w:val="00C30530"/>
    <w:pPr>
      <w:keepLines/>
      <w:spacing w:before="480" w:after="0"/>
      <w:outlineLvl w:val="9"/>
    </w:pPr>
    <w:rPr>
      <w:color w:val="365F91"/>
      <w:kern w:val="0"/>
      <w:sz w:val="28"/>
      <w:szCs w:val="28"/>
      <w:lang w:val="en-US" w:eastAsia="en-US"/>
    </w:rPr>
  </w:style>
  <w:style w:type="table" w:styleId="TableGrid">
    <w:name w:val="Table Grid"/>
    <w:basedOn w:val="TableNormal"/>
    <w:uiPriority w:val="59"/>
    <w:rsid w:val="00B21A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1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AD9"/>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D05130"/>
    <w:rPr>
      <w:sz w:val="16"/>
      <w:szCs w:val="16"/>
    </w:rPr>
  </w:style>
  <w:style w:type="paragraph" w:styleId="CommentText">
    <w:name w:val="annotation text"/>
    <w:basedOn w:val="Normal"/>
    <w:link w:val="CommentTextChar"/>
    <w:uiPriority w:val="99"/>
    <w:unhideWhenUsed/>
    <w:rsid w:val="00D05130"/>
    <w:pPr>
      <w:spacing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rsid w:val="00D05130"/>
    <w:rPr>
      <w:rFonts w:ascii="Times New Roman" w:eastAsia="SimSun" w:hAnsi="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0530"/>
    <w:pPr>
      <w:spacing w:after="200" w:line="276" w:lineRule="auto"/>
    </w:pPr>
    <w:rPr>
      <w:rFonts w:ascii="Calibri" w:eastAsia="SimSun" w:hAnsi="Calibri"/>
      <w:sz w:val="22"/>
      <w:szCs w:val="22"/>
      <w:lang w:eastAsia="zh-CN"/>
    </w:rPr>
  </w:style>
  <w:style w:type="paragraph" w:styleId="Heading1">
    <w:name w:val="heading 1"/>
    <w:basedOn w:val="Normal"/>
    <w:next w:val="Normal"/>
    <w:link w:val="Heading1Char"/>
    <w:qFormat/>
    <w:rsid w:val="00C30530"/>
    <w:pPr>
      <w:keepNext/>
      <w:spacing w:before="240" w:after="60"/>
      <w:outlineLvl w:val="0"/>
    </w:pPr>
    <w:rPr>
      <w:rFonts w:eastAsia="Times New Roman" w:cs="Times New Roman"/>
      <w:b/>
      <w:bCs/>
      <w:kern w:val="32"/>
      <w:sz w:val="32"/>
      <w:szCs w:val="32"/>
    </w:rPr>
  </w:style>
  <w:style w:type="paragraph" w:styleId="Heading2">
    <w:name w:val="heading 2"/>
    <w:basedOn w:val="Normal"/>
    <w:next w:val="Normal"/>
    <w:link w:val="Heading2Char"/>
    <w:qFormat/>
    <w:rsid w:val="00C30530"/>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qFormat/>
    <w:rsid w:val="00C30530"/>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qFormat/>
    <w:rsid w:val="00C30530"/>
    <w:pPr>
      <w:ind w:left="720"/>
      <w:contextualSpacing/>
    </w:pPr>
    <w:rPr>
      <w:rFonts w:cs="Times New Roman"/>
    </w:rPr>
  </w:style>
  <w:style w:type="paragraph" w:customStyle="1" w:styleId="MediumGrid2-Accent11">
    <w:name w:val="Medium Grid 2 - Accent 11"/>
    <w:uiPriority w:val="1"/>
    <w:qFormat/>
    <w:rsid w:val="00C30530"/>
    <w:rPr>
      <w:rFonts w:ascii="Calibri" w:eastAsia="Times New Roman" w:hAnsi="Calibri" w:cs="Times New Roman"/>
      <w:sz w:val="22"/>
      <w:szCs w:val="22"/>
      <w:lang w:eastAsia="en-AU"/>
    </w:rPr>
  </w:style>
  <w:style w:type="paragraph" w:customStyle="1" w:styleId="MediumShading1-Accent11">
    <w:name w:val="Medium Shading 1 - Accent 11"/>
    <w:uiPriority w:val="1"/>
    <w:qFormat/>
    <w:rsid w:val="00C30530"/>
    <w:rPr>
      <w:rFonts w:ascii="Calibri" w:eastAsia="Times New Roman" w:hAnsi="Calibri" w:cs="Times New Roman"/>
      <w:sz w:val="22"/>
      <w:szCs w:val="22"/>
      <w:lang w:eastAsia="en-AU"/>
    </w:rPr>
  </w:style>
  <w:style w:type="character" w:customStyle="1" w:styleId="Heading1Char">
    <w:name w:val="Heading 1 Char"/>
    <w:basedOn w:val="DefaultParagraphFont"/>
    <w:link w:val="Heading1"/>
    <w:rsid w:val="00C30530"/>
    <w:rPr>
      <w:rFonts w:ascii="Calibri" w:eastAsia="Times New Roman" w:hAnsi="Calibri" w:cs="Times New Roman"/>
      <w:b/>
      <w:bCs/>
      <w:kern w:val="32"/>
      <w:sz w:val="32"/>
      <w:szCs w:val="32"/>
      <w:lang w:eastAsia="zh-CN"/>
    </w:rPr>
  </w:style>
  <w:style w:type="character" w:customStyle="1" w:styleId="Heading2Char">
    <w:name w:val="Heading 2 Char"/>
    <w:basedOn w:val="DefaultParagraphFont"/>
    <w:link w:val="Heading2"/>
    <w:rsid w:val="00C30530"/>
    <w:rPr>
      <w:rFonts w:ascii="Times New Roman" w:eastAsia="Times New Roman" w:hAnsi="Times New Roman" w:cs="Times New Roman"/>
      <w:b/>
      <w:bCs/>
      <w:color w:val="000000"/>
      <w:kern w:val="28"/>
      <w:lang w:val="en-CA" w:eastAsia="en-CA"/>
    </w:rPr>
  </w:style>
  <w:style w:type="character" w:customStyle="1" w:styleId="Heading3Char">
    <w:name w:val="Heading 3 Char"/>
    <w:basedOn w:val="DefaultParagraphFont"/>
    <w:link w:val="Heading3"/>
    <w:uiPriority w:val="9"/>
    <w:rsid w:val="00C30530"/>
    <w:rPr>
      <w:rFonts w:ascii="Cambria" w:eastAsia="Times New Roman" w:hAnsi="Cambria" w:cs="Times New Roman"/>
      <w:b/>
      <w:bCs/>
      <w:sz w:val="26"/>
      <w:szCs w:val="26"/>
    </w:rPr>
  </w:style>
  <w:style w:type="paragraph" w:styleId="Caption">
    <w:name w:val="caption"/>
    <w:basedOn w:val="Normal"/>
    <w:uiPriority w:val="35"/>
    <w:qFormat/>
    <w:rsid w:val="00C30530"/>
    <w:pPr>
      <w:widowControl w:val="0"/>
      <w:suppressLineNumbers/>
      <w:suppressAutoHyphens/>
      <w:spacing w:before="120" w:after="120" w:line="240" w:lineRule="auto"/>
    </w:pPr>
    <w:rPr>
      <w:rFonts w:ascii="Cambria" w:eastAsia="Cambria" w:hAnsi="Cambria" w:cs="Cambria"/>
      <w:i/>
      <w:iCs/>
      <w:sz w:val="24"/>
      <w:szCs w:val="24"/>
      <w:lang w:val="en-US" w:eastAsia="ar-SA"/>
    </w:rPr>
  </w:style>
  <w:style w:type="paragraph" w:styleId="ListParagraph">
    <w:name w:val="List Paragraph"/>
    <w:basedOn w:val="Normal"/>
    <w:qFormat/>
    <w:rsid w:val="00C30530"/>
    <w:pPr>
      <w:ind w:left="720"/>
      <w:contextualSpacing/>
    </w:pPr>
    <w:rPr>
      <w:rFonts w:ascii="Cambria" w:eastAsia="Times New Roman" w:hAnsi="Cambria" w:cs="Times New Roman"/>
    </w:rPr>
  </w:style>
  <w:style w:type="paragraph" w:styleId="TOCHeading">
    <w:name w:val="TOC Heading"/>
    <w:basedOn w:val="Heading1"/>
    <w:next w:val="Normal"/>
    <w:uiPriority w:val="39"/>
    <w:unhideWhenUsed/>
    <w:qFormat/>
    <w:rsid w:val="00C30530"/>
    <w:pPr>
      <w:keepLines/>
      <w:spacing w:before="480" w:after="0"/>
      <w:outlineLvl w:val="9"/>
    </w:pPr>
    <w:rPr>
      <w:color w:val="365F91"/>
      <w:kern w:val="0"/>
      <w:sz w:val="28"/>
      <w:szCs w:val="28"/>
      <w:lang w:val="en-US" w:eastAsia="en-US"/>
    </w:rPr>
  </w:style>
  <w:style w:type="table" w:styleId="TableGrid">
    <w:name w:val="Table Grid"/>
    <w:basedOn w:val="TableNormal"/>
    <w:uiPriority w:val="59"/>
    <w:rsid w:val="00B21A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1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AD9"/>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D05130"/>
    <w:rPr>
      <w:sz w:val="16"/>
      <w:szCs w:val="16"/>
    </w:rPr>
  </w:style>
  <w:style w:type="paragraph" w:styleId="CommentText">
    <w:name w:val="annotation text"/>
    <w:basedOn w:val="Normal"/>
    <w:link w:val="CommentTextChar"/>
    <w:uiPriority w:val="99"/>
    <w:unhideWhenUsed/>
    <w:rsid w:val="00D05130"/>
    <w:pPr>
      <w:spacing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rsid w:val="00D05130"/>
    <w:rPr>
      <w:rFonts w:ascii="Times New Roman" w:eastAsia="SimSu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Bishop</dc:creator>
  <cp:lastModifiedBy>University of South Australia</cp:lastModifiedBy>
  <cp:revision>5</cp:revision>
  <dcterms:created xsi:type="dcterms:W3CDTF">2015-04-26T06:01:00Z</dcterms:created>
  <dcterms:modified xsi:type="dcterms:W3CDTF">2015-04-28T06:11:00Z</dcterms:modified>
</cp:coreProperties>
</file>