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D7C" w:rsidRPr="00D12FE3" w:rsidRDefault="000170BF" w:rsidP="00652D7C">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Supplemental</w:t>
      </w:r>
      <w:bookmarkStart w:id="0" w:name="_GoBack"/>
      <w:bookmarkEnd w:id="0"/>
      <w:r w:rsidR="00F37533">
        <w:rPr>
          <w:rFonts w:ascii="Times New Roman" w:hAnsi="Times New Roman" w:cs="Times New Roman"/>
          <w:b/>
          <w:sz w:val="24"/>
          <w:szCs w:val="24"/>
        </w:rPr>
        <w:t xml:space="preserve"> Digital Content 5</w:t>
      </w:r>
      <w:r w:rsidR="00652D7C" w:rsidRPr="00125F73">
        <w:rPr>
          <w:rFonts w:ascii="Times New Roman" w:hAnsi="Times New Roman" w:cs="Times New Roman"/>
          <w:b/>
          <w:sz w:val="24"/>
          <w:szCs w:val="24"/>
        </w:rPr>
        <w:t>.</w:t>
      </w:r>
      <w:r w:rsidR="00652D7C" w:rsidRPr="00D12FE3">
        <w:rPr>
          <w:rFonts w:ascii="Times New Roman" w:hAnsi="Times New Roman" w:cs="Times New Roman"/>
          <w:sz w:val="24"/>
          <w:szCs w:val="24"/>
        </w:rPr>
        <w:t xml:space="preserve"> Individual plots of total chest press exercise volume. Circles represent individual exercise volumes (some circles may represent more than one individual, if they both had similar changes). The black bar represents the mean exercise volume of the group.</w:t>
      </w:r>
    </w:p>
    <w:p w:rsidR="00652D7C" w:rsidRDefault="00652D7C" w:rsidP="00652D7C">
      <w:r>
        <w:rPr>
          <w:noProof/>
        </w:rPr>
        <w:drawing>
          <wp:inline distT="0" distB="0" distL="0" distR="0" wp14:anchorId="5CEAA715" wp14:editId="1B7B81D1">
            <wp:extent cx="3327400" cy="4124325"/>
            <wp:effectExtent l="0" t="0" r="63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652D7C" w:rsidRDefault="00652D7C" w:rsidP="00652D7C"/>
    <w:p w:rsidR="00652D7C" w:rsidRDefault="00652D7C" w:rsidP="00652D7C"/>
    <w:p w:rsidR="00652D7C" w:rsidRDefault="00652D7C" w:rsidP="00652D7C"/>
    <w:p w:rsidR="003D5B3A" w:rsidRDefault="000170BF"/>
    <w:sectPr w:rsidR="003D5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7C"/>
    <w:rsid w:val="000170BF"/>
    <w:rsid w:val="00652D7C"/>
    <w:rsid w:val="00C07A8F"/>
    <w:rsid w:val="00D27F16"/>
    <w:rsid w:val="00F3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14445-0CB6-4AD6-8748-D144D668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H:\Transcend\JPLOENNEKE\RESEARCH\Ole%20Miss%20Research\Strenth%20vs%20Hypertrophy%20Study\Manuscript\Revise\CHEST_VOLU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6510789204784"/>
          <c:y val="3.3898305084745797E-2"/>
          <c:w val="0.741504477970788"/>
          <c:h val="0.89303010082137302"/>
        </c:manualLayout>
      </c:layout>
      <c:lineChart>
        <c:grouping val="standard"/>
        <c:varyColors val="0"/>
        <c:ser>
          <c:idx val="0"/>
          <c:order val="0"/>
          <c:spPr>
            <a:ln>
              <a:noFill/>
            </a:ln>
          </c:spPr>
          <c:marker>
            <c:symbol val="circle"/>
            <c:size val="5"/>
            <c:spPr>
              <a:solidFill>
                <a:schemeClr val="bg1"/>
              </a:solidFill>
              <a:ln>
                <a:solidFill>
                  <a:schemeClr val="tx1"/>
                </a:solidFill>
              </a:ln>
            </c:spPr>
          </c:marker>
          <c:cat>
            <c:strRef>
              <c:f>'No overlapping points'!$B$16:$C$16</c:f>
              <c:strCache>
                <c:ptCount val="2"/>
                <c:pt idx="0">
                  <c:v>TEST</c:v>
                </c:pt>
                <c:pt idx="1">
                  <c:v>HYPER</c:v>
                </c:pt>
              </c:strCache>
            </c:strRef>
          </c:cat>
          <c:val>
            <c:numRef>
              <c:f>'No overlapping points'!$B$17:$C$17</c:f>
              <c:numCache>
                <c:formatCode>General</c:formatCode>
                <c:ptCount val="2"/>
                <c:pt idx="0">
                  <c:v>4596.3999999999996</c:v>
                </c:pt>
                <c:pt idx="1">
                  <c:v>6790.3</c:v>
                </c:pt>
              </c:numCache>
            </c:numRef>
          </c:val>
          <c:smooth val="0"/>
        </c:ser>
        <c:ser>
          <c:idx val="1"/>
          <c:order val="1"/>
          <c:spPr>
            <a:ln>
              <a:noFill/>
            </a:ln>
          </c:spPr>
          <c:marker>
            <c:symbol val="circle"/>
            <c:size val="5"/>
            <c:spPr>
              <a:solidFill>
                <a:schemeClr val="bg1"/>
              </a:solidFill>
              <a:ln>
                <a:solidFill>
                  <a:schemeClr val="tx1"/>
                </a:solidFill>
              </a:ln>
            </c:spPr>
          </c:marker>
          <c:cat>
            <c:strRef>
              <c:f>'No overlapping points'!$B$16:$C$16</c:f>
              <c:strCache>
                <c:ptCount val="2"/>
                <c:pt idx="0">
                  <c:v>TEST</c:v>
                </c:pt>
                <c:pt idx="1">
                  <c:v>HYPER</c:v>
                </c:pt>
              </c:strCache>
            </c:strRef>
          </c:cat>
          <c:val>
            <c:numRef>
              <c:f>'No overlapping points'!$B$18:$C$18</c:f>
              <c:numCache>
                <c:formatCode>General</c:formatCode>
                <c:ptCount val="2"/>
                <c:pt idx="0">
                  <c:v>1635.5</c:v>
                </c:pt>
                <c:pt idx="1">
                  <c:v>9166.7999999999993</c:v>
                </c:pt>
              </c:numCache>
            </c:numRef>
          </c:val>
          <c:smooth val="0"/>
        </c:ser>
        <c:ser>
          <c:idx val="2"/>
          <c:order val="2"/>
          <c:spPr>
            <a:ln>
              <a:noFill/>
            </a:ln>
          </c:spPr>
          <c:marker>
            <c:symbol val="circle"/>
            <c:size val="5"/>
            <c:spPr>
              <a:solidFill>
                <a:schemeClr val="bg1"/>
              </a:solidFill>
              <a:ln>
                <a:solidFill>
                  <a:schemeClr val="tx1"/>
                </a:solidFill>
              </a:ln>
            </c:spPr>
          </c:marker>
          <c:cat>
            <c:strRef>
              <c:f>'No overlapping points'!$B$16:$C$16</c:f>
              <c:strCache>
                <c:ptCount val="2"/>
                <c:pt idx="0">
                  <c:v>TEST</c:v>
                </c:pt>
                <c:pt idx="1">
                  <c:v>HYPER</c:v>
                </c:pt>
              </c:strCache>
            </c:strRef>
          </c:cat>
          <c:val>
            <c:numRef>
              <c:f>'No overlapping points'!$B$19:$C$19</c:f>
              <c:numCache>
                <c:formatCode>General</c:formatCode>
                <c:ptCount val="2"/>
                <c:pt idx="0">
                  <c:v>1750.5</c:v>
                </c:pt>
                <c:pt idx="1">
                  <c:v>15675.7</c:v>
                </c:pt>
              </c:numCache>
            </c:numRef>
          </c:val>
          <c:smooth val="0"/>
        </c:ser>
        <c:ser>
          <c:idx val="3"/>
          <c:order val="3"/>
          <c:spPr>
            <a:ln>
              <a:noFill/>
            </a:ln>
          </c:spPr>
          <c:marker>
            <c:symbol val="circle"/>
            <c:size val="5"/>
            <c:spPr>
              <a:solidFill>
                <a:schemeClr val="bg1"/>
              </a:solidFill>
              <a:ln>
                <a:solidFill>
                  <a:schemeClr val="tx1"/>
                </a:solidFill>
              </a:ln>
            </c:spPr>
          </c:marker>
          <c:cat>
            <c:strRef>
              <c:f>'No overlapping points'!$B$16:$C$16</c:f>
              <c:strCache>
                <c:ptCount val="2"/>
                <c:pt idx="0">
                  <c:v>TEST</c:v>
                </c:pt>
                <c:pt idx="1">
                  <c:v>HYPER</c:v>
                </c:pt>
              </c:strCache>
            </c:strRef>
          </c:cat>
          <c:val>
            <c:numRef>
              <c:f>'No overlapping points'!$B$20:$C$20</c:f>
              <c:numCache>
                <c:formatCode>General</c:formatCode>
                <c:ptCount val="2"/>
                <c:pt idx="0">
                  <c:v>5145</c:v>
                </c:pt>
                <c:pt idx="1">
                  <c:v>33763.4</c:v>
                </c:pt>
              </c:numCache>
            </c:numRef>
          </c:val>
          <c:smooth val="0"/>
        </c:ser>
        <c:ser>
          <c:idx val="4"/>
          <c:order val="4"/>
          <c:spPr>
            <a:ln>
              <a:noFill/>
            </a:ln>
          </c:spPr>
          <c:marker>
            <c:symbol val="circle"/>
            <c:size val="5"/>
            <c:spPr>
              <a:solidFill>
                <a:schemeClr val="bg1"/>
              </a:solidFill>
              <a:ln>
                <a:solidFill>
                  <a:schemeClr val="tx1"/>
                </a:solidFill>
              </a:ln>
            </c:spPr>
          </c:marker>
          <c:cat>
            <c:strRef>
              <c:f>'No overlapping points'!$B$16:$C$16</c:f>
              <c:strCache>
                <c:ptCount val="2"/>
                <c:pt idx="0">
                  <c:v>TEST</c:v>
                </c:pt>
                <c:pt idx="1">
                  <c:v>HYPER</c:v>
                </c:pt>
              </c:strCache>
            </c:strRef>
          </c:cat>
          <c:val>
            <c:numRef>
              <c:f>'No overlapping points'!$B$21:$C$21</c:f>
              <c:numCache>
                <c:formatCode>General</c:formatCode>
                <c:ptCount val="2"/>
                <c:pt idx="0">
                  <c:v>5155.3</c:v>
                </c:pt>
                <c:pt idx="1">
                  <c:v>13058.9</c:v>
                </c:pt>
              </c:numCache>
            </c:numRef>
          </c:val>
          <c:smooth val="0"/>
        </c:ser>
        <c:ser>
          <c:idx val="5"/>
          <c:order val="5"/>
          <c:spPr>
            <a:ln>
              <a:noFill/>
            </a:ln>
          </c:spPr>
          <c:marker>
            <c:symbol val="circle"/>
            <c:size val="5"/>
            <c:spPr>
              <a:solidFill>
                <a:schemeClr val="bg1"/>
              </a:solidFill>
              <a:ln>
                <a:solidFill>
                  <a:schemeClr val="tx1"/>
                </a:solidFill>
              </a:ln>
            </c:spPr>
          </c:marker>
          <c:cat>
            <c:strRef>
              <c:f>'No overlapping points'!$B$16:$C$16</c:f>
              <c:strCache>
                <c:ptCount val="2"/>
                <c:pt idx="0">
                  <c:v>TEST</c:v>
                </c:pt>
                <c:pt idx="1">
                  <c:v>HYPER</c:v>
                </c:pt>
              </c:strCache>
            </c:strRef>
          </c:cat>
          <c:val>
            <c:numRef>
              <c:f>'No overlapping points'!$B$22:$C$22</c:f>
              <c:numCache>
                <c:formatCode>General</c:formatCode>
                <c:ptCount val="2"/>
                <c:pt idx="0">
                  <c:v>1977.8</c:v>
                </c:pt>
                <c:pt idx="1">
                  <c:v>12782.3</c:v>
                </c:pt>
              </c:numCache>
            </c:numRef>
          </c:val>
          <c:smooth val="0"/>
        </c:ser>
        <c:ser>
          <c:idx val="6"/>
          <c:order val="6"/>
          <c:spPr>
            <a:ln>
              <a:noFill/>
            </a:ln>
          </c:spPr>
          <c:marker>
            <c:symbol val="circle"/>
            <c:size val="5"/>
            <c:spPr>
              <a:solidFill>
                <a:schemeClr val="bg1"/>
              </a:solidFill>
              <a:ln>
                <a:solidFill>
                  <a:schemeClr val="tx1"/>
                </a:solidFill>
              </a:ln>
            </c:spPr>
          </c:marker>
          <c:cat>
            <c:strRef>
              <c:f>'No overlapping points'!$B$16:$C$16</c:f>
              <c:strCache>
                <c:ptCount val="2"/>
                <c:pt idx="0">
                  <c:v>TEST</c:v>
                </c:pt>
                <c:pt idx="1">
                  <c:v>HYPER</c:v>
                </c:pt>
              </c:strCache>
            </c:strRef>
          </c:cat>
          <c:val>
            <c:numRef>
              <c:f>'No overlapping points'!$B$23:$C$23</c:f>
              <c:numCache>
                <c:formatCode>General</c:formatCode>
                <c:ptCount val="2"/>
                <c:pt idx="0">
                  <c:v>5934.95</c:v>
                </c:pt>
                <c:pt idx="1">
                  <c:v>32667</c:v>
                </c:pt>
              </c:numCache>
            </c:numRef>
          </c:val>
          <c:smooth val="0"/>
        </c:ser>
        <c:ser>
          <c:idx val="7"/>
          <c:order val="7"/>
          <c:spPr>
            <a:ln>
              <a:noFill/>
            </a:ln>
          </c:spPr>
          <c:marker>
            <c:symbol val="circle"/>
            <c:size val="5"/>
            <c:spPr>
              <a:solidFill>
                <a:schemeClr val="bg1"/>
              </a:solidFill>
              <a:ln>
                <a:solidFill>
                  <a:schemeClr val="tx1"/>
                </a:solidFill>
              </a:ln>
            </c:spPr>
          </c:marker>
          <c:cat>
            <c:strRef>
              <c:f>'No overlapping points'!$B$16:$C$16</c:f>
              <c:strCache>
                <c:ptCount val="2"/>
                <c:pt idx="0">
                  <c:v>TEST</c:v>
                </c:pt>
                <c:pt idx="1">
                  <c:v>HYPER</c:v>
                </c:pt>
              </c:strCache>
            </c:strRef>
          </c:cat>
          <c:val>
            <c:numRef>
              <c:f>'No overlapping points'!$B$24:$C$24</c:f>
              <c:numCache>
                <c:formatCode>General</c:formatCode>
                <c:ptCount val="2"/>
                <c:pt idx="0">
                  <c:v>2057.1999999999998</c:v>
                </c:pt>
                <c:pt idx="1">
                  <c:v>7250.7</c:v>
                </c:pt>
              </c:numCache>
            </c:numRef>
          </c:val>
          <c:smooth val="0"/>
        </c:ser>
        <c:ser>
          <c:idx val="8"/>
          <c:order val="8"/>
          <c:spPr>
            <a:ln>
              <a:noFill/>
            </a:ln>
          </c:spPr>
          <c:marker>
            <c:symbol val="circle"/>
            <c:size val="5"/>
            <c:spPr>
              <a:solidFill>
                <a:schemeClr val="bg1"/>
              </a:solidFill>
              <a:ln>
                <a:solidFill>
                  <a:schemeClr val="tx1"/>
                </a:solidFill>
              </a:ln>
            </c:spPr>
          </c:marker>
          <c:cat>
            <c:strRef>
              <c:f>'No overlapping points'!$B$16:$C$16</c:f>
              <c:strCache>
                <c:ptCount val="2"/>
                <c:pt idx="0">
                  <c:v>TEST</c:v>
                </c:pt>
                <c:pt idx="1">
                  <c:v>HYPER</c:v>
                </c:pt>
              </c:strCache>
            </c:strRef>
          </c:cat>
          <c:val>
            <c:numRef>
              <c:f>'No overlapping points'!$B$25:$C$25</c:f>
              <c:numCache>
                <c:formatCode>General</c:formatCode>
                <c:ptCount val="2"/>
                <c:pt idx="0">
                  <c:v>2631.1</c:v>
                </c:pt>
                <c:pt idx="1">
                  <c:v>9129.7000000000007</c:v>
                </c:pt>
              </c:numCache>
            </c:numRef>
          </c:val>
          <c:smooth val="0"/>
        </c:ser>
        <c:ser>
          <c:idx val="9"/>
          <c:order val="9"/>
          <c:spPr>
            <a:ln>
              <a:noFill/>
            </a:ln>
          </c:spPr>
          <c:marker>
            <c:symbol val="circle"/>
            <c:size val="5"/>
            <c:spPr>
              <a:solidFill>
                <a:schemeClr val="bg1"/>
              </a:solidFill>
              <a:ln>
                <a:solidFill>
                  <a:schemeClr val="tx1"/>
                </a:solidFill>
              </a:ln>
            </c:spPr>
          </c:marker>
          <c:cat>
            <c:strRef>
              <c:f>'No overlapping points'!$B$16:$C$16</c:f>
              <c:strCache>
                <c:ptCount val="2"/>
                <c:pt idx="0">
                  <c:v>TEST</c:v>
                </c:pt>
                <c:pt idx="1">
                  <c:v>HYPER</c:v>
                </c:pt>
              </c:strCache>
            </c:strRef>
          </c:cat>
          <c:val>
            <c:numRef>
              <c:f>'No overlapping points'!$B$26:$C$26</c:f>
              <c:numCache>
                <c:formatCode>General</c:formatCode>
                <c:ptCount val="2"/>
                <c:pt idx="0">
                  <c:v>2076.3000000000002</c:v>
                </c:pt>
                <c:pt idx="1">
                  <c:v>19059</c:v>
                </c:pt>
              </c:numCache>
            </c:numRef>
          </c:val>
          <c:smooth val="0"/>
        </c:ser>
        <c:ser>
          <c:idx val="10"/>
          <c:order val="10"/>
          <c:spPr>
            <a:ln>
              <a:noFill/>
            </a:ln>
          </c:spPr>
          <c:marker>
            <c:symbol val="circle"/>
            <c:size val="5"/>
            <c:spPr>
              <a:solidFill>
                <a:schemeClr val="bg1"/>
              </a:solidFill>
              <a:ln>
                <a:solidFill>
                  <a:schemeClr val="tx1"/>
                </a:solidFill>
              </a:ln>
            </c:spPr>
          </c:marker>
          <c:cat>
            <c:strRef>
              <c:f>'No overlapping points'!$B$16:$C$16</c:f>
              <c:strCache>
                <c:ptCount val="2"/>
                <c:pt idx="0">
                  <c:v>TEST</c:v>
                </c:pt>
                <c:pt idx="1">
                  <c:v>HYPER</c:v>
                </c:pt>
              </c:strCache>
            </c:strRef>
          </c:cat>
          <c:val>
            <c:numRef>
              <c:f>'No overlapping points'!$B$27:$C$27</c:f>
              <c:numCache>
                <c:formatCode>General</c:formatCode>
                <c:ptCount val="2"/>
                <c:pt idx="0">
                  <c:v>1538.2</c:v>
                </c:pt>
                <c:pt idx="1">
                  <c:v>12988.6</c:v>
                </c:pt>
              </c:numCache>
            </c:numRef>
          </c:val>
          <c:smooth val="0"/>
        </c:ser>
        <c:ser>
          <c:idx val="11"/>
          <c:order val="11"/>
          <c:spPr>
            <a:ln>
              <a:noFill/>
            </a:ln>
          </c:spPr>
          <c:marker>
            <c:symbol val="circle"/>
            <c:size val="5"/>
            <c:spPr>
              <a:solidFill>
                <a:schemeClr val="bg1"/>
              </a:solidFill>
              <a:ln>
                <a:solidFill>
                  <a:schemeClr val="tx1"/>
                </a:solidFill>
              </a:ln>
            </c:spPr>
          </c:marker>
          <c:cat>
            <c:strRef>
              <c:f>'No overlapping points'!$B$16:$C$16</c:f>
              <c:strCache>
                <c:ptCount val="2"/>
                <c:pt idx="0">
                  <c:v>TEST</c:v>
                </c:pt>
                <c:pt idx="1">
                  <c:v>HYPER</c:v>
                </c:pt>
              </c:strCache>
            </c:strRef>
          </c:cat>
          <c:val>
            <c:numRef>
              <c:f>'No overlapping points'!$B$28:$C$28</c:f>
              <c:numCache>
                <c:formatCode>General</c:formatCode>
                <c:ptCount val="2"/>
                <c:pt idx="0">
                  <c:v>1833.6</c:v>
                </c:pt>
                <c:pt idx="1">
                  <c:v>14211.2</c:v>
                </c:pt>
              </c:numCache>
            </c:numRef>
          </c:val>
          <c:smooth val="0"/>
        </c:ser>
        <c:ser>
          <c:idx val="12"/>
          <c:order val="12"/>
          <c:spPr>
            <a:ln>
              <a:noFill/>
            </a:ln>
          </c:spPr>
          <c:marker>
            <c:symbol val="circle"/>
            <c:size val="5"/>
            <c:spPr>
              <a:solidFill>
                <a:schemeClr val="bg1"/>
              </a:solidFill>
              <a:ln>
                <a:solidFill>
                  <a:schemeClr val="tx1"/>
                </a:solidFill>
              </a:ln>
            </c:spPr>
          </c:marker>
          <c:cat>
            <c:strRef>
              <c:f>'No overlapping points'!$B$16:$C$16</c:f>
              <c:strCache>
                <c:ptCount val="2"/>
                <c:pt idx="0">
                  <c:v>TEST</c:v>
                </c:pt>
                <c:pt idx="1">
                  <c:v>HYPER</c:v>
                </c:pt>
              </c:strCache>
            </c:strRef>
          </c:cat>
          <c:val>
            <c:numRef>
              <c:f>'No overlapping points'!$B$29:$C$29</c:f>
              <c:numCache>
                <c:formatCode>General</c:formatCode>
                <c:ptCount val="2"/>
                <c:pt idx="0">
                  <c:v>4214.5</c:v>
                </c:pt>
                <c:pt idx="1">
                  <c:v>20058.900000000001</c:v>
                </c:pt>
              </c:numCache>
            </c:numRef>
          </c:val>
          <c:smooth val="0"/>
        </c:ser>
        <c:ser>
          <c:idx val="13"/>
          <c:order val="13"/>
          <c:spPr>
            <a:ln>
              <a:noFill/>
            </a:ln>
          </c:spPr>
          <c:marker>
            <c:symbol val="circle"/>
            <c:size val="5"/>
            <c:spPr>
              <a:solidFill>
                <a:schemeClr val="bg1"/>
              </a:solidFill>
              <a:ln>
                <a:solidFill>
                  <a:schemeClr val="tx1"/>
                </a:solidFill>
              </a:ln>
            </c:spPr>
          </c:marker>
          <c:cat>
            <c:strRef>
              <c:f>'No overlapping points'!$B$16:$C$16</c:f>
              <c:strCache>
                <c:ptCount val="2"/>
                <c:pt idx="0">
                  <c:v>TEST</c:v>
                </c:pt>
                <c:pt idx="1">
                  <c:v>HYPER</c:v>
                </c:pt>
              </c:strCache>
            </c:strRef>
          </c:cat>
          <c:val>
            <c:numRef>
              <c:f>'No overlapping points'!$B$30:$C$30</c:f>
              <c:numCache>
                <c:formatCode>General</c:formatCode>
                <c:ptCount val="2"/>
                <c:pt idx="0">
                  <c:v>2398.3000000000002</c:v>
                </c:pt>
                <c:pt idx="1">
                  <c:v>16859.599999999999</c:v>
                </c:pt>
              </c:numCache>
            </c:numRef>
          </c:val>
          <c:smooth val="0"/>
        </c:ser>
        <c:ser>
          <c:idx val="14"/>
          <c:order val="14"/>
          <c:spPr>
            <a:ln>
              <a:noFill/>
            </a:ln>
          </c:spPr>
          <c:marker>
            <c:symbol val="circle"/>
            <c:size val="5"/>
            <c:spPr>
              <a:solidFill>
                <a:schemeClr val="bg1"/>
              </a:solidFill>
              <a:ln>
                <a:solidFill>
                  <a:schemeClr val="tx1"/>
                </a:solidFill>
              </a:ln>
            </c:spPr>
          </c:marker>
          <c:cat>
            <c:strRef>
              <c:f>'No overlapping points'!$B$16:$C$16</c:f>
              <c:strCache>
                <c:ptCount val="2"/>
                <c:pt idx="0">
                  <c:v>TEST</c:v>
                </c:pt>
                <c:pt idx="1">
                  <c:v>HYPER</c:v>
                </c:pt>
              </c:strCache>
            </c:strRef>
          </c:cat>
          <c:val>
            <c:numRef>
              <c:f>'No overlapping points'!$B$31:$C$31</c:f>
              <c:numCache>
                <c:formatCode>General</c:formatCode>
                <c:ptCount val="2"/>
                <c:pt idx="0">
                  <c:v>6029</c:v>
                </c:pt>
                <c:pt idx="1">
                  <c:v>25921.8</c:v>
                </c:pt>
              </c:numCache>
            </c:numRef>
          </c:val>
          <c:smooth val="0"/>
        </c:ser>
        <c:ser>
          <c:idx val="15"/>
          <c:order val="15"/>
          <c:spPr>
            <a:ln>
              <a:noFill/>
            </a:ln>
          </c:spPr>
          <c:marker>
            <c:symbol val="circle"/>
            <c:size val="5"/>
            <c:spPr>
              <a:solidFill>
                <a:schemeClr val="bg1"/>
              </a:solidFill>
              <a:ln>
                <a:solidFill>
                  <a:schemeClr val="tx1"/>
                </a:solidFill>
              </a:ln>
            </c:spPr>
          </c:marker>
          <c:cat>
            <c:strRef>
              <c:f>'No overlapping points'!$B$16:$C$16</c:f>
              <c:strCache>
                <c:ptCount val="2"/>
                <c:pt idx="0">
                  <c:v>TEST</c:v>
                </c:pt>
                <c:pt idx="1">
                  <c:v>HYPER</c:v>
                </c:pt>
              </c:strCache>
            </c:strRef>
          </c:cat>
          <c:val>
            <c:numRef>
              <c:f>'No overlapping points'!$B$32:$C$32</c:f>
              <c:numCache>
                <c:formatCode>General</c:formatCode>
                <c:ptCount val="2"/>
                <c:pt idx="0">
                  <c:v>4245</c:v>
                </c:pt>
                <c:pt idx="1">
                  <c:v>21812.400000000001</c:v>
                </c:pt>
              </c:numCache>
            </c:numRef>
          </c:val>
          <c:smooth val="0"/>
        </c:ser>
        <c:ser>
          <c:idx val="16"/>
          <c:order val="16"/>
          <c:spPr>
            <a:ln>
              <a:noFill/>
            </a:ln>
          </c:spPr>
          <c:marker>
            <c:symbol val="circle"/>
            <c:size val="5"/>
            <c:spPr>
              <a:solidFill>
                <a:schemeClr val="bg1"/>
              </a:solidFill>
              <a:ln>
                <a:solidFill>
                  <a:schemeClr val="tx1"/>
                </a:solidFill>
              </a:ln>
            </c:spPr>
          </c:marker>
          <c:cat>
            <c:strRef>
              <c:f>'No overlapping points'!$B$16:$C$16</c:f>
              <c:strCache>
                <c:ptCount val="2"/>
                <c:pt idx="0">
                  <c:v>TEST</c:v>
                </c:pt>
                <c:pt idx="1">
                  <c:v>HYPER</c:v>
                </c:pt>
              </c:strCache>
            </c:strRef>
          </c:cat>
          <c:val>
            <c:numRef>
              <c:f>'No overlapping points'!$B$33:$C$33</c:f>
              <c:numCache>
                <c:formatCode>General</c:formatCode>
                <c:ptCount val="2"/>
                <c:pt idx="0">
                  <c:v>1172.5</c:v>
                </c:pt>
                <c:pt idx="1">
                  <c:v>14504</c:v>
                </c:pt>
              </c:numCache>
            </c:numRef>
          </c:val>
          <c:smooth val="0"/>
        </c:ser>
        <c:ser>
          <c:idx val="17"/>
          <c:order val="17"/>
          <c:spPr>
            <a:ln>
              <a:noFill/>
            </a:ln>
          </c:spPr>
          <c:marker>
            <c:symbol val="circle"/>
            <c:size val="5"/>
            <c:spPr>
              <a:solidFill>
                <a:schemeClr val="bg1"/>
              </a:solidFill>
              <a:ln>
                <a:solidFill>
                  <a:schemeClr val="tx1"/>
                </a:solidFill>
              </a:ln>
            </c:spPr>
          </c:marker>
          <c:cat>
            <c:strRef>
              <c:f>'No overlapping points'!$B$16:$C$16</c:f>
              <c:strCache>
                <c:ptCount val="2"/>
                <c:pt idx="0">
                  <c:v>TEST</c:v>
                </c:pt>
                <c:pt idx="1">
                  <c:v>HYPER</c:v>
                </c:pt>
              </c:strCache>
            </c:strRef>
          </c:cat>
          <c:val>
            <c:numRef>
              <c:f>'No overlapping points'!$B$34:$C$34</c:f>
              <c:numCache>
                <c:formatCode>General</c:formatCode>
                <c:ptCount val="2"/>
                <c:pt idx="0">
                  <c:v>5878.4</c:v>
                </c:pt>
                <c:pt idx="1">
                  <c:v>17056.900000000001</c:v>
                </c:pt>
              </c:numCache>
            </c:numRef>
          </c:val>
          <c:smooth val="0"/>
        </c:ser>
        <c:ser>
          <c:idx val="18"/>
          <c:order val="18"/>
          <c:spPr>
            <a:ln>
              <a:noFill/>
            </a:ln>
          </c:spPr>
          <c:marker>
            <c:symbol val="circle"/>
            <c:size val="5"/>
            <c:spPr>
              <a:solidFill>
                <a:schemeClr val="bg1"/>
              </a:solidFill>
              <a:ln>
                <a:solidFill>
                  <a:schemeClr val="tx1"/>
                </a:solidFill>
              </a:ln>
            </c:spPr>
          </c:marker>
          <c:cat>
            <c:strRef>
              <c:f>'No overlapping points'!$B$16:$C$16</c:f>
              <c:strCache>
                <c:ptCount val="2"/>
                <c:pt idx="0">
                  <c:v>TEST</c:v>
                </c:pt>
                <c:pt idx="1">
                  <c:v>HYPER</c:v>
                </c:pt>
              </c:strCache>
            </c:strRef>
          </c:cat>
          <c:val>
            <c:numRef>
              <c:f>'No overlapping points'!$B$35:$C$35</c:f>
              <c:numCache>
                <c:formatCode>General</c:formatCode>
                <c:ptCount val="2"/>
                <c:pt idx="0">
                  <c:v>6165.6</c:v>
                </c:pt>
              </c:numCache>
            </c:numRef>
          </c:val>
          <c:smooth val="0"/>
        </c:ser>
        <c:ser>
          <c:idx val="19"/>
          <c:order val="19"/>
          <c:spPr>
            <a:ln>
              <a:noFill/>
            </a:ln>
          </c:spPr>
          <c:marker>
            <c:symbol val="circle"/>
            <c:size val="5"/>
            <c:spPr>
              <a:solidFill>
                <a:schemeClr val="bg1"/>
              </a:solidFill>
              <a:ln>
                <a:solidFill>
                  <a:schemeClr val="tx1"/>
                </a:solidFill>
              </a:ln>
            </c:spPr>
          </c:marker>
          <c:cat>
            <c:strRef>
              <c:f>'No overlapping points'!$B$16:$C$16</c:f>
              <c:strCache>
                <c:ptCount val="2"/>
                <c:pt idx="0">
                  <c:v>TEST</c:v>
                </c:pt>
                <c:pt idx="1">
                  <c:v>HYPER</c:v>
                </c:pt>
              </c:strCache>
            </c:strRef>
          </c:cat>
          <c:val>
            <c:numRef>
              <c:f>'No overlapping points'!$B$36:$C$36</c:f>
              <c:numCache>
                <c:formatCode>General</c:formatCode>
                <c:ptCount val="2"/>
                <c:pt idx="0">
                  <c:v>4762.7</c:v>
                </c:pt>
              </c:numCache>
            </c:numRef>
          </c:val>
          <c:smooth val="0"/>
        </c:ser>
        <c:ser>
          <c:idx val="22"/>
          <c:order val="20"/>
          <c:tx>
            <c:strRef>
              <c:f>'No overlapping points'!$A$42</c:f>
              <c:strCache>
                <c:ptCount val="1"/>
                <c:pt idx="0">
                  <c:v>Median</c:v>
                </c:pt>
              </c:strCache>
            </c:strRef>
          </c:tx>
          <c:spPr>
            <a:ln w="28575">
              <a:noFill/>
            </a:ln>
          </c:spPr>
          <c:marker>
            <c:symbol val="dash"/>
            <c:size val="20"/>
            <c:spPr>
              <a:solidFill>
                <a:schemeClr val="tx1"/>
              </a:solidFill>
              <a:ln>
                <a:noFill/>
              </a:ln>
            </c:spPr>
          </c:marker>
          <c:cat>
            <c:strRef>
              <c:f>'No overlapping points'!$B$16:$C$16</c:f>
              <c:strCache>
                <c:ptCount val="2"/>
                <c:pt idx="0">
                  <c:v>TEST</c:v>
                </c:pt>
                <c:pt idx="1">
                  <c:v>HYPER</c:v>
                </c:pt>
              </c:strCache>
            </c:strRef>
          </c:cat>
          <c:val>
            <c:numRef>
              <c:f>'No overlapping points'!$B$42:$C$42</c:f>
              <c:numCache>
                <c:formatCode>General</c:formatCode>
                <c:ptCount val="2"/>
                <c:pt idx="0">
                  <c:v>3559.8925000000004</c:v>
                </c:pt>
                <c:pt idx="1">
                  <c:v>16819.844444444447</c:v>
                </c:pt>
              </c:numCache>
            </c:numRef>
          </c:val>
          <c:smooth val="0"/>
        </c:ser>
        <c:ser>
          <c:idx val="20"/>
          <c:order val="21"/>
          <c:spPr>
            <a:ln w="28575">
              <a:noFill/>
            </a:ln>
          </c:spPr>
          <c:marker>
            <c:symbol val="circle"/>
            <c:size val="5"/>
            <c:spPr>
              <a:solidFill>
                <a:schemeClr val="bg1"/>
              </a:solidFill>
              <a:ln>
                <a:solidFill>
                  <a:schemeClr val="tx1"/>
                </a:solidFill>
              </a:ln>
            </c:spPr>
          </c:marker>
          <c:val>
            <c:numRef>
              <c:f>'No overlapping points'!$B$51:$C$51</c:f>
              <c:numCache>
                <c:formatCode>General</c:formatCode>
                <c:ptCount val="2"/>
              </c:numCache>
            </c:numRef>
          </c:val>
          <c:smooth val="0"/>
        </c:ser>
        <c:ser>
          <c:idx val="21"/>
          <c:order val="22"/>
          <c:spPr>
            <a:ln w="28575">
              <a:noFill/>
            </a:ln>
          </c:spPr>
          <c:marker>
            <c:symbol val="circle"/>
            <c:size val="5"/>
            <c:spPr>
              <a:solidFill>
                <a:schemeClr val="bg1"/>
              </a:solidFill>
              <a:ln>
                <a:solidFill>
                  <a:schemeClr val="tx1"/>
                </a:solidFill>
              </a:ln>
            </c:spPr>
          </c:marker>
          <c:val>
            <c:numRef>
              <c:f>'No overlapping points'!$B$52:$C$52</c:f>
              <c:numCache>
                <c:formatCode>General</c:formatCode>
                <c:ptCount val="2"/>
              </c:numCache>
            </c:numRef>
          </c:val>
          <c:smooth val="0"/>
        </c:ser>
        <c:ser>
          <c:idx val="23"/>
          <c:order val="23"/>
          <c:spPr>
            <a:ln w="28575">
              <a:noFill/>
            </a:ln>
          </c:spPr>
          <c:marker>
            <c:symbol val="circle"/>
            <c:size val="5"/>
            <c:spPr>
              <a:solidFill>
                <a:schemeClr val="bg1"/>
              </a:solidFill>
              <a:ln>
                <a:solidFill>
                  <a:schemeClr val="tx1"/>
                </a:solidFill>
              </a:ln>
            </c:spPr>
          </c:marker>
          <c:val>
            <c:numRef>
              <c:f>'No overlapping points'!$B$53:$C$53</c:f>
              <c:numCache>
                <c:formatCode>General</c:formatCode>
                <c:ptCount val="2"/>
              </c:numCache>
            </c:numRef>
          </c:val>
          <c:smooth val="0"/>
        </c:ser>
        <c:ser>
          <c:idx val="24"/>
          <c:order val="24"/>
          <c:spPr>
            <a:ln w="28575">
              <a:noFill/>
            </a:ln>
          </c:spPr>
          <c:marker>
            <c:symbol val="circle"/>
            <c:size val="5"/>
            <c:spPr>
              <a:solidFill>
                <a:schemeClr val="bg1"/>
              </a:solidFill>
              <a:ln>
                <a:solidFill>
                  <a:schemeClr val="tx1"/>
                </a:solidFill>
              </a:ln>
            </c:spPr>
          </c:marker>
          <c:val>
            <c:numRef>
              <c:f>'No overlapping points'!$B$54:$C$54</c:f>
              <c:numCache>
                <c:formatCode>General</c:formatCode>
                <c:ptCount val="2"/>
              </c:numCache>
            </c:numRef>
          </c:val>
          <c:smooth val="0"/>
        </c:ser>
        <c:ser>
          <c:idx val="25"/>
          <c:order val="25"/>
          <c:spPr>
            <a:ln w="28575">
              <a:noFill/>
            </a:ln>
          </c:spPr>
          <c:marker>
            <c:symbol val="circle"/>
            <c:size val="5"/>
            <c:spPr>
              <a:solidFill>
                <a:schemeClr val="bg1"/>
              </a:solidFill>
              <a:ln>
                <a:solidFill>
                  <a:schemeClr val="tx1"/>
                </a:solidFill>
              </a:ln>
            </c:spPr>
          </c:marker>
          <c:val>
            <c:numRef>
              <c:f>'No overlapping points'!$B$55:$C$55</c:f>
              <c:numCache>
                <c:formatCode>General</c:formatCode>
                <c:ptCount val="2"/>
              </c:numCache>
            </c:numRef>
          </c:val>
          <c:smooth val="0"/>
        </c:ser>
        <c:dLbls>
          <c:showLegendKey val="0"/>
          <c:showVal val="0"/>
          <c:showCatName val="0"/>
          <c:showSerName val="0"/>
          <c:showPercent val="0"/>
          <c:showBubbleSize val="0"/>
        </c:dLbls>
        <c:marker val="1"/>
        <c:smooth val="0"/>
        <c:axId val="592847608"/>
        <c:axId val="592846824"/>
      </c:lineChart>
      <c:catAx>
        <c:axId val="592847608"/>
        <c:scaling>
          <c:orientation val="minMax"/>
        </c:scaling>
        <c:delete val="0"/>
        <c:axPos val="b"/>
        <c:numFmt formatCode="General" sourceLinked="0"/>
        <c:majorTickMark val="out"/>
        <c:minorTickMark val="none"/>
        <c:tickLblPos val="nextTo"/>
        <c:spPr>
          <a:ln>
            <a:solidFill>
              <a:schemeClr val="tx1"/>
            </a:solidFill>
          </a:ln>
        </c:spPr>
        <c:crossAx val="592846824"/>
        <c:crosses val="autoZero"/>
        <c:auto val="1"/>
        <c:lblAlgn val="ctr"/>
        <c:lblOffset val="100"/>
        <c:noMultiLvlLbl val="0"/>
      </c:catAx>
      <c:valAx>
        <c:axId val="592846824"/>
        <c:scaling>
          <c:orientation val="minMax"/>
        </c:scaling>
        <c:delete val="0"/>
        <c:axPos val="l"/>
        <c:title>
          <c:tx>
            <c:rich>
              <a:bodyPr/>
              <a:lstStyle/>
              <a:p>
                <a:pPr>
                  <a:defRPr/>
                </a:pPr>
                <a:r>
                  <a:rPr lang="en-US"/>
                  <a:t>Exercise Volume (Kg)</a:t>
                </a:r>
              </a:p>
            </c:rich>
          </c:tx>
          <c:layout>
            <c:manualLayout>
              <c:xMode val="edge"/>
              <c:yMode val="edge"/>
              <c:x val="1.1450381679389313E-2"/>
              <c:y val="0.31740878810472023"/>
            </c:manualLayout>
          </c:layout>
          <c:overlay val="0"/>
        </c:title>
        <c:numFmt formatCode="General" sourceLinked="1"/>
        <c:majorTickMark val="out"/>
        <c:minorTickMark val="none"/>
        <c:tickLblPos val="nextTo"/>
        <c:spPr>
          <a:ln>
            <a:solidFill>
              <a:schemeClr val="tx1"/>
            </a:solidFill>
          </a:ln>
        </c:spPr>
        <c:crossAx val="592847608"/>
        <c:crosses val="autoZero"/>
        <c:crossBetween val="between"/>
      </c:valAx>
      <c:spPr>
        <a:ln>
          <a:noFill/>
        </a:ln>
      </c:spPr>
    </c:plotArea>
    <c:plotVisOnly val="1"/>
    <c:dispBlanksAs val="gap"/>
    <c:showDLblsOverMax val="0"/>
  </c:chart>
  <c:spPr>
    <a:ln>
      <a:noFill/>
    </a:ln>
  </c:spPr>
  <c:txPr>
    <a:bodyPr/>
    <a:lstStyle/>
    <a:p>
      <a:pPr>
        <a:defRPr>
          <a:latin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jploenne</dc:creator>
  <cp:keywords/>
  <dc:description/>
  <cp:lastModifiedBy>jploenne</cp:lastModifiedBy>
  <cp:revision>3</cp:revision>
  <dcterms:created xsi:type="dcterms:W3CDTF">2017-04-12T12:51:00Z</dcterms:created>
  <dcterms:modified xsi:type="dcterms:W3CDTF">2017-04-12T13:18:00Z</dcterms:modified>
</cp:coreProperties>
</file>