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03" w:rsidRDefault="00D53603" w:rsidP="00D53603">
      <w:pPr>
        <w:spacing w:line="240" w:lineRule="auto"/>
        <w:rPr>
          <w:vertAlign w:val="superscript"/>
        </w:rPr>
      </w:pPr>
      <w:bookmarkStart w:id="0" w:name="_GoBack"/>
      <w:bookmarkEnd w:id="0"/>
      <w:r>
        <w:rPr>
          <w:b/>
        </w:rPr>
        <w:t xml:space="preserve">Supplemental Digital Content </w:t>
      </w:r>
      <w:r w:rsidRPr="00AC11A4">
        <w:rPr>
          <w:b/>
        </w:rPr>
        <w:t xml:space="preserve">Table </w:t>
      </w:r>
      <w:r>
        <w:rPr>
          <w:b/>
        </w:rPr>
        <w:t>4</w:t>
      </w:r>
      <w:r w:rsidRPr="00D35794">
        <w:t>: Changes from baseline in body composition, lipids, and blood pressure, and differences between intervention and control groups, adjusting for confounders (completers analysis)</w:t>
      </w:r>
      <w:r w:rsidRPr="00D35794">
        <w:rPr>
          <w:vertAlign w:val="superscript"/>
        </w:rPr>
        <w:t xml:space="preserve"> a</w:t>
      </w:r>
    </w:p>
    <w:p w:rsidR="00D53603" w:rsidRPr="00D35794" w:rsidRDefault="00D53603" w:rsidP="00D53603">
      <w:pPr>
        <w:spacing w:line="240" w:lineRule="auto"/>
        <w:rPr>
          <w:vertAlign w:val="superscript"/>
        </w:rPr>
      </w:pPr>
    </w:p>
    <w:tbl>
      <w:tblPr>
        <w:tblW w:w="14031" w:type="dxa"/>
        <w:tblLook w:val="04A0" w:firstRow="1" w:lastRow="0" w:firstColumn="1" w:lastColumn="0" w:noHBand="0" w:noVBand="1"/>
      </w:tblPr>
      <w:tblGrid>
        <w:gridCol w:w="2921"/>
        <w:gridCol w:w="1254"/>
        <w:gridCol w:w="236"/>
        <w:gridCol w:w="674"/>
        <w:gridCol w:w="282"/>
        <w:gridCol w:w="2084"/>
        <w:gridCol w:w="281"/>
        <w:gridCol w:w="563"/>
        <w:gridCol w:w="236"/>
        <w:gridCol w:w="2098"/>
        <w:gridCol w:w="284"/>
        <w:gridCol w:w="1989"/>
        <w:gridCol w:w="236"/>
        <w:gridCol w:w="893"/>
      </w:tblGrid>
      <w:tr w:rsidR="00D53603" w:rsidRPr="00D35794" w:rsidTr="00595FA5">
        <w:trPr>
          <w:trHeight w:val="252"/>
        </w:trPr>
        <w:tc>
          <w:tcPr>
            <w:tcW w:w="2921" w:type="dxa"/>
            <w:vMerge w:val="restart"/>
            <w:tcBorders>
              <w:top w:val="single" w:sz="12" w:space="0" w:color="auto"/>
            </w:tcBorders>
          </w:tcPr>
          <w:p w:rsidR="00D53603" w:rsidRPr="000046E7" w:rsidRDefault="00D53603" w:rsidP="00595FA5">
            <w:pPr>
              <w:spacing w:line="240" w:lineRule="auto"/>
              <w:rPr>
                <w:b/>
              </w:rPr>
            </w:pPr>
            <w:r w:rsidRPr="000046E7">
              <w:rPr>
                <w:b/>
              </w:rPr>
              <w:t>Outcome</w:t>
            </w:r>
          </w:p>
        </w:tc>
        <w:tc>
          <w:tcPr>
            <w:tcW w:w="1254" w:type="dxa"/>
            <w:vMerge w:val="restart"/>
            <w:tcBorders>
              <w:top w:val="single" w:sz="12" w:space="0" w:color="auto"/>
            </w:tcBorders>
          </w:tcPr>
          <w:p w:rsidR="00D53603" w:rsidRPr="000046E7" w:rsidRDefault="00D53603" w:rsidP="00595FA5">
            <w:pPr>
              <w:spacing w:line="240" w:lineRule="auto"/>
              <w:jc w:val="center"/>
              <w:rPr>
                <w:b/>
              </w:rPr>
            </w:pPr>
            <w:r w:rsidRPr="000046E7">
              <w:rPr>
                <w:b/>
              </w:rPr>
              <w:t>Assumed</w:t>
            </w:r>
          </w:p>
          <w:p w:rsidR="00D53603" w:rsidRPr="000046E7" w:rsidRDefault="00D53603" w:rsidP="00595FA5">
            <w:pPr>
              <w:spacing w:line="240" w:lineRule="auto"/>
              <w:jc w:val="center"/>
              <w:rPr>
                <w:b/>
              </w:rPr>
            </w:pPr>
            <w:r w:rsidRPr="000046E7">
              <w:rPr>
                <w:b/>
              </w:rPr>
              <w:t>baseline (n=231)</w:t>
            </w: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D53603" w:rsidRPr="000046E7" w:rsidRDefault="00D53603" w:rsidP="00595FA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4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D53603" w:rsidRPr="000046E7" w:rsidRDefault="00D53603" w:rsidP="00595FA5">
            <w:pPr>
              <w:spacing w:line="240" w:lineRule="auto"/>
              <w:jc w:val="center"/>
              <w:rPr>
                <w:b/>
              </w:rPr>
            </w:pPr>
            <w:r w:rsidRPr="000046E7">
              <w:rPr>
                <w:b/>
              </w:rPr>
              <w:t>Intervention (n=136)</w:t>
            </w:r>
          </w:p>
        </w:tc>
        <w:tc>
          <w:tcPr>
            <w:tcW w:w="281" w:type="dxa"/>
            <w:tcBorders>
              <w:top w:val="single" w:sz="12" w:space="0" w:color="auto"/>
            </w:tcBorders>
          </w:tcPr>
          <w:p w:rsidR="00D53603" w:rsidRPr="000046E7" w:rsidRDefault="00D53603" w:rsidP="00595FA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9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D53603" w:rsidRPr="000046E7" w:rsidRDefault="00D53603" w:rsidP="00595FA5">
            <w:pPr>
              <w:spacing w:line="240" w:lineRule="auto"/>
              <w:jc w:val="center"/>
              <w:rPr>
                <w:b/>
              </w:rPr>
            </w:pPr>
            <w:r w:rsidRPr="000046E7">
              <w:rPr>
                <w:b/>
              </w:rPr>
              <w:t>Control (n=95)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D53603" w:rsidRPr="000046E7" w:rsidRDefault="00D53603" w:rsidP="00595FA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D53603" w:rsidRPr="000046E7" w:rsidRDefault="00D53603" w:rsidP="00595FA5">
            <w:pPr>
              <w:spacing w:line="240" w:lineRule="auto"/>
              <w:jc w:val="center"/>
              <w:rPr>
                <w:b/>
              </w:rPr>
            </w:pPr>
            <w:r w:rsidRPr="000046E7">
              <w:rPr>
                <w:b/>
              </w:rPr>
              <w:t>Intervention - Control</w:t>
            </w:r>
          </w:p>
        </w:tc>
      </w:tr>
      <w:tr w:rsidR="00D53603" w:rsidRPr="00D35794" w:rsidTr="00595FA5">
        <w:trPr>
          <w:trHeight w:val="491"/>
        </w:trPr>
        <w:tc>
          <w:tcPr>
            <w:tcW w:w="2921" w:type="dxa"/>
            <w:vMerge/>
            <w:tcBorders>
              <w:bottom w:val="single" w:sz="4" w:space="0" w:color="auto"/>
            </w:tcBorders>
          </w:tcPr>
          <w:p w:rsidR="00D53603" w:rsidRPr="000046E7" w:rsidRDefault="00D53603" w:rsidP="00595FA5">
            <w:pPr>
              <w:spacing w:line="240" w:lineRule="auto"/>
              <w:rPr>
                <w:b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</w:tcPr>
          <w:p w:rsidR="00D53603" w:rsidRPr="000046E7" w:rsidRDefault="00D53603" w:rsidP="00595FA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D53603" w:rsidRPr="000046E7" w:rsidRDefault="00D53603" w:rsidP="00595FA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D53603" w:rsidRPr="000046E7" w:rsidRDefault="00D53603" w:rsidP="00595FA5">
            <w:pPr>
              <w:spacing w:line="240" w:lineRule="auto"/>
              <w:jc w:val="center"/>
              <w:rPr>
                <w:b/>
              </w:rPr>
            </w:pPr>
            <w:r w:rsidRPr="000046E7">
              <w:rPr>
                <w:b/>
              </w:rPr>
              <w:t>n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D53603" w:rsidRPr="000046E7" w:rsidRDefault="00D53603" w:rsidP="00595FA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D53603" w:rsidRPr="000046E7" w:rsidRDefault="00D53603" w:rsidP="00595FA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Adjusted mean change</w:t>
            </w:r>
            <w:r w:rsidRPr="000046E7">
              <w:rPr>
                <w:b/>
              </w:rPr>
              <w:t xml:space="preserve"> (95% </w:t>
            </w:r>
            <w:proofErr w:type="gramStart"/>
            <w:r w:rsidRPr="000046E7">
              <w:rPr>
                <w:b/>
              </w:rPr>
              <w:t>CI)</w:t>
            </w:r>
            <w:r w:rsidRPr="000046E7">
              <w:rPr>
                <w:b/>
                <w:vertAlign w:val="superscript"/>
              </w:rPr>
              <w:t>b</w:t>
            </w:r>
            <w:proofErr w:type="gramEnd"/>
          </w:p>
        </w:tc>
        <w:tc>
          <w:tcPr>
            <w:tcW w:w="281" w:type="dxa"/>
          </w:tcPr>
          <w:p w:rsidR="00D53603" w:rsidRPr="000046E7" w:rsidRDefault="00D53603" w:rsidP="00595FA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D53603" w:rsidRPr="000046E7" w:rsidRDefault="00D53603" w:rsidP="00595FA5">
            <w:pPr>
              <w:spacing w:line="240" w:lineRule="auto"/>
              <w:jc w:val="center"/>
              <w:rPr>
                <w:b/>
              </w:rPr>
            </w:pPr>
            <w:r w:rsidRPr="000046E7">
              <w:rPr>
                <w:b/>
              </w:rPr>
              <w:t>n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D53603" w:rsidRPr="000046E7" w:rsidRDefault="00D53603" w:rsidP="00595FA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D53603" w:rsidRPr="000046E7" w:rsidRDefault="00D53603" w:rsidP="00595FA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Adjusted mean change</w:t>
            </w:r>
            <w:r w:rsidRPr="000046E7">
              <w:rPr>
                <w:b/>
              </w:rPr>
              <w:t xml:space="preserve"> (95% </w:t>
            </w:r>
            <w:proofErr w:type="gramStart"/>
            <w:r w:rsidRPr="000046E7">
              <w:rPr>
                <w:b/>
              </w:rPr>
              <w:t>CI)</w:t>
            </w:r>
            <w:r w:rsidRPr="000046E7">
              <w:rPr>
                <w:b/>
                <w:vertAlign w:val="superscript"/>
              </w:rPr>
              <w:t>b</w:t>
            </w:r>
            <w:proofErr w:type="gramEnd"/>
          </w:p>
        </w:tc>
        <w:tc>
          <w:tcPr>
            <w:tcW w:w="284" w:type="dxa"/>
          </w:tcPr>
          <w:p w:rsidR="00D53603" w:rsidRPr="000046E7" w:rsidRDefault="00D53603" w:rsidP="00595FA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D53603" w:rsidRPr="000046E7" w:rsidRDefault="00D53603" w:rsidP="00595FA5">
            <w:pPr>
              <w:spacing w:line="240" w:lineRule="auto"/>
              <w:jc w:val="center"/>
              <w:rPr>
                <w:b/>
              </w:rPr>
            </w:pPr>
            <w:r w:rsidRPr="000046E7">
              <w:rPr>
                <w:b/>
              </w:rPr>
              <w:t>Difference</w:t>
            </w:r>
          </w:p>
          <w:p w:rsidR="00D53603" w:rsidRPr="000046E7" w:rsidRDefault="00D53603" w:rsidP="00595FA5">
            <w:pPr>
              <w:spacing w:line="240" w:lineRule="auto"/>
              <w:jc w:val="center"/>
              <w:rPr>
                <w:b/>
              </w:rPr>
            </w:pPr>
            <w:r w:rsidRPr="000046E7">
              <w:rPr>
                <w:b/>
              </w:rPr>
              <w:t xml:space="preserve">(95% CI) </w:t>
            </w:r>
            <w:r w:rsidRPr="000046E7">
              <w:rPr>
                <w:b/>
                <w:vertAlign w:val="superscript"/>
              </w:rPr>
              <w:t>c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53603" w:rsidRPr="000046E7" w:rsidRDefault="00D53603" w:rsidP="00595FA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D53603" w:rsidRPr="000046E7" w:rsidRDefault="00D53603" w:rsidP="00595FA5">
            <w:pPr>
              <w:spacing w:line="240" w:lineRule="auto"/>
              <w:jc w:val="center"/>
              <w:rPr>
                <w:b/>
              </w:rPr>
            </w:pPr>
            <w:r w:rsidRPr="000046E7">
              <w:rPr>
                <w:b/>
              </w:rPr>
              <w:t>p</w:t>
            </w:r>
          </w:p>
        </w:tc>
      </w:tr>
      <w:tr w:rsidR="00D53603" w:rsidRPr="00D35794" w:rsidTr="00595FA5">
        <w:trPr>
          <w:trHeight w:val="238"/>
        </w:trPr>
        <w:tc>
          <w:tcPr>
            <w:tcW w:w="2921" w:type="dxa"/>
            <w:vAlign w:val="center"/>
          </w:tcPr>
          <w:p w:rsidR="00D53603" w:rsidRPr="000046E7" w:rsidRDefault="00D53603" w:rsidP="00595FA5">
            <w:pPr>
              <w:spacing w:line="240" w:lineRule="auto"/>
            </w:pPr>
            <w:r w:rsidRPr="000046E7">
              <w:t xml:space="preserve">Weight, kg </w:t>
            </w:r>
          </w:p>
        </w:tc>
        <w:tc>
          <w:tcPr>
            <w:tcW w:w="1254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80.0</w:t>
            </w:r>
          </w:p>
        </w:tc>
        <w:tc>
          <w:tcPr>
            <w:tcW w:w="236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674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125</w:t>
            </w:r>
          </w:p>
        </w:tc>
        <w:tc>
          <w:tcPr>
            <w:tcW w:w="282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2084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 xml:space="preserve">0.52 (-0.07, </w:t>
            </w:r>
            <w:proofErr w:type="gramStart"/>
            <w:r w:rsidRPr="000046E7">
              <w:t>1.11)^</w:t>
            </w:r>
            <w:proofErr w:type="gramEnd"/>
          </w:p>
        </w:tc>
        <w:tc>
          <w:tcPr>
            <w:tcW w:w="281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563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87</w:t>
            </w:r>
          </w:p>
        </w:tc>
        <w:tc>
          <w:tcPr>
            <w:tcW w:w="236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2098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0.44 (-0.28, 1.17)</w:t>
            </w:r>
          </w:p>
        </w:tc>
        <w:tc>
          <w:tcPr>
            <w:tcW w:w="284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1989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0.08 (-0.87, 1.02)</w:t>
            </w:r>
          </w:p>
        </w:tc>
        <w:tc>
          <w:tcPr>
            <w:tcW w:w="236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0.876</w:t>
            </w:r>
          </w:p>
        </w:tc>
      </w:tr>
      <w:tr w:rsidR="00D53603" w:rsidRPr="00D35794" w:rsidTr="00595FA5">
        <w:trPr>
          <w:trHeight w:val="238"/>
        </w:trPr>
        <w:tc>
          <w:tcPr>
            <w:tcW w:w="2921" w:type="dxa"/>
            <w:vAlign w:val="center"/>
          </w:tcPr>
          <w:p w:rsidR="00D53603" w:rsidRPr="000046E7" w:rsidRDefault="00D53603" w:rsidP="00595FA5">
            <w:pPr>
              <w:spacing w:line="240" w:lineRule="auto"/>
            </w:pPr>
            <w:r w:rsidRPr="000046E7">
              <w:t xml:space="preserve">Fat mass, kg </w:t>
            </w:r>
          </w:p>
        </w:tc>
        <w:tc>
          <w:tcPr>
            <w:tcW w:w="1254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>
              <w:t>26.7</w:t>
            </w:r>
          </w:p>
        </w:tc>
        <w:tc>
          <w:tcPr>
            <w:tcW w:w="236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674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122</w:t>
            </w:r>
          </w:p>
        </w:tc>
        <w:tc>
          <w:tcPr>
            <w:tcW w:w="282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2084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-0.11 (-0.65, 0.43)</w:t>
            </w:r>
          </w:p>
        </w:tc>
        <w:tc>
          <w:tcPr>
            <w:tcW w:w="281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563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84</w:t>
            </w:r>
          </w:p>
        </w:tc>
        <w:tc>
          <w:tcPr>
            <w:tcW w:w="236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2098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0.19 (-0.46, 0.84)</w:t>
            </w:r>
          </w:p>
        </w:tc>
        <w:tc>
          <w:tcPr>
            <w:tcW w:w="284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1989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-0.30 (-1.15, 0.55)</w:t>
            </w:r>
          </w:p>
        </w:tc>
        <w:tc>
          <w:tcPr>
            <w:tcW w:w="236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893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0.489</w:t>
            </w:r>
          </w:p>
        </w:tc>
      </w:tr>
      <w:tr w:rsidR="00D53603" w:rsidRPr="00D35794" w:rsidTr="00595FA5">
        <w:trPr>
          <w:trHeight w:val="238"/>
        </w:trPr>
        <w:tc>
          <w:tcPr>
            <w:tcW w:w="2921" w:type="dxa"/>
            <w:vAlign w:val="center"/>
          </w:tcPr>
          <w:p w:rsidR="00D53603" w:rsidRPr="000046E7" w:rsidRDefault="00D53603" w:rsidP="00595FA5">
            <w:pPr>
              <w:spacing w:line="240" w:lineRule="auto"/>
            </w:pPr>
            <w:r w:rsidRPr="000046E7">
              <w:t xml:space="preserve">Fat mass, % of bodyweight </w:t>
            </w:r>
          </w:p>
        </w:tc>
        <w:tc>
          <w:tcPr>
            <w:tcW w:w="1254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32.9</w:t>
            </w:r>
          </w:p>
        </w:tc>
        <w:tc>
          <w:tcPr>
            <w:tcW w:w="236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674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122</w:t>
            </w:r>
          </w:p>
        </w:tc>
        <w:tc>
          <w:tcPr>
            <w:tcW w:w="282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2084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-0.15 (-0.89, 0.59)</w:t>
            </w:r>
          </w:p>
        </w:tc>
        <w:tc>
          <w:tcPr>
            <w:tcW w:w="281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563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83</w:t>
            </w:r>
          </w:p>
        </w:tc>
        <w:tc>
          <w:tcPr>
            <w:tcW w:w="236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2098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0.11 (-0.71, 0.93)</w:t>
            </w:r>
          </w:p>
        </w:tc>
        <w:tc>
          <w:tcPr>
            <w:tcW w:w="284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1989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-0.26 (-1.36, 0.85)</w:t>
            </w:r>
          </w:p>
        </w:tc>
        <w:tc>
          <w:tcPr>
            <w:tcW w:w="236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893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0.648</w:t>
            </w:r>
          </w:p>
        </w:tc>
      </w:tr>
      <w:tr w:rsidR="00D53603" w:rsidRPr="00D35794" w:rsidTr="00595FA5">
        <w:trPr>
          <w:trHeight w:val="238"/>
        </w:trPr>
        <w:tc>
          <w:tcPr>
            <w:tcW w:w="2921" w:type="dxa"/>
            <w:vAlign w:val="center"/>
          </w:tcPr>
          <w:p w:rsidR="00D53603" w:rsidRPr="000046E7" w:rsidRDefault="00D53603" w:rsidP="00595FA5">
            <w:pPr>
              <w:spacing w:line="240" w:lineRule="auto"/>
            </w:pPr>
            <w:r w:rsidRPr="000046E7">
              <w:t>Waist circumference, cm</w:t>
            </w:r>
          </w:p>
        </w:tc>
        <w:tc>
          <w:tcPr>
            <w:tcW w:w="1254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>
              <w:t>93.4</w:t>
            </w:r>
          </w:p>
        </w:tc>
        <w:tc>
          <w:tcPr>
            <w:tcW w:w="236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674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123</w:t>
            </w:r>
          </w:p>
        </w:tc>
        <w:tc>
          <w:tcPr>
            <w:tcW w:w="282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2084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0.24 (-1.00, 1.48)</w:t>
            </w:r>
          </w:p>
        </w:tc>
        <w:tc>
          <w:tcPr>
            <w:tcW w:w="281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563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83</w:t>
            </w:r>
          </w:p>
        </w:tc>
        <w:tc>
          <w:tcPr>
            <w:tcW w:w="236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2098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 xml:space="preserve">1.21 (-0.20, </w:t>
            </w:r>
            <w:proofErr w:type="gramStart"/>
            <w:r w:rsidRPr="000046E7">
              <w:t>2.61)^</w:t>
            </w:r>
            <w:proofErr w:type="gramEnd"/>
          </w:p>
        </w:tc>
        <w:tc>
          <w:tcPr>
            <w:tcW w:w="284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1989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-0.97 (-2.85, 0.92)</w:t>
            </w:r>
          </w:p>
        </w:tc>
        <w:tc>
          <w:tcPr>
            <w:tcW w:w="236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893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0.315</w:t>
            </w:r>
          </w:p>
        </w:tc>
      </w:tr>
      <w:tr w:rsidR="00D53603" w:rsidRPr="00D35794" w:rsidTr="00595FA5">
        <w:trPr>
          <w:trHeight w:val="238"/>
        </w:trPr>
        <w:tc>
          <w:tcPr>
            <w:tcW w:w="2921" w:type="dxa"/>
            <w:vAlign w:val="center"/>
          </w:tcPr>
          <w:p w:rsidR="00D53603" w:rsidRPr="000046E7" w:rsidRDefault="00D53603" w:rsidP="00595FA5">
            <w:pPr>
              <w:spacing w:line="240" w:lineRule="auto"/>
            </w:pPr>
            <w:proofErr w:type="spellStart"/>
            <w:r w:rsidRPr="000046E7">
              <w:t>Triglycerides</w:t>
            </w:r>
            <w:r>
              <w:rPr>
                <w:vertAlign w:val="superscript"/>
              </w:rPr>
              <w:t>d</w:t>
            </w:r>
            <w:proofErr w:type="spellEnd"/>
            <w:r w:rsidRPr="000046E7">
              <w:t xml:space="preserve">, </w:t>
            </w:r>
            <w:proofErr w:type="spellStart"/>
            <w:r w:rsidRPr="000046E7">
              <w:t>mmol</w:t>
            </w:r>
            <w:proofErr w:type="spellEnd"/>
            <w:r w:rsidRPr="000046E7">
              <w:t>/L</w:t>
            </w:r>
          </w:p>
        </w:tc>
        <w:tc>
          <w:tcPr>
            <w:tcW w:w="1254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1.20</w:t>
            </w:r>
          </w:p>
        </w:tc>
        <w:tc>
          <w:tcPr>
            <w:tcW w:w="236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674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123</w:t>
            </w:r>
          </w:p>
        </w:tc>
        <w:tc>
          <w:tcPr>
            <w:tcW w:w="282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2084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-0.02 (-0.10, 0.07)</w:t>
            </w:r>
          </w:p>
        </w:tc>
        <w:tc>
          <w:tcPr>
            <w:tcW w:w="281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563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85</w:t>
            </w:r>
          </w:p>
        </w:tc>
        <w:tc>
          <w:tcPr>
            <w:tcW w:w="236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2098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0.02 (-0.07, 0.12)</w:t>
            </w:r>
          </w:p>
        </w:tc>
        <w:tc>
          <w:tcPr>
            <w:tcW w:w="284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1989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-0.04 (-0.17, 0.09)</w:t>
            </w:r>
          </w:p>
        </w:tc>
        <w:tc>
          <w:tcPr>
            <w:tcW w:w="236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893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0.543</w:t>
            </w:r>
          </w:p>
        </w:tc>
      </w:tr>
      <w:tr w:rsidR="00D53603" w:rsidRPr="00D35794" w:rsidTr="00595FA5">
        <w:trPr>
          <w:trHeight w:val="238"/>
        </w:trPr>
        <w:tc>
          <w:tcPr>
            <w:tcW w:w="2921" w:type="dxa"/>
            <w:vAlign w:val="center"/>
          </w:tcPr>
          <w:p w:rsidR="00D53603" w:rsidRPr="000046E7" w:rsidRDefault="00D53603" w:rsidP="00595FA5">
            <w:pPr>
              <w:spacing w:line="240" w:lineRule="auto"/>
            </w:pPr>
            <w:r w:rsidRPr="000046E7">
              <w:t xml:space="preserve">HDL </w:t>
            </w:r>
            <w:proofErr w:type="spellStart"/>
            <w:r w:rsidRPr="000046E7">
              <w:t>cholesterol</w:t>
            </w:r>
            <w:r>
              <w:rPr>
                <w:vertAlign w:val="superscript"/>
              </w:rPr>
              <w:t>d</w:t>
            </w:r>
            <w:proofErr w:type="spellEnd"/>
            <w:r w:rsidRPr="000046E7">
              <w:t xml:space="preserve">, </w:t>
            </w:r>
            <w:proofErr w:type="spellStart"/>
            <w:r w:rsidRPr="000046E7">
              <w:t>mmol</w:t>
            </w:r>
            <w:proofErr w:type="spellEnd"/>
            <w:r w:rsidRPr="000046E7">
              <w:t>/L</w:t>
            </w:r>
          </w:p>
        </w:tc>
        <w:tc>
          <w:tcPr>
            <w:tcW w:w="1254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1.47</w:t>
            </w:r>
          </w:p>
        </w:tc>
        <w:tc>
          <w:tcPr>
            <w:tcW w:w="236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674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122</w:t>
            </w:r>
          </w:p>
        </w:tc>
        <w:tc>
          <w:tcPr>
            <w:tcW w:w="282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2084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0.01 (-0.04, 0.06)</w:t>
            </w:r>
          </w:p>
        </w:tc>
        <w:tc>
          <w:tcPr>
            <w:tcW w:w="281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563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85</w:t>
            </w:r>
          </w:p>
        </w:tc>
        <w:tc>
          <w:tcPr>
            <w:tcW w:w="236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2098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0.01 (-0.05, 0.07)</w:t>
            </w:r>
          </w:p>
        </w:tc>
        <w:tc>
          <w:tcPr>
            <w:tcW w:w="284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1989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0.00 (-0.07, 0.08)</w:t>
            </w:r>
          </w:p>
        </w:tc>
        <w:tc>
          <w:tcPr>
            <w:tcW w:w="236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893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0.961</w:t>
            </w:r>
          </w:p>
        </w:tc>
      </w:tr>
      <w:tr w:rsidR="00D53603" w:rsidRPr="00D35794" w:rsidTr="00595FA5">
        <w:trPr>
          <w:trHeight w:val="238"/>
        </w:trPr>
        <w:tc>
          <w:tcPr>
            <w:tcW w:w="2921" w:type="dxa"/>
            <w:vAlign w:val="center"/>
          </w:tcPr>
          <w:p w:rsidR="00D53603" w:rsidRPr="000046E7" w:rsidRDefault="00D53603" w:rsidP="00595FA5">
            <w:pPr>
              <w:spacing w:line="240" w:lineRule="auto"/>
            </w:pPr>
            <w:r w:rsidRPr="000046E7">
              <w:t xml:space="preserve">LDL </w:t>
            </w:r>
            <w:proofErr w:type="spellStart"/>
            <w:r w:rsidRPr="000046E7">
              <w:t>cholesterol</w:t>
            </w:r>
            <w:r>
              <w:rPr>
                <w:vertAlign w:val="superscript"/>
              </w:rPr>
              <w:t>d</w:t>
            </w:r>
            <w:proofErr w:type="spellEnd"/>
            <w:r w:rsidRPr="000046E7">
              <w:t xml:space="preserve">, </w:t>
            </w:r>
            <w:proofErr w:type="spellStart"/>
            <w:r w:rsidRPr="000046E7">
              <w:t>mmol</w:t>
            </w:r>
            <w:proofErr w:type="spellEnd"/>
            <w:r w:rsidRPr="000046E7">
              <w:t>/L</w:t>
            </w:r>
          </w:p>
        </w:tc>
        <w:tc>
          <w:tcPr>
            <w:tcW w:w="1254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3.12</w:t>
            </w:r>
          </w:p>
        </w:tc>
        <w:tc>
          <w:tcPr>
            <w:tcW w:w="236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674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125</w:t>
            </w:r>
          </w:p>
        </w:tc>
        <w:tc>
          <w:tcPr>
            <w:tcW w:w="282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2084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-0.07 (-0.22, 0.07)</w:t>
            </w:r>
          </w:p>
        </w:tc>
        <w:tc>
          <w:tcPr>
            <w:tcW w:w="281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563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87</w:t>
            </w:r>
          </w:p>
        </w:tc>
        <w:tc>
          <w:tcPr>
            <w:tcW w:w="236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2098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-0.09 (-0.25, 0.07)</w:t>
            </w:r>
          </w:p>
        </w:tc>
        <w:tc>
          <w:tcPr>
            <w:tcW w:w="284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1989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0.02 (-0.20, 0.23)</w:t>
            </w:r>
          </w:p>
        </w:tc>
        <w:tc>
          <w:tcPr>
            <w:tcW w:w="236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893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0.869</w:t>
            </w:r>
          </w:p>
        </w:tc>
      </w:tr>
      <w:tr w:rsidR="00D53603" w:rsidRPr="00D35794" w:rsidTr="00595FA5">
        <w:trPr>
          <w:trHeight w:val="238"/>
        </w:trPr>
        <w:tc>
          <w:tcPr>
            <w:tcW w:w="2921" w:type="dxa"/>
            <w:vAlign w:val="center"/>
          </w:tcPr>
          <w:p w:rsidR="00D53603" w:rsidRPr="000046E7" w:rsidRDefault="00D53603" w:rsidP="00595FA5">
            <w:pPr>
              <w:spacing w:line="240" w:lineRule="auto"/>
            </w:pPr>
            <w:r w:rsidRPr="000046E7">
              <w:t>Total/</w:t>
            </w:r>
            <w:proofErr w:type="spellStart"/>
            <w:r w:rsidRPr="000046E7">
              <w:t>HDL</w:t>
            </w:r>
            <w:r>
              <w:rPr>
                <w:vertAlign w:val="superscript"/>
              </w:rPr>
              <w:t>d</w:t>
            </w:r>
            <w:proofErr w:type="spellEnd"/>
            <w:r w:rsidRPr="000046E7">
              <w:t xml:space="preserve"> </w:t>
            </w:r>
          </w:p>
        </w:tc>
        <w:tc>
          <w:tcPr>
            <w:tcW w:w="1254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3.62</w:t>
            </w:r>
          </w:p>
        </w:tc>
        <w:tc>
          <w:tcPr>
            <w:tcW w:w="236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674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125</w:t>
            </w:r>
          </w:p>
        </w:tc>
        <w:tc>
          <w:tcPr>
            <w:tcW w:w="282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2084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-0.09 (-0.23, 0.05)</w:t>
            </w:r>
          </w:p>
        </w:tc>
        <w:tc>
          <w:tcPr>
            <w:tcW w:w="281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563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87</w:t>
            </w:r>
          </w:p>
        </w:tc>
        <w:tc>
          <w:tcPr>
            <w:tcW w:w="236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2098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-0.07 (-0.23, 0.08)</w:t>
            </w:r>
          </w:p>
        </w:tc>
        <w:tc>
          <w:tcPr>
            <w:tcW w:w="284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1989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-0.02 (-0.23, 0.19)</w:t>
            </w:r>
          </w:p>
        </w:tc>
        <w:tc>
          <w:tcPr>
            <w:tcW w:w="236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893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0.878</w:t>
            </w:r>
          </w:p>
        </w:tc>
      </w:tr>
      <w:tr w:rsidR="00D53603" w:rsidRPr="00D35794" w:rsidTr="00595FA5">
        <w:trPr>
          <w:trHeight w:val="70"/>
        </w:trPr>
        <w:tc>
          <w:tcPr>
            <w:tcW w:w="2921" w:type="dxa"/>
            <w:vAlign w:val="center"/>
          </w:tcPr>
          <w:p w:rsidR="00D53603" w:rsidRPr="000046E7" w:rsidRDefault="00D53603" w:rsidP="00595FA5">
            <w:pPr>
              <w:spacing w:line="240" w:lineRule="auto"/>
            </w:pPr>
            <w:r w:rsidRPr="000046E7">
              <w:t xml:space="preserve">Systolic </w:t>
            </w:r>
            <w:proofErr w:type="spellStart"/>
            <w:r w:rsidRPr="000046E7">
              <w:t>BP</w:t>
            </w:r>
            <w:r>
              <w:rPr>
                <w:vertAlign w:val="superscript"/>
              </w:rPr>
              <w:t>d</w:t>
            </w:r>
            <w:proofErr w:type="spellEnd"/>
            <w:r w:rsidRPr="000046E7">
              <w:t xml:space="preserve">, </w:t>
            </w:r>
            <w:r>
              <w:t>mmHg</w:t>
            </w:r>
            <w:r w:rsidRPr="000046E7">
              <w:t xml:space="preserve"> </w:t>
            </w:r>
          </w:p>
        </w:tc>
        <w:tc>
          <w:tcPr>
            <w:tcW w:w="1254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125.6</w:t>
            </w:r>
          </w:p>
        </w:tc>
        <w:tc>
          <w:tcPr>
            <w:tcW w:w="236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674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123</w:t>
            </w:r>
          </w:p>
        </w:tc>
        <w:tc>
          <w:tcPr>
            <w:tcW w:w="282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2084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-0.85 (-3.05, 1.34)</w:t>
            </w:r>
          </w:p>
        </w:tc>
        <w:tc>
          <w:tcPr>
            <w:tcW w:w="281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563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85</w:t>
            </w:r>
          </w:p>
        </w:tc>
        <w:tc>
          <w:tcPr>
            <w:tcW w:w="236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2098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0.37 (-2.17, 2.90)</w:t>
            </w:r>
          </w:p>
        </w:tc>
        <w:tc>
          <w:tcPr>
            <w:tcW w:w="284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1989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-1.22 (-4.61, 2.17)</w:t>
            </w:r>
          </w:p>
        </w:tc>
        <w:tc>
          <w:tcPr>
            <w:tcW w:w="236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893" w:type="dxa"/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0.482</w:t>
            </w:r>
          </w:p>
        </w:tc>
      </w:tr>
      <w:tr w:rsidR="00D53603" w:rsidRPr="00D35794" w:rsidTr="00595FA5">
        <w:trPr>
          <w:trHeight w:val="238"/>
        </w:trPr>
        <w:tc>
          <w:tcPr>
            <w:tcW w:w="2921" w:type="dxa"/>
            <w:tcBorders>
              <w:bottom w:val="single" w:sz="12" w:space="0" w:color="auto"/>
            </w:tcBorders>
            <w:vAlign w:val="center"/>
          </w:tcPr>
          <w:p w:rsidR="00D53603" w:rsidRPr="000046E7" w:rsidRDefault="00D53603" w:rsidP="00595FA5">
            <w:pPr>
              <w:spacing w:line="240" w:lineRule="auto"/>
            </w:pPr>
            <w:r w:rsidRPr="000046E7">
              <w:t xml:space="preserve">Diastolic </w:t>
            </w:r>
            <w:proofErr w:type="spellStart"/>
            <w:r w:rsidRPr="000046E7">
              <w:t>BP</w:t>
            </w:r>
            <w:r>
              <w:rPr>
                <w:vertAlign w:val="superscript"/>
              </w:rPr>
              <w:t>d</w:t>
            </w:r>
            <w:proofErr w:type="spellEnd"/>
            <w:r w:rsidRPr="000046E7">
              <w:t xml:space="preserve">, </w:t>
            </w:r>
            <w:r>
              <w:t>mmHg</w:t>
            </w:r>
            <w:r w:rsidRPr="000046E7">
              <w:t xml:space="preserve"> </w:t>
            </w:r>
          </w:p>
        </w:tc>
        <w:tc>
          <w:tcPr>
            <w:tcW w:w="1254" w:type="dxa"/>
            <w:tcBorders>
              <w:bottom w:val="single" w:sz="12" w:space="0" w:color="auto"/>
            </w:tcBorders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>
              <w:t>77.3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674" w:type="dxa"/>
            <w:tcBorders>
              <w:bottom w:val="single" w:sz="12" w:space="0" w:color="auto"/>
            </w:tcBorders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120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2084" w:type="dxa"/>
            <w:tcBorders>
              <w:bottom w:val="single" w:sz="12" w:space="0" w:color="auto"/>
            </w:tcBorders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0.17 (-1.72, 2.06)</w:t>
            </w:r>
          </w:p>
        </w:tc>
        <w:tc>
          <w:tcPr>
            <w:tcW w:w="281" w:type="dxa"/>
            <w:tcBorders>
              <w:bottom w:val="single" w:sz="12" w:space="0" w:color="auto"/>
            </w:tcBorders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83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2098" w:type="dxa"/>
            <w:tcBorders>
              <w:bottom w:val="single" w:sz="12" w:space="0" w:color="auto"/>
            </w:tcBorders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0.85 (-1.31, 3.01)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1989" w:type="dxa"/>
            <w:tcBorders>
              <w:bottom w:val="single" w:sz="12" w:space="0" w:color="auto"/>
            </w:tcBorders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-0.68 (-3.57, 2.20)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</w:p>
        </w:tc>
        <w:tc>
          <w:tcPr>
            <w:tcW w:w="893" w:type="dxa"/>
            <w:tcBorders>
              <w:bottom w:val="single" w:sz="12" w:space="0" w:color="auto"/>
            </w:tcBorders>
            <w:vAlign w:val="center"/>
          </w:tcPr>
          <w:p w:rsidR="00D53603" w:rsidRPr="000046E7" w:rsidRDefault="00D53603" w:rsidP="00595FA5">
            <w:pPr>
              <w:spacing w:line="240" w:lineRule="auto"/>
              <w:jc w:val="center"/>
            </w:pPr>
            <w:r w:rsidRPr="000046E7">
              <w:t>0.643</w:t>
            </w:r>
          </w:p>
        </w:tc>
      </w:tr>
    </w:tbl>
    <w:p w:rsidR="00D53603" w:rsidRPr="00D35794" w:rsidRDefault="00D53603" w:rsidP="00D53603">
      <w:pPr>
        <w:spacing w:line="240" w:lineRule="auto"/>
      </w:pPr>
    </w:p>
    <w:p w:rsidR="00D53603" w:rsidRPr="00D35794" w:rsidRDefault="00D53603" w:rsidP="00D53603">
      <w:pPr>
        <w:spacing w:line="240" w:lineRule="auto"/>
      </w:pPr>
      <w:r w:rsidRPr="00D35794">
        <w:t xml:space="preserve">^ p&lt;0.1 (change from baseline) </w:t>
      </w:r>
    </w:p>
    <w:p w:rsidR="00D53603" w:rsidRPr="00D35794" w:rsidRDefault="00D53603" w:rsidP="00D53603">
      <w:pPr>
        <w:spacing w:line="240" w:lineRule="auto"/>
      </w:pPr>
      <w:proofErr w:type="spellStart"/>
      <w:proofErr w:type="gramStart"/>
      <w:r w:rsidRPr="00D35794">
        <w:rPr>
          <w:vertAlign w:val="superscript"/>
        </w:rPr>
        <w:t>a</w:t>
      </w:r>
      <w:proofErr w:type="spellEnd"/>
      <w:proofErr w:type="gramEnd"/>
      <w:r w:rsidRPr="00D35794">
        <w:rPr>
          <w:vertAlign w:val="superscript"/>
        </w:rPr>
        <w:t xml:space="preserve"> </w:t>
      </w:r>
      <w:r w:rsidRPr="00D35794">
        <w:t xml:space="preserve">all adjusted means are estimated from marginal means, with baseline values of the outcome and all confounders set to the overall mean, with the means </w:t>
      </w:r>
      <w:proofErr w:type="spellStart"/>
      <w:r w:rsidRPr="00D35794">
        <w:t>backtransformed</w:t>
      </w:r>
      <w:proofErr w:type="spellEnd"/>
      <w:r w:rsidRPr="00D35794">
        <w:t xml:space="preserve"> to original units for transformed outcomes. </w:t>
      </w:r>
    </w:p>
    <w:p w:rsidR="00D53603" w:rsidRPr="00D35794" w:rsidRDefault="00D53603" w:rsidP="00D53603">
      <w:pPr>
        <w:spacing w:line="240" w:lineRule="auto"/>
      </w:pPr>
      <w:r w:rsidRPr="00D35794">
        <w:rPr>
          <w:vertAlign w:val="superscript"/>
        </w:rPr>
        <w:t xml:space="preserve">b </w:t>
      </w:r>
      <w:r w:rsidRPr="00D35794">
        <w:t>changes are estimated from marginal means for predicted mean – mean baseline value; differences between groups are estimated from marginal means overall (i.e., across both 3- and 12- month follow ups combined)</w:t>
      </w:r>
    </w:p>
    <w:p w:rsidR="00D53603" w:rsidRPr="00D35794" w:rsidRDefault="00D53603" w:rsidP="00D53603">
      <w:pPr>
        <w:spacing w:line="240" w:lineRule="auto"/>
      </w:pPr>
      <w:r>
        <w:rPr>
          <w:vertAlign w:val="superscript"/>
        </w:rPr>
        <w:t>c</w:t>
      </w:r>
      <w:r w:rsidRPr="00D35794">
        <w:rPr>
          <w:vertAlign w:val="superscript"/>
        </w:rPr>
        <w:t xml:space="preserve"> </w:t>
      </w:r>
      <w:r w:rsidRPr="00D35794">
        <w:t xml:space="preserve">estimated from pairwise comparisons and contrasts of marginal means at mean values of baseline levels and all covariates (overall) </w:t>
      </w:r>
    </w:p>
    <w:p w:rsidR="004615D6" w:rsidRDefault="00D53603" w:rsidP="00D53603">
      <w:r>
        <w:rPr>
          <w:vertAlign w:val="superscript"/>
        </w:rPr>
        <w:t>d</w:t>
      </w:r>
      <w:r w:rsidRPr="00D35794">
        <w:t xml:space="preserve"> outcome modelled  as log of outcome; results in tables are presented back-transformed to original units</w:t>
      </w:r>
    </w:p>
    <w:sectPr w:rsidR="004615D6" w:rsidSect="00D53603">
      <w:pgSz w:w="15840" w:h="12240" w:orient="landscape" w:code="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03"/>
    <w:rsid w:val="000B589C"/>
    <w:rsid w:val="004615D6"/>
    <w:rsid w:val="008371CF"/>
    <w:rsid w:val="00942F27"/>
    <w:rsid w:val="00D5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ED559-7ADD-415F-8295-CC6C1BE6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3603"/>
    <w:pPr>
      <w:spacing w:after="0" w:line="48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53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Wilson</dc:creator>
  <cp:keywords/>
  <dc:description/>
  <cp:lastModifiedBy>Ken Wilson</cp:lastModifiedBy>
  <cp:revision>2</cp:revision>
  <dcterms:created xsi:type="dcterms:W3CDTF">2017-05-17T14:37:00Z</dcterms:created>
  <dcterms:modified xsi:type="dcterms:W3CDTF">2017-05-17T14:37:00Z</dcterms:modified>
</cp:coreProperties>
</file>