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F1" w:rsidRDefault="000D6FF1" w:rsidP="000D6FF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D6840">
        <w:rPr>
          <w:rFonts w:cs="Times New Roman"/>
          <w:b/>
          <w:sz w:val="24"/>
          <w:szCs w:val="24"/>
        </w:rPr>
        <w:t>Supplemental Table 4.</w:t>
      </w:r>
      <w:r w:rsidRPr="006F5E78">
        <w:rPr>
          <w:rFonts w:cs="Times New Roman"/>
          <w:sz w:val="24"/>
          <w:szCs w:val="24"/>
        </w:rPr>
        <w:t xml:space="preserve"> Association between walking-pace with all- and </w:t>
      </w:r>
      <w:r>
        <w:rPr>
          <w:rFonts w:cs="Times New Roman"/>
          <w:sz w:val="24"/>
          <w:szCs w:val="24"/>
        </w:rPr>
        <w:t>cause-specific</w:t>
      </w:r>
      <w:r w:rsidRPr="006F5E78">
        <w:rPr>
          <w:rFonts w:cs="Times New Roman"/>
          <w:sz w:val="24"/>
          <w:szCs w:val="24"/>
        </w:rPr>
        <w:t xml:space="preserve"> mortality </w:t>
      </w:r>
      <w:r>
        <w:rPr>
          <w:rFonts w:cs="Times New Roman"/>
          <w:sz w:val="24"/>
          <w:szCs w:val="24"/>
        </w:rPr>
        <w:t>in women</w:t>
      </w:r>
    </w:p>
    <w:tbl>
      <w:tblPr>
        <w:tblStyle w:val="TableGrid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851"/>
        <w:gridCol w:w="1106"/>
        <w:gridCol w:w="1304"/>
        <w:gridCol w:w="1559"/>
        <w:gridCol w:w="850"/>
        <w:gridCol w:w="1560"/>
        <w:gridCol w:w="850"/>
        <w:gridCol w:w="1701"/>
        <w:gridCol w:w="992"/>
      </w:tblGrid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Total N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Number of deaths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Slow</w:t>
            </w:r>
          </w:p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Average </w:t>
            </w:r>
          </w:p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Brisk </w:t>
            </w:r>
          </w:p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701" w:type="dxa"/>
          </w:tcPr>
          <w:p w:rsidR="000D6FF1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HR for trend </w:t>
            </w:r>
          </w:p>
        </w:tc>
        <w:tc>
          <w:tcPr>
            <w:tcW w:w="992" w:type="dxa"/>
          </w:tcPr>
          <w:p w:rsidR="000D6FF1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P-value for trend</w:t>
            </w:r>
          </w:p>
        </w:tc>
      </w:tr>
      <w:tr w:rsidR="000D6FF1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All-cause Mortality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2,303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0.53 (0.46; 0.60)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0.46 (0.40; 0.54)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0.75 (0.70; 0.80)</w:t>
            </w:r>
          </w:p>
        </w:tc>
        <w:tc>
          <w:tcPr>
            <w:tcW w:w="992" w:type="dxa"/>
          </w:tcPr>
          <w:p w:rsidR="000D6FF1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2,303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0.63 (0.55; 0.73)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0.60 (0.51; 0.70)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0.84 (0.78; 0.90)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2,303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0.67 (0.58; 0.77)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0.65 (0.55; 0.77)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0.87 (0.81; 0.94)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2,303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0.71 (0.62; 0.82)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0.73 (0.62; 0.85)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0.91 (0.85; 0.98)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0.021</w:t>
            </w:r>
          </w:p>
        </w:tc>
      </w:tr>
      <w:tr w:rsidR="000D6FF1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s-ES"/>
              </w:rPr>
            </w:pPr>
            <w:r w:rsidRPr="008829F2">
              <w:rPr>
                <w:rFonts w:cs="Times New Roman"/>
                <w:b/>
                <w:sz w:val="18"/>
                <w:szCs w:val="18"/>
                <w:lang w:val="es-ES"/>
              </w:rPr>
              <w:t>CVD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0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523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0.35 (0.28; 0.44)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0.24 (0.19; 0.32)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0.52 (0.45; 0.60)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1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523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0.47 (0.36; 0.60)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0.37 (0.27; 0.50)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tabs>
                <w:tab w:val="left" w:pos="1453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0.63 (0.54; 0.74)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B0770A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it-IT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2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523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0.51 (0.39; 0.65)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0.43 (0.31; 0.58)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0.69 (0.58; 0.80)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3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523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0.53 (0.41; 0.69)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0.47 (0.34; 0.64)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0.71 (0.61; 0.83)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Respiratory System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282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0.32 (0.23; 0.44)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0.22 (0.16; 0.32)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0.49 (0.41; 0.60)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282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0.43 (0.31; 0.61)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0.33 (0.22; 0.50)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0.60 (0.48; 0.75)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282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0.49 (0.35; 0.69)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0.41 (0.27; 0.62)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0.67 (0.54; 0.83)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282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0.54 (0.38; 0.77)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0.48 (0.31; 0.73)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0.72 (0.58; 0.89)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0.003</w:t>
            </w:r>
          </w:p>
        </w:tc>
      </w:tr>
      <w:tr w:rsidR="000D6FF1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COPD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11522F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1522F">
              <w:rPr>
                <w:rFonts w:cs="Times New Roman"/>
                <w:sz w:val="18"/>
                <w:szCs w:val="18"/>
              </w:rPr>
              <w:t>0.11 (0.05; 0.25)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 (0.002; 0.11)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0.11 (0.06; 0.23)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11522F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0.11 (0.05; 0.29)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 (0.001; 0.11)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0.11 (0.05; 0.25)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11522F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017 (0.07; 0.42)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0.03 (0.003; 0.22) 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0.16 (0.07; 0.36)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11522F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0.19 (0.08; 0.48)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 (0.004; 0.27)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0.002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0.19 (0.08; 0.45)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0D6FF1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All cancer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1,597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0.74 (0.61; 0.89)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0.002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0.69 (0.56; 0.83)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0.87 (0.80; 0.95)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0.002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1,597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0.84 (0.69; 1.02)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0.082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0.83 (0.67; 1.03)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0.087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0.95 (0.86; 1.04)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0.256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1,597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0.88 (0.72; 1.07)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0.186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0.89 (0.72; 1.10)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0.289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0.98 (0.89; 1.07)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0.651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1,597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0.92 (0.76; 1.13)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0.428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0.97 (0.78; 1.20)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0.752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 (0.92; 1.11)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0.780</w:t>
            </w:r>
          </w:p>
        </w:tc>
      </w:tr>
      <w:tr w:rsidR="000D6FF1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Colorectal cancer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174,006 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0.85 (0.44; 1.64)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0.627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0.82 (0.42; 1.61)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0.560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0.94 (0.71; 1.23)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0.629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174,006 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0.89 (0.45; 1.75)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0.729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0.86 (0.42; 1.78)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0.694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0.95 (0.71; 1.28)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0.755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174,006 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0.90 (0.45; 1.78)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0.758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0.87 (0.42; 1.81)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0.718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0.96 (0.71; 1.28)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0.764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174,006 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0.98 (0.49; 1.93)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0.944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(0.48; 2.08)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0.995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 (0.75; 1.36)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0.938</w:t>
            </w:r>
          </w:p>
        </w:tc>
      </w:tr>
      <w:tr w:rsidR="000D6FF1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Lung cancer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290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0.72 (0.47; 1.09)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0.116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0.59 (0.38; 0.91)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0.018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0.79 (0.65; 0.96)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0.019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290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0.88 (0.57; 1.37)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0.583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0.79 (0.48; 1.28)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0.329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0.89 (0.72; 1.10)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0.273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290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 (0.66; 1.58)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0.918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(0.62; 1.63)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0.996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(0.80; 1.23)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0.936</w:t>
            </w:r>
          </w:p>
        </w:tc>
      </w:tr>
      <w:tr w:rsidR="000D6FF1" w:rsidRPr="008829F2" w:rsidTr="007F1D90">
        <w:trPr>
          <w:trHeight w:val="222"/>
        </w:trPr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290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1.08 (0.70; 1.68)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0.723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1.09 (0.67; 1.78)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0.723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 (0.83; 1.28)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0.788</w:t>
            </w:r>
          </w:p>
        </w:tc>
      </w:tr>
      <w:tr w:rsidR="000D6FF1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Breast cancer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lastRenderedPageBreak/>
              <w:t>Model 0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0.60 (0.31; 1.17)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0.134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0.79 (0.40; 1.56)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0.500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1.11 (0.83; 1.49)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0.468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0.64 (0.32; 1.28)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0.207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0.90 (0.44; 1.87)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0.788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1.20 (0.88; 1.64)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0.258</w:t>
            </w:r>
          </w:p>
        </w:tc>
      </w:tr>
      <w:tr w:rsidR="000D6FF1" w:rsidRPr="008829F2" w:rsidTr="007F1D90"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0.64 (0.32; 1.28)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0.203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0.88 (0.42; 1.84)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0.738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1.18 (0.86; 1.61)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0.311</w:t>
            </w:r>
          </w:p>
        </w:tc>
      </w:tr>
      <w:tr w:rsidR="000D6FF1" w:rsidRPr="008829F2" w:rsidTr="007F1D90">
        <w:trPr>
          <w:trHeight w:val="222"/>
        </w:trPr>
        <w:tc>
          <w:tcPr>
            <w:tcW w:w="2297" w:type="dxa"/>
          </w:tcPr>
          <w:p w:rsidR="000D6FF1" w:rsidRPr="008829F2" w:rsidRDefault="000D6FF1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106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</w:t>
            </w:r>
          </w:p>
        </w:tc>
        <w:tc>
          <w:tcPr>
            <w:tcW w:w="1304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0.69 (0.34; 1.39)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0.296</w:t>
            </w:r>
          </w:p>
        </w:tc>
        <w:tc>
          <w:tcPr>
            <w:tcW w:w="156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(0.48; 2.10)</w:t>
            </w:r>
          </w:p>
        </w:tc>
        <w:tc>
          <w:tcPr>
            <w:tcW w:w="850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0.999</w:t>
            </w:r>
          </w:p>
        </w:tc>
        <w:tc>
          <w:tcPr>
            <w:tcW w:w="1701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1.24 (0.90; 1.70)</w:t>
            </w:r>
          </w:p>
        </w:tc>
        <w:tc>
          <w:tcPr>
            <w:tcW w:w="992" w:type="dxa"/>
          </w:tcPr>
          <w:p w:rsidR="000D6FF1" w:rsidRPr="008829F2" w:rsidRDefault="000D6FF1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0.183</w:t>
            </w:r>
          </w:p>
        </w:tc>
      </w:tr>
    </w:tbl>
    <w:p w:rsidR="000D6FF1" w:rsidRPr="006F5E78" w:rsidRDefault="000D6FF1" w:rsidP="000D6FF1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Data presented as adjusted hazard ratio (HR) and its 95% confidence interval (95% CI) by </w:t>
      </w:r>
      <w:r>
        <w:rPr>
          <w:rFonts w:cs="Times New Roman"/>
          <w:sz w:val="24"/>
          <w:szCs w:val="24"/>
        </w:rPr>
        <w:t>walking pace category</w:t>
      </w:r>
      <w:r w:rsidRPr="006F5E7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Slow walking pace was used as reference group for </w:t>
      </w:r>
      <w:proofErr w:type="gramStart"/>
      <w:r>
        <w:rPr>
          <w:rFonts w:cs="Times New Roman"/>
          <w:sz w:val="24"/>
          <w:szCs w:val="24"/>
        </w:rPr>
        <w:t>these analysis</w:t>
      </w:r>
      <w:proofErr w:type="gramEnd"/>
      <w:r>
        <w:rPr>
          <w:rFonts w:cs="Times New Roman"/>
          <w:sz w:val="24"/>
          <w:szCs w:val="24"/>
        </w:rPr>
        <w:t xml:space="preserve">. Trend hazard ratio indicate the change in the hazard per one category change in walking pace.  All analyses were conducted using a 2-years landmark analyses and by excluding participants with major diseases at baseline. </w:t>
      </w:r>
    </w:p>
    <w:p w:rsidR="000D6FF1" w:rsidRPr="006F5E78" w:rsidRDefault="000D6FF1" w:rsidP="000D6FF1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Model </w:t>
      </w:r>
      <w:r>
        <w:rPr>
          <w:rFonts w:cs="Times New Roman"/>
          <w:sz w:val="24"/>
          <w:szCs w:val="24"/>
        </w:rPr>
        <w:t>1</w:t>
      </w:r>
      <w:r w:rsidRPr="006F5E78">
        <w:rPr>
          <w:rFonts w:cs="Times New Roman"/>
          <w:sz w:val="24"/>
          <w:szCs w:val="24"/>
        </w:rPr>
        <w:t xml:space="preserve"> </w:t>
      </w:r>
      <w:proofErr w:type="gramStart"/>
      <w:r w:rsidRPr="006F5E78">
        <w:rPr>
          <w:rFonts w:cs="Times New Roman"/>
          <w:sz w:val="24"/>
          <w:szCs w:val="24"/>
        </w:rPr>
        <w:t>was adjusted</w:t>
      </w:r>
      <w:proofErr w:type="gramEnd"/>
      <w:r w:rsidRPr="006F5E78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 xml:space="preserve">month of recruitment, </w:t>
      </w:r>
      <w:r w:rsidRPr="006F5E78">
        <w:rPr>
          <w:rFonts w:cs="Times New Roman"/>
          <w:sz w:val="24"/>
          <w:szCs w:val="24"/>
        </w:rPr>
        <w:t>age, deprivation index</w:t>
      </w:r>
      <w:r>
        <w:rPr>
          <w:rFonts w:cs="Times New Roman"/>
          <w:sz w:val="24"/>
          <w:szCs w:val="24"/>
        </w:rPr>
        <w:t>, employment status</w:t>
      </w:r>
      <w:r w:rsidRPr="006F5E78">
        <w:rPr>
          <w:rFonts w:cs="Times New Roman"/>
          <w:sz w:val="24"/>
          <w:szCs w:val="24"/>
        </w:rPr>
        <w:t xml:space="preserve"> and ethnicity.  </w:t>
      </w:r>
    </w:p>
    <w:p w:rsidR="000D6FF1" w:rsidRPr="006F5E78" w:rsidRDefault="000D6FF1" w:rsidP="000D6FF1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Model </w:t>
      </w:r>
      <w:r>
        <w:rPr>
          <w:rFonts w:cs="Times New Roman"/>
          <w:sz w:val="24"/>
          <w:szCs w:val="24"/>
        </w:rPr>
        <w:t>2</w:t>
      </w:r>
      <w:r w:rsidRPr="006F5E78">
        <w:rPr>
          <w:rFonts w:cs="Times New Roman"/>
          <w:sz w:val="24"/>
          <w:szCs w:val="24"/>
        </w:rPr>
        <w:t xml:space="preserve"> </w:t>
      </w:r>
      <w:proofErr w:type="gramStart"/>
      <w:r w:rsidRPr="006F5E78">
        <w:rPr>
          <w:rFonts w:cs="Times New Roman"/>
          <w:sz w:val="24"/>
          <w:szCs w:val="24"/>
        </w:rPr>
        <w:t>was also adjusted</w:t>
      </w:r>
      <w:proofErr w:type="gramEnd"/>
      <w:r w:rsidRPr="006F5E78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>systolic blood pressure, medication for CVD, self-health rating and BMI categories,</w:t>
      </w:r>
    </w:p>
    <w:p w:rsidR="000D6FF1" w:rsidRPr="006F5E78" w:rsidRDefault="000D6FF1" w:rsidP="000D6FF1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Model </w:t>
      </w:r>
      <w:r>
        <w:rPr>
          <w:rFonts w:cs="Times New Roman"/>
          <w:sz w:val="24"/>
          <w:szCs w:val="24"/>
        </w:rPr>
        <w:t>3</w:t>
      </w:r>
      <w:r w:rsidRPr="006F5E78">
        <w:rPr>
          <w:rFonts w:cs="Times New Roman"/>
          <w:sz w:val="24"/>
          <w:szCs w:val="24"/>
        </w:rPr>
        <w:t xml:space="preserve"> </w:t>
      </w:r>
      <w:proofErr w:type="gramStart"/>
      <w:r w:rsidRPr="006F5E78">
        <w:rPr>
          <w:rFonts w:cs="Times New Roman"/>
          <w:sz w:val="24"/>
          <w:szCs w:val="24"/>
        </w:rPr>
        <w:t>was also adjusted</w:t>
      </w:r>
      <w:proofErr w:type="gramEnd"/>
      <w:r w:rsidRPr="006F5E78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>smoking, discretionary screen time, dietary intake (alcohol, red meat, processed meat, oily fish, processed meat and fruit and vegetables), handgrip strength and total physical activity</w:t>
      </w:r>
      <w:r w:rsidRPr="006F5E78">
        <w:rPr>
          <w:rFonts w:cs="Times New Roman"/>
          <w:sz w:val="24"/>
          <w:szCs w:val="24"/>
        </w:rPr>
        <w:t>.</w:t>
      </w:r>
    </w:p>
    <w:p w:rsidR="0060000E" w:rsidRDefault="0060000E">
      <w:bookmarkStart w:id="0" w:name="_GoBack"/>
      <w:bookmarkEnd w:id="0"/>
    </w:p>
    <w:sectPr w:rsidR="0060000E" w:rsidSect="000D6F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F1"/>
    <w:rsid w:val="000D6FF1"/>
    <w:rsid w:val="006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B83C2-4D99-4930-B877-B9C8F3BA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5676764.dotm</Template>
  <TotalTime>0</TotalTime>
  <Pages>2</Pages>
  <Words>705</Words>
  <Characters>4023</Characters>
  <Application>Microsoft Office Word</Application>
  <DocSecurity>0</DocSecurity>
  <Lines>33</Lines>
  <Paragraphs>9</Paragraphs>
  <ScaleCrop>false</ScaleCrop>
  <Company>University Of Glasgow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Gray</dc:creator>
  <cp:keywords/>
  <dc:description/>
  <cp:lastModifiedBy>Stuart Gray</cp:lastModifiedBy>
  <cp:revision>1</cp:revision>
  <dcterms:created xsi:type="dcterms:W3CDTF">2018-09-13T08:34:00Z</dcterms:created>
  <dcterms:modified xsi:type="dcterms:W3CDTF">2018-09-13T08:34:00Z</dcterms:modified>
</cp:coreProperties>
</file>