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36" w:rsidRDefault="00810036" w:rsidP="008100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D6840">
        <w:rPr>
          <w:rFonts w:cs="Times New Roman"/>
          <w:b/>
          <w:sz w:val="24"/>
          <w:szCs w:val="24"/>
        </w:rPr>
        <w:t>Supplemental Table</w:t>
      </w:r>
      <w:r>
        <w:rPr>
          <w:rFonts w:cs="Times New Roman"/>
          <w:b/>
          <w:sz w:val="24"/>
          <w:szCs w:val="24"/>
        </w:rPr>
        <w:t xml:space="preserve"> </w:t>
      </w:r>
      <w:r w:rsidR="00CE17EF">
        <w:rPr>
          <w:rFonts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.</w:t>
      </w:r>
      <w:r w:rsidRPr="006F5E78">
        <w:rPr>
          <w:rFonts w:cs="Times New Roman"/>
          <w:sz w:val="24"/>
          <w:szCs w:val="24"/>
        </w:rPr>
        <w:t xml:space="preserve"> Association between walking-pace with all- and </w:t>
      </w:r>
      <w:r>
        <w:rPr>
          <w:rFonts w:cs="Times New Roman"/>
          <w:sz w:val="24"/>
          <w:szCs w:val="24"/>
        </w:rPr>
        <w:t>cause-specific</w:t>
      </w:r>
      <w:r w:rsidRPr="006F5E78">
        <w:rPr>
          <w:rFonts w:cs="Times New Roman"/>
          <w:sz w:val="24"/>
          <w:szCs w:val="24"/>
        </w:rPr>
        <w:t xml:space="preserve"> mortality</w:t>
      </w:r>
      <w:r>
        <w:rPr>
          <w:rFonts w:cs="Times New Roman"/>
          <w:sz w:val="24"/>
          <w:szCs w:val="24"/>
        </w:rPr>
        <w:t xml:space="preserve"> in men</w:t>
      </w:r>
    </w:p>
    <w:tbl>
      <w:tblPr>
        <w:tblStyle w:val="TableGrid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1106"/>
        <w:gridCol w:w="1304"/>
        <w:gridCol w:w="1559"/>
        <w:gridCol w:w="850"/>
        <w:gridCol w:w="1418"/>
        <w:gridCol w:w="850"/>
        <w:gridCol w:w="1701"/>
        <w:gridCol w:w="1134"/>
      </w:tblGrid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Total N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Number of deaths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Slow</w:t>
            </w:r>
          </w:p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Average </w:t>
            </w:r>
          </w:p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Brisk </w:t>
            </w:r>
          </w:p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701" w:type="dxa"/>
          </w:tcPr>
          <w:p w:rsidR="00810036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HR for trend </w:t>
            </w:r>
          </w:p>
        </w:tc>
        <w:tc>
          <w:tcPr>
            <w:tcW w:w="1134" w:type="dxa"/>
          </w:tcPr>
          <w:p w:rsidR="00810036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 for trend</w:t>
            </w:r>
          </w:p>
        </w:tc>
      </w:tr>
      <w:tr w:rsidR="00810036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All-cause Mortality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3,587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0.61 (0.54; 0.68)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0.47 (0.41; 0.52)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0.71 (0.67; 0.75)</w:t>
            </w:r>
          </w:p>
        </w:tc>
        <w:tc>
          <w:tcPr>
            <w:tcW w:w="1134" w:type="dxa"/>
          </w:tcPr>
          <w:p w:rsidR="00810036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3,587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 (0.68; 0.85)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0.65 (0.57; 0.73)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0.82 (0.77; 0.87)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3,587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0.80 (0.71; 0.90)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0.72 (0.63; 0.81)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0.86 (0.81; 0.92)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3,587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0.86 (0.76; 0.97)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0.008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0.79 (0.69; 0.90)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0.90 (0.85; 0.95)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0.001</w:t>
            </w:r>
          </w:p>
        </w:tc>
      </w:tr>
      <w:tr w:rsidR="00810036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  <w:r w:rsidRPr="008829F2">
              <w:rPr>
                <w:rFonts w:cs="Times New Roman"/>
                <w:b/>
                <w:sz w:val="18"/>
                <w:szCs w:val="18"/>
                <w:lang w:val="es-ES"/>
              </w:rPr>
              <w:t>CVD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0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1,238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0.45 (0.38; 0.53)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0.31 (0.26; 0.38)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0.58 (0.53; 0.64)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1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1,238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0.60 (0.51; 0.71)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0.49 (0.40; 0.60)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0.72 (0.65; 0.80)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2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1,238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0.63 (0.53; 0.75)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0.54 (0.44; 0.67)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0.76 (0.69; 0.85)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3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1,238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0.69 (0.58; 0.82)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0.62 (0.50; 0.76)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0.81 (0.73; 0.90)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Respiratory System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596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0.44 (0.35; 0.56)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0.28 (0.22; 0.37)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0.55 (0.48; 0.63)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596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 (0.47; 0.76)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0.42 (0.31; 0.56)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0.65 (0.57; 0.75)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596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0.65 (0.51; 0.83)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0.48 (0.36; 0.65)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0.70 (0.61; 0.81)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596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0.74 (0.58; 0.95)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0.018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0.58 (0.43; 0.78)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 (0.66; 0.88)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COPD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B93995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93995">
              <w:rPr>
                <w:rFonts w:cs="Times New Roman"/>
                <w:sz w:val="18"/>
                <w:szCs w:val="18"/>
              </w:rPr>
              <w:t>0.22 (0.13; 0.36)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 (0.05; 0.20)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0.29 (0.20; 0.42)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B93995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0.33 (0.19; 0.56)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0.17 (0.08; 0.36)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0.39 (0.26; 0.58)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B93995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0.38 (0.22; 0.65)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0.23 (0.11; 0.50)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0.46 (0.31; 0.68)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B93995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0.41 (0.24; 0.72)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0.002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0.26 (0.12; 0.56)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0.49 (0.33; 0.73)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</w:tr>
      <w:tr w:rsidR="00810036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All cancer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2,090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0.79 (0.67; 0.92)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0.004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0.64 (0.54; 0.76)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0.81 (0.75; 0.87)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2,090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0.94 (0.79; 1.11)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0.449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0.83 (0.69; 1.00)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0.045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 (0.83; 0.97)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0.008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2,090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(0.84; 1.17)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0.912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0.94 (0.78; 1.13)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0.493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 (0.89; 1.04)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0.297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2,090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 (0.87; 1.21)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0.762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(0.82; 1.19)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0.880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 (0.90; 1.06)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0.588</w:t>
            </w:r>
          </w:p>
        </w:tc>
      </w:tr>
      <w:tr w:rsidR="00810036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Colorectal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 (0.57; 1.90)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0.888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0.94 (0.51; 1.74)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0.842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 (0.74; 1.17)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0.529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 (0.57; 1.92)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0.890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0.97 (0.52; 1.85)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0.934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 (0.75; 1.22)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0.707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 (0.58; 1.97)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0.826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1.05 (0.55; 1.99)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0.893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(0.78; 1.27)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0.968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1.13 (0.61; 2.09)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0.689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 (0.58; 2.13)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0.741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 (0.79; 1.29)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0.914</w:t>
            </w:r>
          </w:p>
        </w:tc>
      </w:tr>
      <w:tr w:rsidR="00810036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Lung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0.74 (0.53; 1.03)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0.074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0.46 (0.31; 0.66)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0.66 (0.56; 0.78)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0.86 (0.61; 1.22)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0.402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0.55 (0.37; 0.82)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0.003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0.71 (0.59; 0.85)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(0.70; 1.40)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0.969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0.75 (0.50; 1.11)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0.153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0.83 (0.69; 1.00)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0.047</w:t>
            </w:r>
          </w:p>
        </w:tc>
      </w:tr>
      <w:tr w:rsidR="00810036" w:rsidRPr="008829F2" w:rsidTr="007F1D90">
        <w:trPr>
          <w:trHeight w:val="222"/>
        </w:trPr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 (0.72; 1.45)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0.899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 (0.52; 1.17)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0.236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0.85 (0.71; 1.02)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0.080</w:t>
            </w:r>
          </w:p>
        </w:tc>
      </w:tr>
      <w:tr w:rsidR="00810036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Prostate </w:t>
            </w:r>
            <w:r w:rsidRPr="008829F2">
              <w:rPr>
                <w:rFonts w:cs="Times New Roman"/>
                <w:b/>
                <w:sz w:val="18"/>
                <w:szCs w:val="18"/>
              </w:rPr>
              <w:t>cancer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lastRenderedPageBreak/>
              <w:t>Model 0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0.61 (0.36; 1.03)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0.066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0.67 (0.39; 1.16)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0.154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0.92 (0.71; 1.20)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0.553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0.66 (0.38; 1.14)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0.139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 (0.42; 1.37)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0.360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 (0.74; 1.30)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0.887</w:t>
            </w:r>
          </w:p>
        </w:tc>
      </w:tr>
      <w:tr w:rsidR="00810036" w:rsidRPr="008829F2" w:rsidTr="007F1D90"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0.68 (0.39; 1.17)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0.163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 (0.43; 1.43)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0.423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(0.75; 1.32)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0.962</w:t>
            </w:r>
          </w:p>
        </w:tc>
      </w:tr>
      <w:tr w:rsidR="00810036" w:rsidRPr="008829F2" w:rsidTr="007F1D90">
        <w:trPr>
          <w:trHeight w:val="222"/>
        </w:trPr>
        <w:tc>
          <w:tcPr>
            <w:tcW w:w="2297" w:type="dxa"/>
          </w:tcPr>
          <w:p w:rsidR="00810036" w:rsidRPr="008829F2" w:rsidRDefault="00810036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</w:t>
            </w:r>
          </w:p>
        </w:tc>
        <w:tc>
          <w:tcPr>
            <w:tcW w:w="130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0.68 (0.39; 1.18)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0.167</w:t>
            </w:r>
          </w:p>
        </w:tc>
        <w:tc>
          <w:tcPr>
            <w:tcW w:w="1418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 (0.43; 1.44)</w:t>
            </w:r>
          </w:p>
        </w:tc>
        <w:tc>
          <w:tcPr>
            <w:tcW w:w="850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0.431</w:t>
            </w:r>
          </w:p>
        </w:tc>
        <w:tc>
          <w:tcPr>
            <w:tcW w:w="1701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(0.75; 1.32)</w:t>
            </w:r>
          </w:p>
        </w:tc>
        <w:tc>
          <w:tcPr>
            <w:tcW w:w="1134" w:type="dxa"/>
          </w:tcPr>
          <w:p w:rsidR="00810036" w:rsidRPr="008829F2" w:rsidRDefault="00810036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0.975</w:t>
            </w:r>
          </w:p>
        </w:tc>
      </w:tr>
    </w:tbl>
    <w:p w:rsidR="00810036" w:rsidRPr="006F5E78" w:rsidRDefault="00810036" w:rsidP="00810036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Data presented as adjusted hazard ratio (HR) and its 95% confidence interval (95% CI) by </w:t>
      </w:r>
      <w:r>
        <w:rPr>
          <w:rFonts w:cs="Times New Roman"/>
          <w:sz w:val="24"/>
          <w:szCs w:val="24"/>
        </w:rPr>
        <w:t>walking pace category</w:t>
      </w:r>
      <w:r w:rsidRPr="006F5E7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Slow walking pace was used as reference group for </w:t>
      </w:r>
      <w:proofErr w:type="gramStart"/>
      <w:r>
        <w:rPr>
          <w:rFonts w:cs="Times New Roman"/>
          <w:sz w:val="24"/>
          <w:szCs w:val="24"/>
        </w:rPr>
        <w:t>these analysis</w:t>
      </w:r>
      <w:proofErr w:type="gramEnd"/>
      <w:r>
        <w:rPr>
          <w:rFonts w:cs="Times New Roman"/>
          <w:sz w:val="24"/>
          <w:szCs w:val="24"/>
        </w:rPr>
        <w:t xml:space="preserve">. Trend hazard ratio indicate the change in the hazard per one category change in walking pace.  All analyses were conducted using a 2-years landmark analyses and by excluding participants with major diseases at baseline. </w:t>
      </w:r>
    </w:p>
    <w:p w:rsidR="00810036" w:rsidRPr="006F5E78" w:rsidRDefault="00810036" w:rsidP="00810036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1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 xml:space="preserve">month of recruitment, </w:t>
      </w:r>
      <w:r w:rsidRPr="006F5E78">
        <w:rPr>
          <w:rFonts w:cs="Times New Roman"/>
          <w:sz w:val="24"/>
          <w:szCs w:val="24"/>
        </w:rPr>
        <w:t>age, deprivation index</w:t>
      </w:r>
      <w:r>
        <w:rPr>
          <w:rFonts w:cs="Times New Roman"/>
          <w:sz w:val="24"/>
          <w:szCs w:val="24"/>
        </w:rPr>
        <w:t>, employment status</w:t>
      </w:r>
      <w:r w:rsidRPr="006F5E78">
        <w:rPr>
          <w:rFonts w:cs="Times New Roman"/>
          <w:sz w:val="24"/>
          <w:szCs w:val="24"/>
        </w:rPr>
        <w:t xml:space="preserve"> and ethnicity.  </w:t>
      </w:r>
    </w:p>
    <w:p w:rsidR="00810036" w:rsidRPr="006F5E78" w:rsidRDefault="00810036" w:rsidP="00810036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2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also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systolic blood pressure, medication for CVD, self-health rating and BMI categories.</w:t>
      </w:r>
    </w:p>
    <w:p w:rsidR="00810036" w:rsidRPr="006F5E78" w:rsidRDefault="00810036" w:rsidP="00810036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3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also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smoking, discretionary screen time, dietary intake (alcohol, red meat, processed meat, oily fish, processed meat and fruit and vegetables), handgrip strength and total physical activity</w:t>
      </w:r>
      <w:r w:rsidRPr="006F5E78">
        <w:rPr>
          <w:rFonts w:cs="Times New Roman"/>
          <w:sz w:val="24"/>
          <w:szCs w:val="24"/>
        </w:rPr>
        <w:t>.</w:t>
      </w:r>
    </w:p>
    <w:p w:rsidR="00810036" w:rsidRPr="006F5E78" w:rsidRDefault="00810036" w:rsidP="008100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0000E" w:rsidRDefault="0060000E"/>
    <w:sectPr w:rsidR="0060000E" w:rsidSect="008100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6"/>
    <w:rsid w:val="0060000E"/>
    <w:rsid w:val="00810036"/>
    <w:rsid w:val="00C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068C"/>
  <w15:chartTrackingRefBased/>
  <w15:docId w15:val="{D09C19B0-8A2A-476F-8242-1431148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F945-441B-41FB-8D46-A30B5D4B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5676764.dotm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Gray</dc:creator>
  <cp:keywords/>
  <dc:description/>
  <cp:lastModifiedBy>Stuart Gray</cp:lastModifiedBy>
  <cp:revision>2</cp:revision>
  <dcterms:created xsi:type="dcterms:W3CDTF">2018-09-13T08:36:00Z</dcterms:created>
  <dcterms:modified xsi:type="dcterms:W3CDTF">2018-09-13T08:52:00Z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http://www.zotero.org/styles/american-journal-of-epidemiology</vt:lpwstr>
  </property>
  <property fmtid="{D5CDD505-2E9C-101B-9397-08002B2CF9AE}" pid="3" name="Mendeley Recent Style Name 0_1">
    <vt:lpwstr>American Journal of Epidemiology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http://www.zotero.org/styles/bmc-public-health</vt:lpwstr>
  </property>
  <property fmtid="{D5CDD505-2E9C-101B-9397-08002B2CF9AE}" pid="7" name="Mendeley Recent Style Name 2_1">
    <vt:lpwstr>BMC Public Health</vt:lpwstr>
  </property>
  <property fmtid="{D5CDD505-2E9C-101B-9397-08002B2CF9AE}" pid="8" name="Mendeley Recent Style Id 3_1">
    <vt:lpwstr>http://www.zotero.org/styles/bmj</vt:lpwstr>
  </property>
  <property fmtid="{D5CDD505-2E9C-101B-9397-08002B2CF9AE}" pid="9" name="Mendeley Recent Style Name 3_1">
    <vt:lpwstr>BMJ</vt:lpwstr>
  </property>
  <property fmtid="{D5CDD505-2E9C-101B-9397-08002B2CF9AE}" pid="10" name="Mendeley Recent Style Id 4_1">
    <vt:lpwstr>http://www.zotero.org/styles/bone</vt:lpwstr>
  </property>
  <property fmtid="{D5CDD505-2E9C-101B-9397-08002B2CF9AE}" pid="11" name="Mendeley Recent Style Name 4_1">
    <vt:lpwstr>Bone</vt:lpwstr>
  </property>
  <property fmtid="{D5CDD505-2E9C-101B-9397-08002B2CF9AE}" pid="12" name="Mendeley Recent Style Id 5_1">
    <vt:lpwstr>http://www.zotero.org/styles/journal-of-bone-and-mineral-research</vt:lpwstr>
  </property>
  <property fmtid="{D5CDD505-2E9C-101B-9397-08002B2CF9AE}" pid="13" name="Mendeley Recent Style Name 5_1">
    <vt:lpwstr>Journal of Bone and Mineral Research</vt:lpwstr>
  </property>
  <property fmtid="{D5CDD505-2E9C-101B-9397-08002B2CF9AE}" pid="14" name="Mendeley Recent Style Id 6_1">
    <vt:lpwstr>http://www.zotero.org/styles/journal-of-sports-sciences</vt:lpwstr>
  </property>
  <property fmtid="{D5CDD505-2E9C-101B-9397-08002B2CF9AE}" pid="15" name="Mendeley Recent Style Name 6_1">
    <vt:lpwstr>Journal of Sports Sciences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http://www.zotero.org/styles/osteoporosis-international</vt:lpwstr>
  </property>
  <property fmtid="{D5CDD505-2E9C-101B-9397-08002B2CF9AE}" pid="19" name="Mendeley Recent Style Name 8_1">
    <vt:lpwstr>Osteoporosis International</vt:lpwstr>
  </property>
  <property fmtid="{D5CDD505-2E9C-101B-9397-08002B2CF9AE}" pid="20" name="Mendeley Recent Style Id 9_1">
    <vt:lpwstr>http://www.zotero.org/styles/the-american-journal-of-clinical-nutrition</vt:lpwstr>
  </property>
  <property fmtid="{D5CDD505-2E9C-101B-9397-08002B2CF9AE}" pid="21" name="Mendeley Recent Style Name 9_1">
    <vt:lpwstr>The American Journal of Clinical Nutrition</vt:lpwstr>
  </property>
</Properties>
</file>