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49D1C" w14:textId="77777777" w:rsidR="00BE086F" w:rsidRPr="00D97ECD" w:rsidRDefault="00BE086F" w:rsidP="00BE08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7ECD">
        <w:rPr>
          <w:rFonts w:ascii="Times New Roman" w:hAnsi="Times New Roman" w:cs="Times New Roman"/>
          <w:b/>
          <w:bCs/>
          <w:sz w:val="24"/>
          <w:szCs w:val="24"/>
          <w:lang w:val="en-US"/>
        </w:rPr>
        <w:t>(SDC3) Figure S1.</w:t>
      </w:r>
      <w:r w:rsidRPr="00D97ECD">
        <w:rPr>
          <w:rFonts w:ascii="Times New Roman" w:hAnsi="Times New Roman" w:cs="Times New Roman"/>
          <w:sz w:val="24"/>
          <w:szCs w:val="24"/>
          <w:lang w:val="en-US"/>
        </w:rPr>
        <w:t xml:space="preserve"> Individual risk of bias assessment at outcome level for A) muscle hypertrophy and B) muscle strength. Green circles, low risk; yellow circles, some concerns; red circles, high risk of bias.</w:t>
      </w:r>
    </w:p>
    <w:p w14:paraId="01DC1447" w14:textId="2D3E980F" w:rsidR="00B7555B" w:rsidRDefault="00BE086F"/>
    <w:p w14:paraId="555C2FB8" w14:textId="1A2E8CCE" w:rsidR="00BE086F" w:rsidRDefault="00BE086F"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6DC786E" wp14:editId="5304D346">
            <wp:extent cx="5400040" cy="4940935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6F"/>
    <w:rsid w:val="005F7D87"/>
    <w:rsid w:val="00BE086F"/>
    <w:rsid w:val="00D5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4818"/>
  <w15:chartTrackingRefBased/>
  <w15:docId w15:val="{2FE38B76-3509-4CDE-9FF0-77843D0F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86F"/>
    <w:pPr>
      <w:spacing w:after="200" w:line="27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Wilson</dc:creator>
  <cp:keywords/>
  <dc:description/>
  <cp:lastModifiedBy>Ken Wilson</cp:lastModifiedBy>
  <cp:revision>1</cp:revision>
  <dcterms:created xsi:type="dcterms:W3CDTF">2020-12-04T13:40:00Z</dcterms:created>
  <dcterms:modified xsi:type="dcterms:W3CDTF">2020-12-04T13:40:00Z</dcterms:modified>
</cp:coreProperties>
</file>