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8F" w:rsidRPr="00B73505" w:rsidRDefault="00E21A8F" w:rsidP="00E21A8F">
      <w:pPr>
        <w:pageBreakBefore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 Digital Content 8</w:t>
      </w:r>
      <w:r w:rsidRPr="00B73505">
        <w:rPr>
          <w:rFonts w:ascii="Times New Roman" w:hAnsi="Times New Roman" w:cs="Times New Roman"/>
          <w:b/>
          <w:sz w:val="24"/>
          <w:szCs w:val="24"/>
        </w:rPr>
        <w:t xml:space="preserve">. Hazard ratio for muscle injury according to the </w:t>
      </w:r>
      <w:r w:rsidRPr="00B73505">
        <w:rPr>
          <w:rFonts w:ascii="Times New Roman" w:hAnsi="Times New Roman" w:cs="Times New Roman"/>
          <w:b/>
          <w:i/>
          <w:sz w:val="24"/>
          <w:szCs w:val="24"/>
        </w:rPr>
        <w:t>COL1A1</w:t>
      </w:r>
      <w:r w:rsidRPr="00B73505">
        <w:rPr>
          <w:rFonts w:ascii="Times New Roman" w:hAnsi="Times New Roman" w:cs="Times New Roman"/>
          <w:b/>
          <w:sz w:val="24"/>
          <w:szCs w:val="24"/>
        </w:rPr>
        <w:t xml:space="preserve"> rs1107946 genotypes in female athletes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5"/>
        <w:gridCol w:w="2835"/>
        <w:gridCol w:w="2020"/>
      </w:tblGrid>
      <w:tr w:rsidR="00E21A8F" w:rsidRPr="00B73505" w:rsidTr="009F3966">
        <w:trPr>
          <w:trHeight w:val="379"/>
        </w:trPr>
        <w:tc>
          <w:tcPr>
            <w:tcW w:w="5387" w:type="dxa"/>
            <w:tcBorders>
              <w:top w:val="single" w:sz="4" w:space="0" w:color="auto"/>
            </w:tcBorders>
          </w:tcPr>
          <w:p w:rsidR="00E21A8F" w:rsidRPr="00B73505" w:rsidRDefault="00E21A8F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rs1107946 genotype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E21A8F" w:rsidRPr="00B73505" w:rsidTr="009F3966">
        <w:trPr>
          <w:trHeight w:val="363"/>
        </w:trPr>
        <w:tc>
          <w:tcPr>
            <w:tcW w:w="5387" w:type="dxa"/>
            <w:tcBorders>
              <w:bottom w:val="single" w:sz="4" w:space="0" w:color="auto"/>
            </w:tcBorders>
          </w:tcPr>
          <w:p w:rsidR="00E21A8F" w:rsidRPr="00B73505" w:rsidRDefault="00E21A8F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AA (n = 22)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CC+AC (n = 99)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8F" w:rsidRPr="00B73505" w:rsidTr="009F3966">
        <w:trPr>
          <w:trHeight w:val="379"/>
        </w:trPr>
        <w:tc>
          <w:tcPr>
            <w:tcW w:w="5387" w:type="dxa"/>
            <w:tcBorders>
              <w:top w:val="single" w:sz="4" w:space="0" w:color="auto"/>
            </w:tcBorders>
          </w:tcPr>
          <w:p w:rsidR="00E21A8F" w:rsidRPr="00B73505" w:rsidRDefault="00E21A8F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Training-exposure hours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1226 ± 600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1224 ± 665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8F" w:rsidRPr="00B73505" w:rsidTr="009F3966">
        <w:trPr>
          <w:trHeight w:val="379"/>
        </w:trPr>
        <w:tc>
          <w:tcPr>
            <w:tcW w:w="5387" w:type="dxa"/>
          </w:tcPr>
          <w:p w:rsidR="00E21A8F" w:rsidRPr="00B73505" w:rsidRDefault="00E21A8F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Player-hours of training-exposure</w:t>
            </w:r>
          </w:p>
        </w:tc>
        <w:tc>
          <w:tcPr>
            <w:tcW w:w="2835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26,980</w:t>
            </w:r>
          </w:p>
        </w:tc>
        <w:tc>
          <w:tcPr>
            <w:tcW w:w="2835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121,193</w:t>
            </w:r>
          </w:p>
        </w:tc>
        <w:tc>
          <w:tcPr>
            <w:tcW w:w="2020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8F" w:rsidRPr="00B73505" w:rsidTr="009F3966">
        <w:trPr>
          <w:trHeight w:val="379"/>
        </w:trPr>
        <w:tc>
          <w:tcPr>
            <w:tcW w:w="5387" w:type="dxa"/>
          </w:tcPr>
          <w:p w:rsidR="00E21A8F" w:rsidRPr="00B73505" w:rsidRDefault="00E21A8F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Incidence of muscle injury, n (%)</w:t>
            </w:r>
          </w:p>
        </w:tc>
        <w:tc>
          <w:tcPr>
            <w:tcW w:w="2835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4 (18.2)</w:t>
            </w:r>
          </w:p>
        </w:tc>
        <w:tc>
          <w:tcPr>
            <w:tcW w:w="2835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7 (7.1)</w:t>
            </w:r>
          </w:p>
        </w:tc>
        <w:tc>
          <w:tcPr>
            <w:tcW w:w="2020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E21A8F" w:rsidRPr="00B73505" w:rsidTr="009F3966">
        <w:trPr>
          <w:trHeight w:val="379"/>
        </w:trPr>
        <w:tc>
          <w:tcPr>
            <w:tcW w:w="5387" w:type="dxa"/>
          </w:tcPr>
          <w:p w:rsidR="00E21A8F" w:rsidRPr="00B73505" w:rsidRDefault="00E21A8F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Incidence per 1,000 player-hours</w:t>
            </w:r>
          </w:p>
        </w:tc>
        <w:tc>
          <w:tcPr>
            <w:tcW w:w="2835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835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020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8F" w:rsidRPr="00B73505" w:rsidTr="009F3966">
        <w:trPr>
          <w:trHeight w:val="379"/>
        </w:trPr>
        <w:tc>
          <w:tcPr>
            <w:tcW w:w="5387" w:type="dxa"/>
          </w:tcPr>
          <w:p w:rsidR="00E21A8F" w:rsidRPr="00B73505" w:rsidRDefault="00E21A8F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Unadjusted hazard ratio (95% CI)</w:t>
            </w:r>
          </w:p>
        </w:tc>
        <w:tc>
          <w:tcPr>
            <w:tcW w:w="2835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2835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0.36 (0.11–1.25)</w:t>
            </w:r>
          </w:p>
        </w:tc>
        <w:tc>
          <w:tcPr>
            <w:tcW w:w="2020" w:type="dxa"/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0.107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E21A8F" w:rsidRPr="00B73505" w:rsidTr="009F3966">
        <w:trPr>
          <w:trHeight w:val="379"/>
        </w:trPr>
        <w:tc>
          <w:tcPr>
            <w:tcW w:w="5387" w:type="dxa"/>
            <w:tcBorders>
              <w:bottom w:val="single" w:sz="4" w:space="0" w:color="auto"/>
            </w:tcBorders>
          </w:tcPr>
          <w:p w:rsidR="00E21A8F" w:rsidRPr="00B73505" w:rsidRDefault="00E21A8F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Multivariable adjusted hazard ratio* (95% CI)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1.00 (Reference)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0.27 (0.08–0.96)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21A8F" w:rsidRPr="00B73505" w:rsidRDefault="00E21A8F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0.043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:rsidR="00DA243E" w:rsidRPr="00E21A8F" w:rsidRDefault="00E21A8F" w:rsidP="00E21A8F">
      <w:r w:rsidRPr="00B73505">
        <w:rPr>
          <w:rFonts w:ascii="Times New Roman" w:hAnsi="Times New Roman" w:cs="Times New Roman"/>
          <w:sz w:val="24"/>
          <w:szCs w:val="24"/>
        </w:rPr>
        <w:t xml:space="preserve">*Adjusted by main sport (track &amp; field or other). CI, confidence interval. Bold emphasis: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 xml:space="preserve"> &lt; 0.05. </w:t>
      </w:r>
      <w:proofErr w:type="gramStart"/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 xml:space="preserve">-value by the </w:t>
      </w:r>
      <w:r>
        <w:rPr>
          <w:rFonts w:ascii="Times New Roman" w:hAnsi="Times New Roman" w:cs="Times New Roman"/>
          <w:sz w:val="24"/>
          <w:szCs w:val="24"/>
        </w:rPr>
        <w:t xml:space="preserve">Fisher’s exact </w:t>
      </w:r>
      <w:r w:rsidRPr="00B73505">
        <w:rPr>
          <w:rFonts w:ascii="Times New Roman" w:hAnsi="Times New Roman" w:cs="Times New Roman"/>
          <w:sz w:val="24"/>
          <w:szCs w:val="24"/>
        </w:rPr>
        <w:t xml:space="preserve">test, </w:t>
      </w:r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>-value by the Cox proportional hazards model.</w:t>
      </w:r>
    </w:p>
    <w:sectPr w:rsidR="00DA243E" w:rsidRPr="00E21A8F" w:rsidSect="004A433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2"/>
    <w:rsid w:val="0003624B"/>
    <w:rsid w:val="004A4335"/>
    <w:rsid w:val="00706432"/>
    <w:rsid w:val="00DA243E"/>
    <w:rsid w:val="00E21A8F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12833"/>
  <w15:chartTrackingRefBased/>
  <w15:docId w15:val="{89E7ABAE-F113-45DF-BAE5-E340704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3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2</cp:revision>
  <dcterms:created xsi:type="dcterms:W3CDTF">2021-02-22T00:06:00Z</dcterms:created>
  <dcterms:modified xsi:type="dcterms:W3CDTF">2021-02-22T00:06:00Z</dcterms:modified>
</cp:coreProperties>
</file>