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00166" w14:textId="32088B6E" w:rsidR="00914500" w:rsidRPr="00933E29" w:rsidRDefault="00914500" w:rsidP="00914500">
      <w:pPr>
        <w:jc w:val="center"/>
        <w:rPr>
          <w:rFonts w:ascii="Arial" w:eastAsia="Calibri" w:hAnsi="Arial" w:cs="Arial"/>
          <w:b/>
          <w:sz w:val="32"/>
          <w:szCs w:val="24"/>
        </w:rPr>
      </w:pPr>
      <w:bookmarkStart w:id="0" w:name="_GoBack"/>
      <w:r w:rsidRPr="00933E29">
        <w:rPr>
          <w:rFonts w:ascii="Arial" w:eastAsia="Calibri" w:hAnsi="Arial" w:cs="Arial"/>
          <w:b/>
          <w:sz w:val="32"/>
          <w:szCs w:val="24"/>
        </w:rPr>
        <w:t>HERITAGE Family Study Review Paper</w:t>
      </w:r>
    </w:p>
    <w:p w14:paraId="50A298EB" w14:textId="725DBA25" w:rsidR="00914500" w:rsidRDefault="00914500" w:rsidP="00914500">
      <w:pPr>
        <w:jc w:val="center"/>
        <w:rPr>
          <w:rFonts w:ascii="Arial" w:eastAsia="Calibri" w:hAnsi="Arial" w:cs="Arial"/>
          <w:b/>
          <w:sz w:val="32"/>
          <w:szCs w:val="24"/>
        </w:rPr>
      </w:pPr>
      <w:r w:rsidRPr="00933E29">
        <w:rPr>
          <w:rFonts w:ascii="Arial" w:eastAsia="Calibri" w:hAnsi="Arial" w:cs="Arial"/>
          <w:b/>
          <w:sz w:val="32"/>
          <w:szCs w:val="24"/>
        </w:rPr>
        <w:t xml:space="preserve">Supplementary </w:t>
      </w:r>
      <w:r w:rsidR="009860F3" w:rsidRPr="00933E29">
        <w:rPr>
          <w:rFonts w:ascii="Arial" w:eastAsia="Calibri" w:hAnsi="Arial" w:cs="Arial"/>
          <w:b/>
          <w:sz w:val="32"/>
          <w:szCs w:val="24"/>
        </w:rPr>
        <w:t>Tables</w:t>
      </w:r>
    </w:p>
    <w:bookmarkEnd w:id="0"/>
    <w:p w14:paraId="41206FE8" w14:textId="77777777" w:rsidR="0082563E" w:rsidRPr="004907E9" w:rsidRDefault="0082563E" w:rsidP="00914500">
      <w:pPr>
        <w:jc w:val="center"/>
        <w:rPr>
          <w:rFonts w:ascii="Arial" w:eastAsia="Calibri" w:hAnsi="Arial" w:cs="Arial"/>
          <w:b/>
          <w:sz w:val="32"/>
          <w:szCs w:val="24"/>
        </w:rPr>
      </w:pPr>
    </w:p>
    <w:p w14:paraId="08D15ABF" w14:textId="77777777" w:rsidR="00914500" w:rsidRPr="004907E9" w:rsidRDefault="00914500" w:rsidP="00914500">
      <w:pPr>
        <w:rPr>
          <w:rFonts w:ascii="Arial" w:eastAsia="Calibri" w:hAnsi="Arial" w:cs="Arial"/>
          <w:b/>
          <w:sz w:val="24"/>
          <w:szCs w:val="24"/>
        </w:rPr>
      </w:pPr>
    </w:p>
    <w:p w14:paraId="62931006" w14:textId="77777777" w:rsidR="00914500" w:rsidRPr="004907E9" w:rsidRDefault="00914500" w:rsidP="00914500">
      <w:pPr>
        <w:rPr>
          <w:rFonts w:ascii="Arial" w:eastAsia="Calibri" w:hAnsi="Arial" w:cs="Arial"/>
          <w:b/>
          <w:sz w:val="24"/>
          <w:szCs w:val="24"/>
        </w:rPr>
      </w:pPr>
      <w:r w:rsidRPr="00933E29">
        <w:rPr>
          <w:rFonts w:ascii="Arial" w:eastAsia="Calibri" w:hAnsi="Arial" w:cs="Arial"/>
          <w:b/>
          <w:sz w:val="24"/>
          <w:szCs w:val="24"/>
        </w:rPr>
        <w:t>Supplementary Table S1.</w:t>
      </w:r>
      <w:r w:rsidRPr="004907E9">
        <w:rPr>
          <w:rFonts w:ascii="Arial" w:eastAsia="Calibri" w:hAnsi="Arial" w:cs="Arial"/>
          <w:b/>
          <w:sz w:val="24"/>
          <w:szCs w:val="24"/>
        </w:rPr>
        <w:t xml:space="preserve"> HERITAGE Consortium Steering Committee</w:t>
      </w:r>
    </w:p>
    <w:p w14:paraId="3EDAB0B0" w14:textId="77777777" w:rsidR="00914500" w:rsidRPr="004907E9" w:rsidRDefault="00914500" w:rsidP="00914500">
      <w:pPr>
        <w:rPr>
          <w:rFonts w:ascii="Arial" w:eastAsia="Calibri" w:hAnsi="Arial" w:cs="Arial"/>
          <w:sz w:val="24"/>
          <w:szCs w:val="24"/>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480"/>
      </w:tblGrid>
      <w:tr w:rsidR="00914500" w:rsidRPr="004907E9" w14:paraId="25C4B2AA" w14:textId="77777777" w:rsidTr="001F1DAF">
        <w:tc>
          <w:tcPr>
            <w:tcW w:w="3415" w:type="dxa"/>
          </w:tcPr>
          <w:p w14:paraId="66B9291A" w14:textId="77777777" w:rsidR="00914500" w:rsidRPr="004907E9" w:rsidRDefault="00914500" w:rsidP="001F1DAF">
            <w:pPr>
              <w:rPr>
                <w:rFonts w:ascii="Arial" w:eastAsia="Calibri" w:hAnsi="Arial" w:cs="Arial"/>
                <w:i/>
                <w:sz w:val="24"/>
                <w:szCs w:val="24"/>
              </w:rPr>
            </w:pPr>
            <w:r w:rsidRPr="004907E9">
              <w:rPr>
                <w:rFonts w:ascii="Arial" w:eastAsia="Calibri" w:hAnsi="Arial" w:cs="Arial"/>
                <w:sz w:val="24"/>
                <w:szCs w:val="24"/>
              </w:rPr>
              <w:t xml:space="preserve">Claude Bouchard, PhD; </w:t>
            </w:r>
            <w:r w:rsidRPr="004907E9">
              <w:rPr>
                <w:rFonts w:ascii="Arial" w:eastAsia="Calibri" w:hAnsi="Arial" w:cs="Arial"/>
                <w:i/>
                <w:sz w:val="24"/>
                <w:szCs w:val="24"/>
              </w:rPr>
              <w:t>Chairperson</w:t>
            </w:r>
          </w:p>
          <w:p w14:paraId="686AAA20" w14:textId="77777777" w:rsidR="00914500" w:rsidRPr="004907E9" w:rsidRDefault="00914500" w:rsidP="001F1DAF">
            <w:pPr>
              <w:rPr>
                <w:rFonts w:ascii="Arial" w:eastAsia="Calibri" w:hAnsi="Arial" w:cs="Arial"/>
                <w:sz w:val="24"/>
                <w:szCs w:val="24"/>
              </w:rPr>
            </w:pPr>
          </w:p>
        </w:tc>
        <w:tc>
          <w:tcPr>
            <w:tcW w:w="6480" w:type="dxa"/>
          </w:tcPr>
          <w:p w14:paraId="5F0D8C1A" w14:textId="7C0E21F6"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Laval University</w:t>
            </w:r>
            <w:r w:rsidR="0082563E">
              <w:rPr>
                <w:rFonts w:ascii="Arial" w:eastAsia="Calibri" w:hAnsi="Arial" w:cs="Arial"/>
                <w:sz w:val="24"/>
                <w:szCs w:val="24"/>
              </w:rPr>
              <w:t xml:space="preserve"> </w:t>
            </w:r>
            <w:r w:rsidRPr="004907E9">
              <w:rPr>
                <w:rFonts w:ascii="Arial" w:eastAsia="Calibri" w:hAnsi="Arial" w:cs="Arial"/>
                <w:sz w:val="24"/>
                <w:szCs w:val="24"/>
              </w:rPr>
              <w:t>(until 1999); later Pennington Biomedical Research Center</w:t>
            </w:r>
          </w:p>
        </w:tc>
      </w:tr>
      <w:tr w:rsidR="00914500" w:rsidRPr="004907E9" w14:paraId="07A8DE66" w14:textId="77777777" w:rsidTr="001F1DAF">
        <w:tc>
          <w:tcPr>
            <w:tcW w:w="3415" w:type="dxa"/>
          </w:tcPr>
          <w:p w14:paraId="0606E8D8" w14:textId="77777777" w:rsidR="00914500" w:rsidRPr="00FB46AE" w:rsidRDefault="00914500" w:rsidP="001F1DAF">
            <w:pPr>
              <w:rPr>
                <w:rFonts w:ascii="Arial" w:eastAsia="Calibri" w:hAnsi="Arial" w:cs="Arial"/>
                <w:sz w:val="24"/>
                <w:szCs w:val="24"/>
                <w:lang w:val="fr-CA"/>
              </w:rPr>
            </w:pPr>
            <w:r w:rsidRPr="00FB46AE">
              <w:rPr>
                <w:rFonts w:ascii="Arial" w:eastAsia="Calibri" w:hAnsi="Arial" w:cs="Arial"/>
                <w:sz w:val="24"/>
                <w:szCs w:val="24"/>
                <w:lang w:val="fr-CA"/>
              </w:rPr>
              <w:t>Jacques Gagnon, PhD;</w:t>
            </w:r>
          </w:p>
          <w:p w14:paraId="521F6C14" w14:textId="1428D12E" w:rsidR="00914500" w:rsidRPr="00FB46AE" w:rsidRDefault="00914500" w:rsidP="001F1DAF">
            <w:pPr>
              <w:rPr>
                <w:rFonts w:ascii="Arial" w:eastAsia="Calibri" w:hAnsi="Arial" w:cs="Arial"/>
                <w:sz w:val="24"/>
                <w:szCs w:val="24"/>
                <w:lang w:val="fr-CA"/>
              </w:rPr>
            </w:pPr>
            <w:r w:rsidRPr="00FB46AE">
              <w:rPr>
                <w:rFonts w:ascii="Arial" w:eastAsia="Calibri" w:hAnsi="Arial" w:cs="Arial"/>
                <w:i/>
                <w:sz w:val="24"/>
                <w:szCs w:val="24"/>
                <w:lang w:val="fr-CA"/>
              </w:rPr>
              <w:t xml:space="preserve">Project </w:t>
            </w:r>
            <w:proofErr w:type="spellStart"/>
            <w:r w:rsidRPr="00FB46AE">
              <w:rPr>
                <w:rFonts w:ascii="Arial" w:eastAsia="Calibri" w:hAnsi="Arial" w:cs="Arial"/>
                <w:i/>
                <w:sz w:val="24"/>
                <w:szCs w:val="24"/>
                <w:lang w:val="fr-CA"/>
              </w:rPr>
              <w:t>Director</w:t>
            </w:r>
            <w:proofErr w:type="spellEnd"/>
            <w:r w:rsidRPr="00FB46AE">
              <w:rPr>
                <w:rFonts w:ascii="Arial" w:eastAsia="Calibri" w:hAnsi="Arial" w:cs="Arial"/>
                <w:sz w:val="24"/>
                <w:szCs w:val="24"/>
                <w:lang w:val="fr-CA"/>
              </w:rPr>
              <w:t xml:space="preserve"> (1992-</w:t>
            </w:r>
            <w:r w:rsidR="00B70DFD">
              <w:rPr>
                <w:rFonts w:ascii="Arial" w:eastAsia="Calibri" w:hAnsi="Arial" w:cs="Arial"/>
                <w:sz w:val="24"/>
                <w:szCs w:val="24"/>
                <w:lang w:val="fr-CA"/>
              </w:rPr>
              <w:t>1999</w:t>
            </w:r>
            <w:r w:rsidRPr="00FB46AE">
              <w:rPr>
                <w:rFonts w:ascii="Arial" w:eastAsia="Calibri" w:hAnsi="Arial" w:cs="Arial"/>
                <w:sz w:val="24"/>
                <w:szCs w:val="24"/>
                <w:lang w:val="fr-CA"/>
              </w:rPr>
              <w:t>)</w:t>
            </w:r>
          </w:p>
          <w:p w14:paraId="1A820B4B" w14:textId="77777777" w:rsidR="00914500" w:rsidRPr="00FB46AE" w:rsidRDefault="00914500" w:rsidP="001F1DAF">
            <w:pPr>
              <w:rPr>
                <w:rFonts w:ascii="Arial" w:eastAsia="Calibri" w:hAnsi="Arial" w:cs="Arial"/>
                <w:sz w:val="24"/>
                <w:szCs w:val="24"/>
                <w:lang w:val="fr-CA"/>
              </w:rPr>
            </w:pPr>
          </w:p>
        </w:tc>
        <w:tc>
          <w:tcPr>
            <w:tcW w:w="6480" w:type="dxa"/>
          </w:tcPr>
          <w:p w14:paraId="09F7EF6D"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Laval University</w:t>
            </w:r>
          </w:p>
        </w:tc>
      </w:tr>
      <w:tr w:rsidR="00914500" w:rsidRPr="004907E9" w14:paraId="229CA091" w14:textId="77777777" w:rsidTr="001F1DAF">
        <w:tc>
          <w:tcPr>
            <w:tcW w:w="3415" w:type="dxa"/>
          </w:tcPr>
          <w:p w14:paraId="7468B290" w14:textId="77777777" w:rsidR="00914500" w:rsidRPr="00FB46AE" w:rsidRDefault="00914500" w:rsidP="001F1DAF">
            <w:pPr>
              <w:rPr>
                <w:rFonts w:ascii="Arial" w:eastAsia="Calibri" w:hAnsi="Arial" w:cs="Arial"/>
                <w:sz w:val="24"/>
                <w:szCs w:val="24"/>
                <w:lang w:val="fr-CA"/>
              </w:rPr>
            </w:pPr>
            <w:r w:rsidRPr="00FB46AE">
              <w:rPr>
                <w:rFonts w:ascii="Arial" w:eastAsia="Calibri" w:hAnsi="Arial" w:cs="Arial"/>
                <w:sz w:val="24"/>
                <w:szCs w:val="24"/>
                <w:lang w:val="fr-CA"/>
              </w:rPr>
              <w:t>Jean Paul Albert, MBA;</w:t>
            </w:r>
          </w:p>
          <w:p w14:paraId="6F973166" w14:textId="77777777" w:rsidR="00914500" w:rsidRPr="00FB46AE" w:rsidRDefault="00914500" w:rsidP="001F1DAF">
            <w:pPr>
              <w:rPr>
                <w:rFonts w:ascii="Arial" w:eastAsia="Calibri" w:hAnsi="Arial" w:cs="Arial"/>
                <w:sz w:val="24"/>
                <w:szCs w:val="24"/>
                <w:lang w:val="fr-CA"/>
              </w:rPr>
            </w:pPr>
            <w:proofErr w:type="spellStart"/>
            <w:r w:rsidRPr="00FB46AE">
              <w:rPr>
                <w:rFonts w:ascii="Arial" w:eastAsia="Calibri" w:hAnsi="Arial" w:cs="Arial"/>
                <w:i/>
                <w:sz w:val="24"/>
                <w:szCs w:val="24"/>
                <w:lang w:val="fr-CA"/>
              </w:rPr>
              <w:t>Administrator</w:t>
            </w:r>
            <w:proofErr w:type="spellEnd"/>
            <w:r w:rsidRPr="00FB46AE">
              <w:rPr>
                <w:rFonts w:ascii="Arial" w:eastAsia="Calibri" w:hAnsi="Arial" w:cs="Arial"/>
                <w:sz w:val="24"/>
                <w:szCs w:val="24"/>
                <w:lang w:val="fr-CA"/>
              </w:rPr>
              <w:t xml:space="preserve"> (1992-1999)</w:t>
            </w:r>
          </w:p>
          <w:p w14:paraId="54FF01C1" w14:textId="77777777" w:rsidR="00914500" w:rsidRDefault="00914500" w:rsidP="001F1DAF">
            <w:pPr>
              <w:rPr>
                <w:rFonts w:ascii="Arial" w:eastAsia="Calibri" w:hAnsi="Arial" w:cs="Arial"/>
                <w:sz w:val="24"/>
                <w:szCs w:val="24"/>
                <w:lang w:val="fr-CA"/>
              </w:rPr>
            </w:pPr>
          </w:p>
          <w:p w14:paraId="21F8E86F" w14:textId="77777777" w:rsidR="0082563E" w:rsidRPr="0082563E" w:rsidRDefault="0082563E" w:rsidP="001F1DAF">
            <w:pPr>
              <w:rPr>
                <w:rFonts w:ascii="Arial" w:eastAsia="Calibri" w:hAnsi="Arial" w:cs="Arial"/>
                <w:sz w:val="24"/>
                <w:szCs w:val="24"/>
              </w:rPr>
            </w:pPr>
            <w:r w:rsidRPr="0082563E">
              <w:rPr>
                <w:rFonts w:ascii="Arial" w:eastAsia="Calibri" w:hAnsi="Arial" w:cs="Arial"/>
                <w:sz w:val="24"/>
                <w:szCs w:val="24"/>
              </w:rPr>
              <w:t>Tuomo Rankinen, PhD;</w:t>
            </w:r>
          </w:p>
          <w:p w14:paraId="73FD0269" w14:textId="5AB04B7D" w:rsidR="0082563E" w:rsidRPr="0082563E" w:rsidRDefault="0082563E" w:rsidP="001F1DAF">
            <w:pPr>
              <w:rPr>
                <w:rFonts w:ascii="Arial" w:eastAsia="Calibri" w:hAnsi="Arial" w:cs="Arial"/>
                <w:sz w:val="24"/>
                <w:szCs w:val="24"/>
              </w:rPr>
            </w:pPr>
            <w:r w:rsidRPr="0082563E">
              <w:rPr>
                <w:rFonts w:ascii="Arial" w:eastAsia="Calibri" w:hAnsi="Arial" w:cs="Arial"/>
                <w:i/>
                <w:iCs/>
                <w:sz w:val="24"/>
                <w:szCs w:val="24"/>
              </w:rPr>
              <w:t>Project Director</w:t>
            </w:r>
            <w:r w:rsidRPr="0082563E">
              <w:rPr>
                <w:rFonts w:ascii="Arial" w:eastAsia="Calibri" w:hAnsi="Arial" w:cs="Arial"/>
                <w:sz w:val="24"/>
                <w:szCs w:val="24"/>
              </w:rPr>
              <w:t xml:space="preserve"> (1999-2012)</w:t>
            </w:r>
          </w:p>
          <w:p w14:paraId="164F1643" w14:textId="64B0F6E8" w:rsidR="0082563E" w:rsidRPr="0082563E" w:rsidRDefault="0082563E" w:rsidP="001F1DAF">
            <w:pPr>
              <w:rPr>
                <w:rFonts w:ascii="Arial" w:eastAsia="Calibri" w:hAnsi="Arial" w:cs="Arial"/>
                <w:sz w:val="24"/>
                <w:szCs w:val="24"/>
              </w:rPr>
            </w:pPr>
          </w:p>
        </w:tc>
        <w:tc>
          <w:tcPr>
            <w:tcW w:w="6480" w:type="dxa"/>
          </w:tcPr>
          <w:p w14:paraId="6FC7A9CB" w14:textId="77777777" w:rsidR="00914500" w:rsidRDefault="00914500" w:rsidP="001F1DAF">
            <w:pPr>
              <w:rPr>
                <w:rFonts w:ascii="Arial" w:eastAsia="Calibri" w:hAnsi="Arial" w:cs="Arial"/>
                <w:sz w:val="24"/>
                <w:szCs w:val="24"/>
              </w:rPr>
            </w:pPr>
            <w:r w:rsidRPr="004907E9">
              <w:rPr>
                <w:rFonts w:ascii="Arial" w:eastAsia="Calibri" w:hAnsi="Arial" w:cs="Arial"/>
                <w:sz w:val="24"/>
                <w:szCs w:val="24"/>
              </w:rPr>
              <w:t>Laval University</w:t>
            </w:r>
          </w:p>
          <w:p w14:paraId="2E00106C" w14:textId="77777777" w:rsidR="0082563E" w:rsidRDefault="0082563E" w:rsidP="001F1DAF">
            <w:pPr>
              <w:rPr>
                <w:rFonts w:ascii="Arial" w:eastAsia="Calibri" w:hAnsi="Arial" w:cs="Arial"/>
                <w:sz w:val="24"/>
                <w:szCs w:val="24"/>
              </w:rPr>
            </w:pPr>
          </w:p>
          <w:p w14:paraId="5CC8EB57" w14:textId="77777777" w:rsidR="0082563E" w:rsidRDefault="0082563E" w:rsidP="001F1DAF">
            <w:pPr>
              <w:rPr>
                <w:rFonts w:ascii="Arial" w:eastAsia="Calibri" w:hAnsi="Arial" w:cs="Arial"/>
                <w:sz w:val="24"/>
                <w:szCs w:val="24"/>
              </w:rPr>
            </w:pPr>
          </w:p>
          <w:p w14:paraId="7315B3B8" w14:textId="72634091" w:rsidR="0082563E" w:rsidRPr="004907E9" w:rsidRDefault="0082563E" w:rsidP="001F1DAF">
            <w:pPr>
              <w:rPr>
                <w:rFonts w:ascii="Arial" w:eastAsia="Calibri" w:hAnsi="Arial" w:cs="Arial"/>
                <w:sz w:val="24"/>
                <w:szCs w:val="24"/>
              </w:rPr>
            </w:pPr>
            <w:r>
              <w:rPr>
                <w:rFonts w:ascii="Arial" w:eastAsia="Calibri" w:hAnsi="Arial" w:cs="Arial"/>
                <w:sz w:val="24"/>
                <w:szCs w:val="24"/>
              </w:rPr>
              <w:t>Pennington Biomedical Research Center</w:t>
            </w:r>
          </w:p>
        </w:tc>
      </w:tr>
      <w:tr w:rsidR="00914500" w:rsidRPr="004907E9" w14:paraId="12F077BF" w14:textId="77777777" w:rsidTr="001F1DAF">
        <w:tc>
          <w:tcPr>
            <w:tcW w:w="3415" w:type="dxa"/>
          </w:tcPr>
          <w:p w14:paraId="6DC8A4ED"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Arthur S. Leon, MD</w:t>
            </w:r>
          </w:p>
          <w:p w14:paraId="456C1886" w14:textId="77777777" w:rsidR="00914500" w:rsidRPr="004907E9" w:rsidRDefault="00914500" w:rsidP="001F1DAF">
            <w:pPr>
              <w:rPr>
                <w:rFonts w:ascii="Arial" w:eastAsia="Calibri" w:hAnsi="Arial" w:cs="Arial"/>
                <w:sz w:val="24"/>
                <w:szCs w:val="24"/>
              </w:rPr>
            </w:pPr>
          </w:p>
        </w:tc>
        <w:tc>
          <w:tcPr>
            <w:tcW w:w="6480" w:type="dxa"/>
          </w:tcPr>
          <w:p w14:paraId="5EF5B368"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University of Minnesota</w:t>
            </w:r>
          </w:p>
        </w:tc>
      </w:tr>
      <w:tr w:rsidR="00914500" w:rsidRPr="004907E9" w14:paraId="452BBE0B" w14:textId="77777777" w:rsidTr="001F1DAF">
        <w:tc>
          <w:tcPr>
            <w:tcW w:w="3415" w:type="dxa"/>
          </w:tcPr>
          <w:p w14:paraId="2E2EA17F"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D. C. Rao, PhD</w:t>
            </w:r>
          </w:p>
          <w:p w14:paraId="4DF64713" w14:textId="77777777" w:rsidR="00914500" w:rsidRPr="004907E9" w:rsidRDefault="00914500" w:rsidP="001F1DAF">
            <w:pPr>
              <w:rPr>
                <w:rFonts w:ascii="Arial" w:eastAsia="Calibri" w:hAnsi="Arial" w:cs="Arial"/>
                <w:sz w:val="24"/>
                <w:szCs w:val="24"/>
              </w:rPr>
            </w:pPr>
          </w:p>
        </w:tc>
        <w:tc>
          <w:tcPr>
            <w:tcW w:w="6480" w:type="dxa"/>
          </w:tcPr>
          <w:p w14:paraId="7C1177BE"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Washington University</w:t>
            </w:r>
          </w:p>
        </w:tc>
      </w:tr>
      <w:tr w:rsidR="00914500" w:rsidRPr="004907E9" w14:paraId="2DAC9DDF" w14:textId="77777777" w:rsidTr="001F1DAF">
        <w:tc>
          <w:tcPr>
            <w:tcW w:w="3415" w:type="dxa"/>
          </w:tcPr>
          <w:p w14:paraId="3A2675F3"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James S. Skinner, PhD</w:t>
            </w:r>
          </w:p>
          <w:p w14:paraId="7087CFD4" w14:textId="77777777" w:rsidR="00914500" w:rsidRPr="004907E9" w:rsidRDefault="00914500" w:rsidP="001F1DAF">
            <w:pPr>
              <w:rPr>
                <w:rFonts w:ascii="Arial" w:eastAsia="Calibri" w:hAnsi="Arial" w:cs="Arial"/>
                <w:sz w:val="24"/>
                <w:szCs w:val="24"/>
              </w:rPr>
            </w:pPr>
          </w:p>
        </w:tc>
        <w:tc>
          <w:tcPr>
            <w:tcW w:w="6480" w:type="dxa"/>
          </w:tcPr>
          <w:p w14:paraId="15B370FB" w14:textId="77777777" w:rsidR="00914500" w:rsidRDefault="00914500" w:rsidP="001F1DAF">
            <w:pPr>
              <w:rPr>
                <w:rFonts w:ascii="Arial" w:eastAsia="Calibri" w:hAnsi="Arial" w:cs="Arial"/>
                <w:sz w:val="24"/>
                <w:szCs w:val="24"/>
              </w:rPr>
            </w:pPr>
            <w:r w:rsidRPr="004907E9">
              <w:rPr>
                <w:rFonts w:ascii="Arial" w:eastAsia="Calibri" w:hAnsi="Arial" w:cs="Arial"/>
                <w:sz w:val="24"/>
                <w:szCs w:val="24"/>
              </w:rPr>
              <w:t>Arizona State University</w:t>
            </w:r>
            <w:r w:rsidR="0082563E">
              <w:rPr>
                <w:rFonts w:ascii="Arial" w:eastAsia="Calibri" w:hAnsi="Arial" w:cs="Arial"/>
                <w:sz w:val="24"/>
                <w:szCs w:val="24"/>
              </w:rPr>
              <w:t xml:space="preserve"> </w:t>
            </w:r>
            <w:r w:rsidRPr="004907E9">
              <w:rPr>
                <w:rFonts w:ascii="Arial" w:eastAsia="Calibri" w:hAnsi="Arial" w:cs="Arial"/>
                <w:sz w:val="24"/>
                <w:szCs w:val="24"/>
              </w:rPr>
              <w:t>(until 1995); Indiana University (1996+)</w:t>
            </w:r>
          </w:p>
          <w:p w14:paraId="253CEF14" w14:textId="12D5232F" w:rsidR="0082563E" w:rsidRPr="004907E9" w:rsidRDefault="0082563E" w:rsidP="001F1DAF">
            <w:pPr>
              <w:rPr>
                <w:rFonts w:ascii="Arial" w:eastAsia="Calibri" w:hAnsi="Arial" w:cs="Arial"/>
                <w:sz w:val="24"/>
                <w:szCs w:val="24"/>
              </w:rPr>
            </w:pPr>
          </w:p>
        </w:tc>
      </w:tr>
      <w:tr w:rsidR="00914500" w:rsidRPr="0082563E" w14:paraId="4C9F299A" w14:textId="77777777" w:rsidTr="009860F3">
        <w:trPr>
          <w:trHeight w:val="1062"/>
        </w:trPr>
        <w:tc>
          <w:tcPr>
            <w:tcW w:w="3415" w:type="dxa"/>
          </w:tcPr>
          <w:p w14:paraId="5231320D" w14:textId="77777777" w:rsidR="00914500" w:rsidRPr="00746538" w:rsidRDefault="00914500" w:rsidP="0082563E">
            <w:pPr>
              <w:rPr>
                <w:rFonts w:ascii="Arial" w:eastAsia="Calibri" w:hAnsi="Arial" w:cs="Arial"/>
                <w:sz w:val="24"/>
                <w:szCs w:val="24"/>
              </w:rPr>
            </w:pPr>
            <w:r w:rsidRPr="00746538">
              <w:rPr>
                <w:rFonts w:ascii="Arial" w:eastAsia="Calibri" w:hAnsi="Arial" w:cs="Arial"/>
                <w:sz w:val="24"/>
                <w:szCs w:val="24"/>
              </w:rPr>
              <w:t>Jack H. Wilmore, PhD</w:t>
            </w:r>
          </w:p>
        </w:tc>
        <w:tc>
          <w:tcPr>
            <w:tcW w:w="6480" w:type="dxa"/>
          </w:tcPr>
          <w:p w14:paraId="6CAB627A" w14:textId="61C2BA74" w:rsidR="00914500" w:rsidRPr="00746538" w:rsidRDefault="00914500" w:rsidP="0082563E">
            <w:pPr>
              <w:rPr>
                <w:rFonts w:ascii="Arial" w:eastAsia="Calibri" w:hAnsi="Arial" w:cs="Arial"/>
                <w:sz w:val="24"/>
                <w:szCs w:val="24"/>
              </w:rPr>
            </w:pPr>
            <w:r w:rsidRPr="00746538">
              <w:rPr>
                <w:rFonts w:ascii="Arial" w:eastAsia="Calibri" w:hAnsi="Arial" w:cs="Arial"/>
                <w:sz w:val="24"/>
                <w:szCs w:val="24"/>
              </w:rPr>
              <w:t>The University of Texas at Austin</w:t>
            </w:r>
            <w:r w:rsidR="00B504A7">
              <w:rPr>
                <w:rFonts w:ascii="Arial" w:eastAsia="Calibri" w:hAnsi="Arial" w:cs="Arial"/>
                <w:sz w:val="24"/>
                <w:szCs w:val="24"/>
              </w:rPr>
              <w:t xml:space="preserve"> (until 1997), later Texas A&amp;M University</w:t>
            </w:r>
            <w:r w:rsidR="0028378F">
              <w:rPr>
                <w:rFonts w:ascii="Arial" w:eastAsia="Calibri" w:hAnsi="Arial" w:cs="Arial"/>
                <w:sz w:val="24"/>
                <w:szCs w:val="24"/>
              </w:rPr>
              <w:t xml:space="preserve">, </w:t>
            </w:r>
            <w:proofErr w:type="gramStart"/>
            <w:r w:rsidR="0028378F">
              <w:rPr>
                <w:rFonts w:ascii="Arial" w:eastAsia="Calibri" w:hAnsi="Arial" w:cs="Arial"/>
                <w:sz w:val="24"/>
                <w:szCs w:val="24"/>
              </w:rPr>
              <w:t>then</w:t>
            </w:r>
            <w:proofErr w:type="gramEnd"/>
            <w:r w:rsidR="0028378F">
              <w:rPr>
                <w:rFonts w:ascii="Arial" w:eastAsia="Calibri" w:hAnsi="Arial" w:cs="Arial"/>
                <w:sz w:val="24"/>
                <w:szCs w:val="24"/>
              </w:rPr>
              <w:t xml:space="preserve"> back to The University of Texas at Austin after 2003.</w:t>
            </w:r>
          </w:p>
          <w:p w14:paraId="445A05D9" w14:textId="19298B01" w:rsidR="0082563E" w:rsidRPr="00746538" w:rsidRDefault="0082563E" w:rsidP="0082563E">
            <w:pPr>
              <w:rPr>
                <w:rFonts w:ascii="Arial" w:eastAsia="Calibri" w:hAnsi="Arial" w:cs="Arial"/>
                <w:sz w:val="24"/>
                <w:szCs w:val="24"/>
              </w:rPr>
            </w:pPr>
          </w:p>
        </w:tc>
      </w:tr>
    </w:tbl>
    <w:p w14:paraId="110BD5A3" w14:textId="77777777" w:rsidR="00914500" w:rsidRDefault="00914500" w:rsidP="00914500">
      <w:pPr>
        <w:rPr>
          <w:rFonts w:ascii="Arial" w:eastAsia="Calibri" w:hAnsi="Arial" w:cs="Arial"/>
          <w:b/>
          <w:sz w:val="24"/>
          <w:szCs w:val="24"/>
          <w:highlight w:val="yellow"/>
        </w:rPr>
      </w:pPr>
    </w:p>
    <w:p w14:paraId="0E0F75C8" w14:textId="73E7484E" w:rsidR="00914500" w:rsidRPr="004907E9" w:rsidRDefault="00914500" w:rsidP="00914500">
      <w:pPr>
        <w:rPr>
          <w:rFonts w:ascii="Arial" w:eastAsia="Calibri" w:hAnsi="Arial" w:cs="Arial"/>
          <w:b/>
          <w:sz w:val="24"/>
          <w:szCs w:val="24"/>
        </w:rPr>
      </w:pPr>
      <w:r w:rsidRPr="00933E29">
        <w:rPr>
          <w:rFonts w:ascii="Arial" w:eastAsia="Calibri" w:hAnsi="Arial" w:cs="Arial"/>
          <w:b/>
          <w:sz w:val="24"/>
          <w:szCs w:val="24"/>
        </w:rPr>
        <w:t>Supplementary Table S2.</w:t>
      </w:r>
      <w:r w:rsidRPr="004907E9">
        <w:rPr>
          <w:rFonts w:ascii="Arial" w:eastAsia="Calibri" w:hAnsi="Arial" w:cs="Arial"/>
          <w:b/>
          <w:sz w:val="24"/>
          <w:szCs w:val="24"/>
        </w:rPr>
        <w:t xml:space="preserve"> HERITAGE Consortium Advisory Board</w:t>
      </w:r>
      <w:r w:rsidR="0082563E">
        <w:rPr>
          <w:rFonts w:ascii="Arial" w:eastAsia="Calibri" w:hAnsi="Arial" w:cs="Arial"/>
          <w:b/>
          <w:sz w:val="24"/>
          <w:szCs w:val="24"/>
        </w:rPr>
        <w:t xml:space="preserve"> (1992-2008)</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0"/>
        <w:gridCol w:w="1530"/>
      </w:tblGrid>
      <w:tr w:rsidR="00914500" w:rsidRPr="004907E9" w14:paraId="506F4538" w14:textId="77777777" w:rsidTr="001F1DAF">
        <w:tc>
          <w:tcPr>
            <w:tcW w:w="3415" w:type="dxa"/>
          </w:tcPr>
          <w:p w14:paraId="0D14493C"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Elizabeth Barrett-Connor, MD</w:t>
            </w:r>
          </w:p>
          <w:p w14:paraId="5E4A3BD1" w14:textId="77777777" w:rsidR="00914500" w:rsidRPr="004907E9" w:rsidRDefault="00914500" w:rsidP="001F1DAF">
            <w:pPr>
              <w:rPr>
                <w:rFonts w:ascii="Arial" w:eastAsia="Calibri" w:hAnsi="Arial" w:cs="Arial"/>
                <w:sz w:val="24"/>
                <w:szCs w:val="24"/>
              </w:rPr>
            </w:pPr>
          </w:p>
        </w:tc>
        <w:tc>
          <w:tcPr>
            <w:tcW w:w="4680" w:type="dxa"/>
          </w:tcPr>
          <w:p w14:paraId="60E5BA86"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University of California, San Diego</w:t>
            </w:r>
          </w:p>
        </w:tc>
        <w:tc>
          <w:tcPr>
            <w:tcW w:w="1530" w:type="dxa"/>
          </w:tcPr>
          <w:p w14:paraId="68319007" w14:textId="60375196" w:rsidR="00914500" w:rsidRPr="004907E9" w:rsidRDefault="00914500" w:rsidP="0082563E">
            <w:pPr>
              <w:rPr>
                <w:rFonts w:ascii="Arial" w:eastAsia="Calibri" w:hAnsi="Arial" w:cs="Arial"/>
                <w:b/>
                <w:sz w:val="24"/>
                <w:szCs w:val="24"/>
                <w:highlight w:val="yellow"/>
              </w:rPr>
            </w:pPr>
          </w:p>
        </w:tc>
      </w:tr>
      <w:tr w:rsidR="00914500" w:rsidRPr="004907E9" w14:paraId="57F50535" w14:textId="77777777" w:rsidTr="001F1DAF">
        <w:tc>
          <w:tcPr>
            <w:tcW w:w="3415" w:type="dxa"/>
          </w:tcPr>
          <w:p w14:paraId="57BF45AA"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Jean Davignon, MD</w:t>
            </w:r>
          </w:p>
          <w:p w14:paraId="5FE0802B" w14:textId="77777777" w:rsidR="00914500" w:rsidRPr="004907E9" w:rsidRDefault="00914500" w:rsidP="001F1DAF">
            <w:pPr>
              <w:rPr>
                <w:rFonts w:ascii="Arial" w:eastAsia="Calibri" w:hAnsi="Arial" w:cs="Arial"/>
                <w:sz w:val="24"/>
                <w:szCs w:val="24"/>
              </w:rPr>
            </w:pPr>
          </w:p>
        </w:tc>
        <w:tc>
          <w:tcPr>
            <w:tcW w:w="4680" w:type="dxa"/>
          </w:tcPr>
          <w:p w14:paraId="42A1E3AA"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Clinical Research Institute of Montreal</w:t>
            </w:r>
          </w:p>
        </w:tc>
        <w:tc>
          <w:tcPr>
            <w:tcW w:w="1530" w:type="dxa"/>
          </w:tcPr>
          <w:p w14:paraId="57A7B5C4" w14:textId="77777777" w:rsidR="00914500" w:rsidRPr="004907E9" w:rsidRDefault="00914500" w:rsidP="001F1DAF">
            <w:pPr>
              <w:rPr>
                <w:rFonts w:ascii="Arial" w:eastAsia="Calibri" w:hAnsi="Arial" w:cs="Arial"/>
                <w:sz w:val="24"/>
                <w:szCs w:val="24"/>
              </w:rPr>
            </w:pPr>
          </w:p>
        </w:tc>
      </w:tr>
      <w:tr w:rsidR="00914500" w:rsidRPr="004907E9" w14:paraId="71534A2D" w14:textId="77777777" w:rsidTr="001F1DAF">
        <w:tc>
          <w:tcPr>
            <w:tcW w:w="3415" w:type="dxa"/>
          </w:tcPr>
          <w:p w14:paraId="6DD59665" w14:textId="0ACDC908" w:rsidR="00914500" w:rsidRDefault="00914500" w:rsidP="001F1DAF">
            <w:pPr>
              <w:rPr>
                <w:rFonts w:ascii="Arial" w:eastAsia="Calibri" w:hAnsi="Arial" w:cs="Arial"/>
                <w:sz w:val="24"/>
                <w:szCs w:val="24"/>
              </w:rPr>
            </w:pPr>
            <w:r w:rsidRPr="004907E9">
              <w:rPr>
                <w:rFonts w:ascii="Arial" w:eastAsia="Calibri" w:hAnsi="Arial" w:cs="Arial"/>
                <w:sz w:val="24"/>
                <w:szCs w:val="24"/>
              </w:rPr>
              <w:t>E. Randy Eichner, MD</w:t>
            </w:r>
          </w:p>
          <w:p w14:paraId="13A5F294" w14:textId="5B5FA48B" w:rsidR="0082563E" w:rsidRPr="004907E9" w:rsidRDefault="0082563E" w:rsidP="001F1DAF">
            <w:pPr>
              <w:rPr>
                <w:rFonts w:ascii="Arial" w:eastAsia="Calibri" w:hAnsi="Arial" w:cs="Arial"/>
                <w:sz w:val="24"/>
                <w:szCs w:val="24"/>
              </w:rPr>
            </w:pPr>
            <w:r>
              <w:rPr>
                <w:rFonts w:ascii="Arial" w:eastAsia="Calibri" w:hAnsi="Arial" w:cs="Arial"/>
                <w:sz w:val="24"/>
                <w:szCs w:val="24"/>
              </w:rPr>
              <w:t>(1992-2002)</w:t>
            </w:r>
          </w:p>
          <w:p w14:paraId="35F7A038" w14:textId="77777777" w:rsidR="00914500" w:rsidRPr="004907E9" w:rsidRDefault="00914500" w:rsidP="001F1DAF">
            <w:pPr>
              <w:rPr>
                <w:rFonts w:ascii="Arial" w:eastAsia="Calibri" w:hAnsi="Arial" w:cs="Arial"/>
                <w:sz w:val="24"/>
                <w:szCs w:val="24"/>
              </w:rPr>
            </w:pPr>
          </w:p>
        </w:tc>
        <w:tc>
          <w:tcPr>
            <w:tcW w:w="4680" w:type="dxa"/>
          </w:tcPr>
          <w:p w14:paraId="77CA642D"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University of Oklahoma</w:t>
            </w:r>
          </w:p>
        </w:tc>
        <w:tc>
          <w:tcPr>
            <w:tcW w:w="1530" w:type="dxa"/>
          </w:tcPr>
          <w:p w14:paraId="2A71F867" w14:textId="77777777" w:rsidR="00914500" w:rsidRPr="004907E9" w:rsidRDefault="00914500" w:rsidP="001F1DAF">
            <w:pPr>
              <w:rPr>
                <w:rFonts w:ascii="Arial" w:eastAsia="Calibri" w:hAnsi="Arial" w:cs="Arial"/>
                <w:sz w:val="24"/>
                <w:szCs w:val="24"/>
              </w:rPr>
            </w:pPr>
          </w:p>
        </w:tc>
      </w:tr>
      <w:tr w:rsidR="00914500" w:rsidRPr="004907E9" w14:paraId="4B659867" w14:textId="77777777" w:rsidTr="001F1DAF">
        <w:tc>
          <w:tcPr>
            <w:tcW w:w="3415" w:type="dxa"/>
          </w:tcPr>
          <w:p w14:paraId="23519A7C"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Robert C. Elston, PhD</w:t>
            </w:r>
          </w:p>
          <w:p w14:paraId="0CA03D86" w14:textId="77777777" w:rsidR="00914500" w:rsidRPr="004907E9" w:rsidRDefault="00914500" w:rsidP="001F1DAF">
            <w:pPr>
              <w:rPr>
                <w:rFonts w:ascii="Arial" w:eastAsia="Calibri" w:hAnsi="Arial" w:cs="Arial"/>
                <w:sz w:val="24"/>
                <w:szCs w:val="24"/>
              </w:rPr>
            </w:pPr>
          </w:p>
        </w:tc>
        <w:tc>
          <w:tcPr>
            <w:tcW w:w="4680" w:type="dxa"/>
          </w:tcPr>
          <w:p w14:paraId="4DF36B20" w14:textId="0E61933A" w:rsidR="009511EF" w:rsidRDefault="00914500" w:rsidP="001F1DAF">
            <w:pPr>
              <w:rPr>
                <w:rFonts w:ascii="Arial" w:eastAsia="Calibri" w:hAnsi="Arial" w:cs="Arial"/>
                <w:sz w:val="24"/>
                <w:szCs w:val="24"/>
              </w:rPr>
            </w:pPr>
            <w:r w:rsidRPr="004907E9">
              <w:rPr>
                <w:rFonts w:ascii="Arial" w:eastAsia="Calibri" w:hAnsi="Arial" w:cs="Arial"/>
                <w:sz w:val="24"/>
                <w:szCs w:val="24"/>
              </w:rPr>
              <w:t>Louisiana State University</w:t>
            </w:r>
            <w:r w:rsidR="009511EF">
              <w:rPr>
                <w:rFonts w:ascii="Arial" w:eastAsia="Calibri" w:hAnsi="Arial" w:cs="Arial"/>
                <w:sz w:val="24"/>
                <w:szCs w:val="24"/>
              </w:rPr>
              <w:t xml:space="preserve"> and Case Western Reserve University</w:t>
            </w:r>
          </w:p>
          <w:p w14:paraId="7A64F32D" w14:textId="26600D85" w:rsidR="009511EF" w:rsidRPr="004907E9" w:rsidRDefault="009511EF" w:rsidP="001F1DAF">
            <w:pPr>
              <w:rPr>
                <w:rFonts w:ascii="Arial" w:eastAsia="Calibri" w:hAnsi="Arial" w:cs="Arial"/>
                <w:sz w:val="24"/>
                <w:szCs w:val="24"/>
              </w:rPr>
            </w:pPr>
          </w:p>
        </w:tc>
        <w:tc>
          <w:tcPr>
            <w:tcW w:w="1530" w:type="dxa"/>
          </w:tcPr>
          <w:p w14:paraId="0DD1F9B7" w14:textId="77777777" w:rsidR="00914500" w:rsidRPr="004907E9" w:rsidRDefault="00914500" w:rsidP="001F1DAF">
            <w:pPr>
              <w:rPr>
                <w:rFonts w:ascii="Arial" w:eastAsia="Calibri" w:hAnsi="Arial" w:cs="Arial"/>
                <w:sz w:val="24"/>
                <w:szCs w:val="24"/>
              </w:rPr>
            </w:pPr>
          </w:p>
        </w:tc>
      </w:tr>
      <w:tr w:rsidR="00914500" w:rsidRPr="004907E9" w14:paraId="39B0CD85" w14:textId="77777777" w:rsidTr="001F1DAF">
        <w:tc>
          <w:tcPr>
            <w:tcW w:w="3415" w:type="dxa"/>
          </w:tcPr>
          <w:p w14:paraId="139486BB"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William L. Haskell, PhD</w:t>
            </w:r>
          </w:p>
          <w:p w14:paraId="44016935" w14:textId="77777777" w:rsidR="00914500" w:rsidRPr="004907E9" w:rsidRDefault="00914500" w:rsidP="001F1DAF">
            <w:pPr>
              <w:rPr>
                <w:rFonts w:ascii="Arial" w:eastAsia="Calibri" w:hAnsi="Arial" w:cs="Arial"/>
                <w:sz w:val="24"/>
                <w:szCs w:val="24"/>
              </w:rPr>
            </w:pPr>
          </w:p>
        </w:tc>
        <w:tc>
          <w:tcPr>
            <w:tcW w:w="4680" w:type="dxa"/>
          </w:tcPr>
          <w:p w14:paraId="052DF5B7"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Stanford University</w:t>
            </w:r>
          </w:p>
        </w:tc>
        <w:tc>
          <w:tcPr>
            <w:tcW w:w="1530" w:type="dxa"/>
          </w:tcPr>
          <w:p w14:paraId="4F3830B1" w14:textId="77777777" w:rsidR="00914500" w:rsidRPr="004907E9" w:rsidRDefault="00914500" w:rsidP="001F1DAF">
            <w:pPr>
              <w:rPr>
                <w:rFonts w:ascii="Arial" w:eastAsia="Calibri" w:hAnsi="Arial" w:cs="Arial"/>
                <w:sz w:val="24"/>
                <w:szCs w:val="24"/>
              </w:rPr>
            </w:pPr>
          </w:p>
        </w:tc>
      </w:tr>
      <w:tr w:rsidR="00914500" w:rsidRPr="004907E9" w14:paraId="5563F09B" w14:textId="77777777" w:rsidTr="001F1DAF">
        <w:tc>
          <w:tcPr>
            <w:tcW w:w="3415" w:type="dxa"/>
          </w:tcPr>
          <w:p w14:paraId="4EC92B47" w14:textId="7F384F12" w:rsidR="00914500" w:rsidRDefault="00914500" w:rsidP="001F1DAF">
            <w:pPr>
              <w:rPr>
                <w:rFonts w:ascii="Arial" w:eastAsia="Calibri" w:hAnsi="Arial" w:cs="Arial"/>
                <w:sz w:val="24"/>
                <w:szCs w:val="24"/>
              </w:rPr>
            </w:pPr>
            <w:r w:rsidRPr="004907E9">
              <w:rPr>
                <w:rFonts w:ascii="Arial" w:eastAsia="Calibri" w:hAnsi="Arial" w:cs="Arial"/>
                <w:sz w:val="24"/>
                <w:szCs w:val="24"/>
              </w:rPr>
              <w:t>Rudy Leibel, MD</w:t>
            </w:r>
          </w:p>
          <w:p w14:paraId="2E3E58EE" w14:textId="22CB93DF" w:rsidR="0082563E" w:rsidRPr="004907E9" w:rsidRDefault="0082563E" w:rsidP="001F1DAF">
            <w:pPr>
              <w:rPr>
                <w:rFonts w:ascii="Arial" w:eastAsia="Calibri" w:hAnsi="Arial" w:cs="Arial"/>
                <w:sz w:val="24"/>
                <w:szCs w:val="24"/>
              </w:rPr>
            </w:pPr>
            <w:r>
              <w:rPr>
                <w:rFonts w:ascii="Arial" w:eastAsia="Calibri" w:hAnsi="Arial" w:cs="Arial"/>
                <w:sz w:val="24"/>
                <w:szCs w:val="24"/>
              </w:rPr>
              <w:t>(2002-2008)</w:t>
            </w:r>
          </w:p>
          <w:p w14:paraId="168E12F8" w14:textId="77777777" w:rsidR="00914500" w:rsidRPr="004907E9" w:rsidRDefault="00914500" w:rsidP="001F1DAF">
            <w:pPr>
              <w:rPr>
                <w:rFonts w:ascii="Arial" w:eastAsia="Calibri" w:hAnsi="Arial" w:cs="Arial"/>
                <w:sz w:val="24"/>
                <w:szCs w:val="24"/>
              </w:rPr>
            </w:pPr>
          </w:p>
        </w:tc>
        <w:tc>
          <w:tcPr>
            <w:tcW w:w="4680" w:type="dxa"/>
          </w:tcPr>
          <w:p w14:paraId="637A7534"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Columbia University</w:t>
            </w:r>
          </w:p>
        </w:tc>
        <w:tc>
          <w:tcPr>
            <w:tcW w:w="1530" w:type="dxa"/>
          </w:tcPr>
          <w:p w14:paraId="6BEF462C" w14:textId="77777777" w:rsidR="00914500" w:rsidRPr="004907E9" w:rsidRDefault="00914500" w:rsidP="001F1DAF">
            <w:pPr>
              <w:rPr>
                <w:rFonts w:ascii="Arial" w:eastAsia="Calibri" w:hAnsi="Arial" w:cs="Arial"/>
                <w:sz w:val="24"/>
                <w:szCs w:val="24"/>
              </w:rPr>
            </w:pPr>
          </w:p>
        </w:tc>
      </w:tr>
      <w:tr w:rsidR="00914500" w:rsidRPr="004907E9" w14:paraId="3443558A" w14:textId="77777777" w:rsidTr="001F1DAF">
        <w:tc>
          <w:tcPr>
            <w:tcW w:w="3415" w:type="dxa"/>
          </w:tcPr>
          <w:p w14:paraId="7612566D" w14:textId="76F4A7F4" w:rsidR="00914500" w:rsidRDefault="00914500" w:rsidP="001F1DAF">
            <w:pPr>
              <w:rPr>
                <w:rFonts w:ascii="Arial" w:eastAsia="Calibri" w:hAnsi="Arial" w:cs="Arial"/>
                <w:sz w:val="24"/>
                <w:szCs w:val="24"/>
              </w:rPr>
            </w:pPr>
            <w:r w:rsidRPr="004907E9">
              <w:rPr>
                <w:rFonts w:ascii="Arial" w:eastAsia="Calibri" w:hAnsi="Arial" w:cs="Arial"/>
                <w:sz w:val="24"/>
                <w:szCs w:val="24"/>
              </w:rPr>
              <w:t>Eric Ravussin, PhD</w:t>
            </w:r>
          </w:p>
          <w:p w14:paraId="22DC2298" w14:textId="59EBB685" w:rsidR="0082563E" w:rsidRPr="004907E9" w:rsidRDefault="0082563E" w:rsidP="001F1DAF">
            <w:pPr>
              <w:rPr>
                <w:rFonts w:ascii="Arial" w:eastAsia="Calibri" w:hAnsi="Arial" w:cs="Arial"/>
                <w:sz w:val="24"/>
                <w:szCs w:val="24"/>
              </w:rPr>
            </w:pPr>
            <w:r>
              <w:rPr>
                <w:rFonts w:ascii="Arial" w:eastAsia="Calibri" w:hAnsi="Arial" w:cs="Arial"/>
                <w:sz w:val="24"/>
                <w:szCs w:val="24"/>
              </w:rPr>
              <w:t>(2002-2008)</w:t>
            </w:r>
          </w:p>
          <w:p w14:paraId="388A97EC" w14:textId="77777777" w:rsidR="00914500" w:rsidRPr="004907E9" w:rsidRDefault="00914500" w:rsidP="001F1DAF">
            <w:pPr>
              <w:rPr>
                <w:rFonts w:ascii="Arial" w:eastAsia="Calibri" w:hAnsi="Arial" w:cs="Arial"/>
                <w:sz w:val="24"/>
                <w:szCs w:val="24"/>
              </w:rPr>
            </w:pPr>
          </w:p>
        </w:tc>
        <w:tc>
          <w:tcPr>
            <w:tcW w:w="4680" w:type="dxa"/>
          </w:tcPr>
          <w:p w14:paraId="37F30A2F" w14:textId="77777777" w:rsidR="00914500" w:rsidRPr="004907E9" w:rsidRDefault="00914500" w:rsidP="001F1DAF">
            <w:pPr>
              <w:rPr>
                <w:rFonts w:ascii="Arial" w:eastAsia="Calibri" w:hAnsi="Arial" w:cs="Arial"/>
                <w:sz w:val="24"/>
                <w:szCs w:val="24"/>
              </w:rPr>
            </w:pPr>
            <w:r w:rsidRPr="004907E9">
              <w:rPr>
                <w:rFonts w:ascii="Arial" w:eastAsia="Calibri" w:hAnsi="Arial" w:cs="Arial"/>
                <w:sz w:val="24"/>
                <w:szCs w:val="24"/>
              </w:rPr>
              <w:t>Pennington Biomedical Research Center</w:t>
            </w:r>
          </w:p>
        </w:tc>
        <w:tc>
          <w:tcPr>
            <w:tcW w:w="1530" w:type="dxa"/>
          </w:tcPr>
          <w:p w14:paraId="01DA7190" w14:textId="77777777" w:rsidR="00914500" w:rsidRPr="004907E9" w:rsidRDefault="00914500" w:rsidP="001F1DAF">
            <w:pPr>
              <w:rPr>
                <w:rFonts w:ascii="Arial" w:eastAsia="Calibri" w:hAnsi="Arial" w:cs="Arial"/>
                <w:sz w:val="24"/>
                <w:szCs w:val="24"/>
              </w:rPr>
            </w:pPr>
          </w:p>
        </w:tc>
      </w:tr>
    </w:tbl>
    <w:p w14:paraId="163559C4" w14:textId="77777777" w:rsidR="00914500" w:rsidRPr="004907E9" w:rsidRDefault="00914500" w:rsidP="00914500">
      <w:pPr>
        <w:rPr>
          <w:rFonts w:ascii="Arial" w:eastAsia="Calibri" w:hAnsi="Arial" w:cs="Arial"/>
          <w:sz w:val="24"/>
          <w:szCs w:val="24"/>
        </w:rPr>
      </w:pPr>
    </w:p>
    <w:p w14:paraId="17C17B63" w14:textId="77777777" w:rsidR="00914500" w:rsidRPr="004907E9" w:rsidRDefault="00914500" w:rsidP="00914500">
      <w:pPr>
        <w:rPr>
          <w:rFonts w:ascii="Arial" w:eastAsia="Calibri" w:hAnsi="Arial" w:cs="Arial"/>
          <w:b/>
          <w:sz w:val="24"/>
          <w:szCs w:val="24"/>
        </w:rPr>
      </w:pPr>
    </w:p>
    <w:p w14:paraId="74A74DDE" w14:textId="77777777" w:rsidR="00914500" w:rsidRPr="004907E9" w:rsidRDefault="00914500" w:rsidP="00914500">
      <w:pPr>
        <w:rPr>
          <w:rFonts w:ascii="Arial" w:eastAsia="Calibri" w:hAnsi="Arial" w:cs="Arial"/>
          <w:b/>
          <w:sz w:val="24"/>
          <w:szCs w:val="24"/>
        </w:rPr>
      </w:pPr>
    </w:p>
    <w:p w14:paraId="516333BC" w14:textId="77777777" w:rsidR="00914500" w:rsidRPr="004907E9" w:rsidRDefault="00914500" w:rsidP="00914500">
      <w:pPr>
        <w:rPr>
          <w:rFonts w:ascii="Arial" w:eastAsia="Calibri" w:hAnsi="Arial" w:cs="Arial"/>
          <w:b/>
          <w:sz w:val="24"/>
          <w:szCs w:val="24"/>
        </w:rPr>
      </w:pPr>
    </w:p>
    <w:p w14:paraId="65C49753" w14:textId="77777777" w:rsidR="00914500" w:rsidRPr="004907E9" w:rsidRDefault="00914500" w:rsidP="00914500">
      <w:pPr>
        <w:rPr>
          <w:rFonts w:ascii="Arial" w:eastAsia="Calibri" w:hAnsi="Arial" w:cs="Arial"/>
          <w:b/>
          <w:sz w:val="24"/>
          <w:szCs w:val="24"/>
        </w:rPr>
      </w:pPr>
    </w:p>
    <w:p w14:paraId="3315DDAF" w14:textId="77777777" w:rsidR="00914500" w:rsidRPr="004907E9" w:rsidRDefault="00914500" w:rsidP="00914500">
      <w:pPr>
        <w:rPr>
          <w:rFonts w:ascii="Arial" w:eastAsia="Calibri" w:hAnsi="Arial" w:cs="Arial"/>
          <w:b/>
          <w:sz w:val="24"/>
          <w:szCs w:val="24"/>
        </w:rPr>
      </w:pPr>
    </w:p>
    <w:p w14:paraId="2FD2CACB" w14:textId="44BAA869" w:rsidR="000160E1" w:rsidRPr="004907E9" w:rsidRDefault="000160E1" w:rsidP="00914500">
      <w:pPr>
        <w:rPr>
          <w:rFonts w:ascii="Arial" w:eastAsia="Calibri" w:hAnsi="Arial" w:cs="Arial"/>
          <w:b/>
          <w:sz w:val="24"/>
          <w:szCs w:val="24"/>
        </w:rPr>
      </w:pPr>
      <w:r w:rsidRPr="00933E29">
        <w:rPr>
          <w:rFonts w:ascii="Arial" w:eastAsia="Calibri" w:hAnsi="Arial" w:cs="Arial"/>
          <w:b/>
          <w:sz w:val="24"/>
          <w:szCs w:val="24"/>
        </w:rPr>
        <w:t>Supplementary Table S3.</w:t>
      </w:r>
      <w:r w:rsidRPr="004907E9">
        <w:rPr>
          <w:rFonts w:ascii="Arial" w:eastAsia="Calibri" w:hAnsi="Arial" w:cs="Arial"/>
          <w:b/>
          <w:sz w:val="24"/>
          <w:szCs w:val="24"/>
        </w:rPr>
        <w:t xml:space="preserve"> HERITAGE Coordinating Centers, Clinical Centers, and Core Laboratories: List of Personnel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48FF" w:rsidRPr="004907E9" w14:paraId="5D13FCCC" w14:textId="77777777" w:rsidTr="00A86CCC">
        <w:tc>
          <w:tcPr>
            <w:tcW w:w="9350" w:type="dxa"/>
            <w:gridSpan w:val="2"/>
          </w:tcPr>
          <w:p w14:paraId="68D8B7E7" w14:textId="073EDD21" w:rsidR="00C748FF" w:rsidRPr="00AF0689" w:rsidRDefault="00C748FF" w:rsidP="00152BFC">
            <w:pPr>
              <w:rPr>
                <w:rFonts w:ascii="Arial" w:eastAsia="Calibri" w:hAnsi="Arial" w:cs="Arial"/>
                <w:b/>
                <w:sz w:val="24"/>
                <w:szCs w:val="24"/>
                <w:u w:val="single"/>
              </w:rPr>
            </w:pPr>
            <w:r w:rsidRPr="00AF0689">
              <w:rPr>
                <w:rFonts w:ascii="Arial" w:eastAsia="Calibri" w:hAnsi="Arial" w:cs="Arial"/>
                <w:b/>
                <w:sz w:val="24"/>
                <w:szCs w:val="24"/>
                <w:u w:val="single"/>
              </w:rPr>
              <w:t>Laval University Consortium Coordinating Center and Clinical Center</w:t>
            </w:r>
          </w:p>
        </w:tc>
      </w:tr>
      <w:tr w:rsidR="00C748FF" w:rsidRPr="004907E9" w14:paraId="1BA9F1E4" w14:textId="77777777" w:rsidTr="00A86CCC">
        <w:tc>
          <w:tcPr>
            <w:tcW w:w="9350" w:type="dxa"/>
            <w:gridSpan w:val="2"/>
          </w:tcPr>
          <w:p w14:paraId="05BA4888"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PI: Claude Bouchard, PhD</w:t>
            </w:r>
          </w:p>
          <w:p w14:paraId="567D3011"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Local Project Coordinator: Marcelle Lareau, MSc</w:t>
            </w:r>
          </w:p>
        </w:tc>
      </w:tr>
      <w:tr w:rsidR="00C748FF" w:rsidRPr="004907E9" w14:paraId="6FE2151B" w14:textId="77777777" w:rsidTr="00A86CCC">
        <w:tc>
          <w:tcPr>
            <w:tcW w:w="4675" w:type="dxa"/>
          </w:tcPr>
          <w:p w14:paraId="61B17904" w14:textId="77777777" w:rsidR="00C748FF" w:rsidRPr="004907E9" w:rsidRDefault="00C748FF" w:rsidP="00152BFC">
            <w:pPr>
              <w:rPr>
                <w:rFonts w:ascii="Arial" w:eastAsia="Calibri" w:hAnsi="Arial" w:cs="Arial"/>
                <w:b/>
                <w:sz w:val="24"/>
                <w:szCs w:val="24"/>
              </w:rPr>
            </w:pPr>
          </w:p>
        </w:tc>
        <w:tc>
          <w:tcPr>
            <w:tcW w:w="4675" w:type="dxa"/>
          </w:tcPr>
          <w:p w14:paraId="707C6957" w14:textId="77777777" w:rsidR="00C748FF" w:rsidRPr="004907E9" w:rsidRDefault="00C748FF" w:rsidP="00152BFC">
            <w:pPr>
              <w:rPr>
                <w:rFonts w:ascii="Arial" w:eastAsia="Calibri" w:hAnsi="Arial" w:cs="Arial"/>
                <w:b/>
                <w:sz w:val="24"/>
                <w:szCs w:val="24"/>
              </w:rPr>
            </w:pPr>
          </w:p>
        </w:tc>
      </w:tr>
      <w:tr w:rsidR="00C748FF" w:rsidRPr="004907E9" w14:paraId="2877E37C" w14:textId="77777777" w:rsidTr="00A86CCC">
        <w:tc>
          <w:tcPr>
            <w:tcW w:w="4675" w:type="dxa"/>
          </w:tcPr>
          <w:p w14:paraId="30B9E4A6" w14:textId="44B077E5" w:rsidR="00C748FF" w:rsidRPr="00C748FF" w:rsidRDefault="00C748FF" w:rsidP="00152BFC">
            <w:pPr>
              <w:rPr>
                <w:rFonts w:ascii="Arial" w:eastAsia="Calibri" w:hAnsi="Arial" w:cs="Arial"/>
                <w:sz w:val="24"/>
                <w:szCs w:val="24"/>
                <w:lang w:val="fr-CA"/>
              </w:rPr>
            </w:pPr>
            <w:r w:rsidRPr="00746538">
              <w:rPr>
                <w:rFonts w:ascii="Arial" w:eastAsia="Calibri" w:hAnsi="Arial" w:cs="Arial"/>
                <w:sz w:val="24"/>
                <w:szCs w:val="24"/>
                <w:lang w:val="fr-CA"/>
              </w:rPr>
              <w:t>Jean-Paul Albert, MBA</w:t>
            </w:r>
          </w:p>
        </w:tc>
        <w:tc>
          <w:tcPr>
            <w:tcW w:w="4675" w:type="dxa"/>
          </w:tcPr>
          <w:p w14:paraId="6685721E" w14:textId="7FBA0A14" w:rsidR="00C748FF" w:rsidRPr="004907E9" w:rsidRDefault="00C748FF" w:rsidP="00152BFC">
            <w:pPr>
              <w:rPr>
                <w:rFonts w:ascii="Arial" w:eastAsia="Calibri" w:hAnsi="Arial" w:cs="Arial"/>
                <w:b/>
                <w:sz w:val="24"/>
                <w:szCs w:val="24"/>
              </w:rPr>
            </w:pPr>
            <w:r w:rsidRPr="005516BB">
              <w:rPr>
                <w:rFonts w:ascii="Arial" w:eastAsia="Calibri" w:hAnsi="Arial" w:cs="Arial"/>
                <w:sz w:val="24"/>
                <w:szCs w:val="24"/>
                <w:lang w:val="fr-CA"/>
              </w:rPr>
              <w:t>Benoit Lamarche, PhD</w:t>
            </w:r>
          </w:p>
        </w:tc>
      </w:tr>
      <w:tr w:rsidR="00C748FF" w:rsidRPr="004907E9" w14:paraId="0852472B" w14:textId="77777777" w:rsidTr="00A86CCC">
        <w:tc>
          <w:tcPr>
            <w:tcW w:w="4675" w:type="dxa"/>
          </w:tcPr>
          <w:p w14:paraId="45F339A4" w14:textId="067C867C" w:rsidR="00C748FF" w:rsidRPr="00C748FF" w:rsidRDefault="00C748FF" w:rsidP="00152BFC">
            <w:pPr>
              <w:rPr>
                <w:rFonts w:ascii="Arial" w:eastAsia="Calibri" w:hAnsi="Arial" w:cs="Arial"/>
                <w:sz w:val="24"/>
                <w:szCs w:val="24"/>
                <w:lang w:val="fr-CA"/>
              </w:rPr>
            </w:pPr>
            <w:r>
              <w:rPr>
                <w:rFonts w:ascii="Arial" w:eastAsia="Calibri" w:hAnsi="Arial" w:cs="Arial"/>
                <w:sz w:val="24"/>
                <w:szCs w:val="24"/>
                <w:lang w:val="fr-CA"/>
              </w:rPr>
              <w:t xml:space="preserve">Manon Baril, </w:t>
            </w:r>
            <w:proofErr w:type="spellStart"/>
            <w:r>
              <w:rPr>
                <w:rFonts w:ascii="Arial" w:eastAsia="Calibri" w:hAnsi="Arial" w:cs="Arial"/>
                <w:sz w:val="24"/>
                <w:szCs w:val="24"/>
                <w:lang w:val="fr-CA"/>
              </w:rPr>
              <w:t>BSc</w:t>
            </w:r>
            <w:proofErr w:type="spellEnd"/>
          </w:p>
        </w:tc>
        <w:tc>
          <w:tcPr>
            <w:tcW w:w="4675" w:type="dxa"/>
          </w:tcPr>
          <w:p w14:paraId="1EF717A1" w14:textId="40D4FC7C" w:rsidR="00C748FF" w:rsidRPr="004907E9" w:rsidRDefault="00C748FF" w:rsidP="00152BFC">
            <w:pPr>
              <w:rPr>
                <w:rFonts w:ascii="Arial" w:eastAsia="Calibri" w:hAnsi="Arial" w:cs="Arial"/>
                <w:b/>
                <w:sz w:val="24"/>
                <w:szCs w:val="24"/>
              </w:rPr>
            </w:pPr>
            <w:r w:rsidRPr="004907E9">
              <w:rPr>
                <w:rFonts w:ascii="Arial" w:eastAsia="Calibri" w:hAnsi="Arial" w:cs="Arial"/>
                <w:sz w:val="24"/>
                <w:szCs w:val="24"/>
              </w:rPr>
              <w:t>Claude Leblanc, MSc</w:t>
            </w:r>
          </w:p>
        </w:tc>
      </w:tr>
      <w:tr w:rsidR="00C748FF" w:rsidRPr="004907E9" w14:paraId="27574FEB" w14:textId="77777777" w:rsidTr="00A86CCC">
        <w:tc>
          <w:tcPr>
            <w:tcW w:w="4675" w:type="dxa"/>
          </w:tcPr>
          <w:p w14:paraId="578101A1" w14:textId="15725285" w:rsidR="00C748FF" w:rsidRPr="00C748FF" w:rsidRDefault="00C748FF" w:rsidP="00152BFC">
            <w:pPr>
              <w:rPr>
                <w:rFonts w:ascii="Arial" w:eastAsia="Calibri" w:hAnsi="Arial" w:cs="Arial"/>
                <w:sz w:val="24"/>
                <w:szCs w:val="24"/>
                <w:lang w:val="fr-CA"/>
              </w:rPr>
            </w:pPr>
            <w:r w:rsidRPr="009511EF">
              <w:rPr>
                <w:rFonts w:ascii="Arial" w:eastAsia="Calibri" w:hAnsi="Arial" w:cs="Arial"/>
                <w:sz w:val="24"/>
                <w:szCs w:val="24"/>
                <w:lang w:val="fr-CA"/>
              </w:rPr>
              <w:t>Je</w:t>
            </w:r>
            <w:r>
              <w:rPr>
                <w:rFonts w:ascii="Arial" w:eastAsia="Calibri" w:hAnsi="Arial" w:cs="Arial"/>
                <w:sz w:val="24"/>
                <w:szCs w:val="24"/>
                <w:lang w:val="fr-CA"/>
              </w:rPr>
              <w:t>an Bergeron, MD</w:t>
            </w:r>
          </w:p>
        </w:tc>
        <w:tc>
          <w:tcPr>
            <w:tcW w:w="4675" w:type="dxa"/>
          </w:tcPr>
          <w:p w14:paraId="0B28627F" w14:textId="0C13C45C" w:rsidR="00C748FF" w:rsidRPr="004907E9" w:rsidRDefault="00C748FF" w:rsidP="00152BFC">
            <w:pPr>
              <w:rPr>
                <w:rFonts w:ascii="Arial" w:eastAsia="Calibri" w:hAnsi="Arial" w:cs="Arial"/>
                <w:b/>
                <w:sz w:val="24"/>
                <w:szCs w:val="24"/>
              </w:rPr>
            </w:pPr>
            <w:r w:rsidRPr="004907E9">
              <w:rPr>
                <w:rFonts w:ascii="Arial" w:eastAsia="Calibri" w:hAnsi="Arial" w:cs="Arial"/>
                <w:sz w:val="24"/>
                <w:szCs w:val="24"/>
              </w:rPr>
              <w:t>Gilles Lortie, MD, PhD</w:t>
            </w:r>
          </w:p>
        </w:tc>
      </w:tr>
      <w:tr w:rsidR="00C748FF" w:rsidRPr="004907E9" w14:paraId="4558F410" w14:textId="77777777" w:rsidTr="00A86CCC">
        <w:tc>
          <w:tcPr>
            <w:tcW w:w="4675" w:type="dxa"/>
          </w:tcPr>
          <w:p w14:paraId="4305CBCC" w14:textId="2A075168" w:rsidR="00C748FF" w:rsidRPr="004907E9" w:rsidRDefault="00C748FF" w:rsidP="00152BFC">
            <w:pPr>
              <w:rPr>
                <w:rFonts w:ascii="Arial" w:eastAsia="Calibri" w:hAnsi="Arial" w:cs="Arial"/>
                <w:b/>
                <w:sz w:val="24"/>
                <w:szCs w:val="24"/>
              </w:rPr>
            </w:pPr>
            <w:r w:rsidRPr="009511EF">
              <w:rPr>
                <w:rFonts w:ascii="Arial" w:eastAsia="Calibri" w:hAnsi="Arial" w:cs="Arial"/>
                <w:sz w:val="24"/>
                <w:szCs w:val="24"/>
                <w:lang w:val="fr-CA"/>
              </w:rPr>
              <w:t xml:space="preserve">Come S. Bouchard, </w:t>
            </w:r>
            <w:proofErr w:type="spellStart"/>
            <w:r w:rsidRPr="009511EF">
              <w:rPr>
                <w:rFonts w:ascii="Arial" w:eastAsia="Calibri" w:hAnsi="Arial" w:cs="Arial"/>
                <w:sz w:val="24"/>
                <w:szCs w:val="24"/>
                <w:lang w:val="fr-CA"/>
              </w:rPr>
              <w:t>MSc</w:t>
            </w:r>
            <w:proofErr w:type="spellEnd"/>
          </w:p>
        </w:tc>
        <w:tc>
          <w:tcPr>
            <w:tcW w:w="4675" w:type="dxa"/>
          </w:tcPr>
          <w:p w14:paraId="50681E23" w14:textId="7FE546B0" w:rsidR="00C748FF" w:rsidRPr="004907E9" w:rsidRDefault="00C748FF" w:rsidP="00152BFC">
            <w:pPr>
              <w:rPr>
                <w:rFonts w:ascii="Arial" w:eastAsia="Calibri" w:hAnsi="Arial" w:cs="Arial"/>
                <w:b/>
                <w:sz w:val="24"/>
                <w:szCs w:val="24"/>
              </w:rPr>
            </w:pPr>
            <w:r w:rsidRPr="004907E9">
              <w:rPr>
                <w:rFonts w:ascii="Arial" w:eastAsia="Calibri" w:hAnsi="Arial" w:cs="Arial"/>
                <w:sz w:val="24"/>
                <w:szCs w:val="24"/>
              </w:rPr>
              <w:t>Isabel Mercier, MSc</w:t>
            </w:r>
          </w:p>
        </w:tc>
      </w:tr>
      <w:tr w:rsidR="00C748FF" w:rsidRPr="004907E9" w14:paraId="611747FC" w14:textId="77777777" w:rsidTr="00A86CCC">
        <w:tc>
          <w:tcPr>
            <w:tcW w:w="4675" w:type="dxa"/>
          </w:tcPr>
          <w:p w14:paraId="0097F15E" w14:textId="6CC0013B" w:rsidR="00C748FF" w:rsidRPr="004907E9" w:rsidRDefault="00C748FF" w:rsidP="00152BFC">
            <w:pPr>
              <w:rPr>
                <w:rFonts w:ascii="Arial" w:eastAsia="Calibri" w:hAnsi="Arial" w:cs="Arial"/>
                <w:b/>
                <w:sz w:val="24"/>
                <w:szCs w:val="24"/>
              </w:rPr>
            </w:pPr>
            <w:r w:rsidRPr="004907E9">
              <w:rPr>
                <w:rFonts w:ascii="Arial" w:eastAsia="Calibri" w:hAnsi="Arial" w:cs="Arial"/>
                <w:sz w:val="24"/>
                <w:szCs w:val="24"/>
              </w:rPr>
              <w:t>Anne-Marie Bricault, MSc</w:t>
            </w:r>
          </w:p>
        </w:tc>
        <w:tc>
          <w:tcPr>
            <w:tcW w:w="4675" w:type="dxa"/>
          </w:tcPr>
          <w:p w14:paraId="601357AC" w14:textId="5BED0C5B" w:rsidR="00C748FF" w:rsidRPr="004907E9" w:rsidRDefault="00C748FF" w:rsidP="00152BFC">
            <w:pPr>
              <w:rPr>
                <w:rFonts w:ascii="Arial" w:eastAsia="Calibri" w:hAnsi="Arial" w:cs="Arial"/>
                <w:b/>
                <w:sz w:val="24"/>
                <w:szCs w:val="24"/>
              </w:rPr>
            </w:pPr>
            <w:r w:rsidRPr="004907E9">
              <w:rPr>
                <w:rFonts w:ascii="Arial" w:eastAsia="Calibri" w:hAnsi="Arial" w:cs="Arial"/>
                <w:sz w:val="24"/>
                <w:szCs w:val="24"/>
              </w:rPr>
              <w:t>François Michaud</w:t>
            </w:r>
            <w:r>
              <w:rPr>
                <w:rFonts w:ascii="Arial" w:eastAsia="Calibri" w:hAnsi="Arial" w:cs="Arial"/>
                <w:sz w:val="24"/>
                <w:szCs w:val="24"/>
              </w:rPr>
              <w:t>, BSc</w:t>
            </w:r>
          </w:p>
        </w:tc>
      </w:tr>
      <w:tr w:rsidR="00C748FF" w:rsidRPr="004907E9" w14:paraId="40D977C3" w14:textId="77777777" w:rsidTr="00A86CCC">
        <w:tc>
          <w:tcPr>
            <w:tcW w:w="4675" w:type="dxa"/>
          </w:tcPr>
          <w:p w14:paraId="5531866E" w14:textId="7FA2E2B3" w:rsidR="00C748FF" w:rsidRPr="004907E9" w:rsidRDefault="00C748FF" w:rsidP="00152BFC">
            <w:pPr>
              <w:rPr>
                <w:rFonts w:ascii="Arial" w:eastAsia="Calibri" w:hAnsi="Arial" w:cs="Arial"/>
                <w:b/>
                <w:sz w:val="24"/>
                <w:szCs w:val="24"/>
              </w:rPr>
            </w:pPr>
            <w:r w:rsidRPr="009511EF">
              <w:rPr>
                <w:rFonts w:ascii="Arial" w:eastAsia="Calibri" w:hAnsi="Arial" w:cs="Arial"/>
                <w:sz w:val="24"/>
                <w:szCs w:val="24"/>
                <w:lang w:val="fr-CA"/>
              </w:rPr>
              <w:t>Yvon Chagnon, PhD</w:t>
            </w:r>
          </w:p>
        </w:tc>
        <w:tc>
          <w:tcPr>
            <w:tcW w:w="4675" w:type="dxa"/>
          </w:tcPr>
          <w:p w14:paraId="67FF1BC6" w14:textId="0C54C0B9" w:rsidR="00C748FF" w:rsidRPr="004907E9" w:rsidRDefault="00C748FF" w:rsidP="00152BFC">
            <w:pPr>
              <w:rPr>
                <w:rFonts w:ascii="Arial" w:eastAsia="Calibri" w:hAnsi="Arial" w:cs="Arial"/>
                <w:b/>
                <w:sz w:val="24"/>
                <w:szCs w:val="24"/>
              </w:rPr>
            </w:pPr>
            <w:r w:rsidRPr="008F0FEB">
              <w:rPr>
                <w:rFonts w:ascii="Arial" w:eastAsia="Calibri" w:hAnsi="Arial" w:cs="Arial"/>
                <w:sz w:val="24"/>
                <w:szCs w:val="24"/>
              </w:rPr>
              <w:t>Chantal Paré, BSc</w:t>
            </w:r>
          </w:p>
        </w:tc>
      </w:tr>
      <w:tr w:rsidR="00C748FF" w:rsidRPr="004907E9" w14:paraId="033B1A25" w14:textId="77777777" w:rsidTr="00A86CCC">
        <w:tc>
          <w:tcPr>
            <w:tcW w:w="4675" w:type="dxa"/>
          </w:tcPr>
          <w:p w14:paraId="71D43ED7" w14:textId="2CDB221E" w:rsidR="00C748FF" w:rsidRPr="004907E9" w:rsidRDefault="00C748FF" w:rsidP="00152BFC">
            <w:pPr>
              <w:rPr>
                <w:rFonts w:ascii="Arial" w:eastAsia="Calibri" w:hAnsi="Arial" w:cs="Arial"/>
                <w:b/>
                <w:sz w:val="24"/>
                <w:szCs w:val="24"/>
              </w:rPr>
            </w:pPr>
            <w:r w:rsidRPr="009511EF">
              <w:rPr>
                <w:rFonts w:ascii="Arial" w:eastAsia="Calibri" w:hAnsi="Arial" w:cs="Arial"/>
                <w:sz w:val="24"/>
                <w:szCs w:val="24"/>
                <w:lang w:val="fr-CA"/>
              </w:rPr>
              <w:t>Je</w:t>
            </w:r>
            <w:r>
              <w:rPr>
                <w:rFonts w:ascii="Arial" w:eastAsia="Calibri" w:hAnsi="Arial" w:cs="Arial"/>
                <w:sz w:val="24"/>
                <w:szCs w:val="24"/>
                <w:lang w:val="fr-CA"/>
              </w:rPr>
              <w:t xml:space="preserve">an-Pierre </w:t>
            </w:r>
            <w:proofErr w:type="spellStart"/>
            <w:r>
              <w:rPr>
                <w:rFonts w:ascii="Arial" w:eastAsia="Calibri" w:hAnsi="Arial" w:cs="Arial"/>
                <w:sz w:val="24"/>
                <w:szCs w:val="24"/>
                <w:lang w:val="fr-CA"/>
              </w:rPr>
              <w:t>Despres</w:t>
            </w:r>
            <w:proofErr w:type="spellEnd"/>
            <w:r>
              <w:rPr>
                <w:rFonts w:ascii="Arial" w:eastAsia="Calibri" w:hAnsi="Arial" w:cs="Arial"/>
                <w:sz w:val="24"/>
                <w:szCs w:val="24"/>
                <w:lang w:val="fr-CA"/>
              </w:rPr>
              <w:t>, PhD</w:t>
            </w:r>
          </w:p>
        </w:tc>
        <w:tc>
          <w:tcPr>
            <w:tcW w:w="4675" w:type="dxa"/>
          </w:tcPr>
          <w:p w14:paraId="767BB77C" w14:textId="46F06C2C" w:rsidR="00C748FF" w:rsidRPr="004907E9" w:rsidRDefault="00C748FF" w:rsidP="00152BFC">
            <w:pPr>
              <w:rPr>
                <w:rFonts w:ascii="Arial" w:eastAsia="Calibri" w:hAnsi="Arial" w:cs="Arial"/>
                <w:b/>
                <w:sz w:val="24"/>
                <w:szCs w:val="24"/>
              </w:rPr>
            </w:pPr>
            <w:r w:rsidRPr="004907E9">
              <w:rPr>
                <w:rFonts w:ascii="Arial" w:eastAsia="Calibri" w:hAnsi="Arial" w:cs="Arial"/>
                <w:sz w:val="24"/>
                <w:szCs w:val="24"/>
              </w:rPr>
              <w:t xml:space="preserve">Louis </w:t>
            </w:r>
            <w:proofErr w:type="spellStart"/>
            <w:r w:rsidRPr="004907E9">
              <w:rPr>
                <w:rFonts w:ascii="Arial" w:eastAsia="Calibri" w:hAnsi="Arial" w:cs="Arial"/>
                <w:sz w:val="24"/>
                <w:szCs w:val="24"/>
              </w:rPr>
              <w:t>Pérusse</w:t>
            </w:r>
            <w:proofErr w:type="spellEnd"/>
            <w:r w:rsidRPr="004907E9">
              <w:rPr>
                <w:rFonts w:ascii="Arial" w:eastAsia="Calibri" w:hAnsi="Arial" w:cs="Arial"/>
                <w:sz w:val="24"/>
                <w:szCs w:val="24"/>
              </w:rPr>
              <w:t>, PhD</w:t>
            </w:r>
          </w:p>
        </w:tc>
      </w:tr>
      <w:tr w:rsidR="00C748FF" w:rsidRPr="004907E9" w14:paraId="204553B6" w14:textId="77777777" w:rsidTr="00A86CCC">
        <w:tc>
          <w:tcPr>
            <w:tcW w:w="4675" w:type="dxa"/>
          </w:tcPr>
          <w:p w14:paraId="11666883" w14:textId="42F9B79F" w:rsidR="00C748FF" w:rsidRPr="004907E9" w:rsidRDefault="00C748FF" w:rsidP="00152BFC">
            <w:pPr>
              <w:rPr>
                <w:rFonts w:ascii="Arial" w:eastAsia="Calibri" w:hAnsi="Arial" w:cs="Arial"/>
                <w:b/>
                <w:sz w:val="24"/>
                <w:szCs w:val="24"/>
              </w:rPr>
            </w:pPr>
            <w:r w:rsidRPr="009511EF">
              <w:rPr>
                <w:rFonts w:ascii="Arial" w:eastAsia="Calibri" w:hAnsi="Arial" w:cs="Arial"/>
                <w:sz w:val="24"/>
                <w:szCs w:val="24"/>
                <w:lang w:val="fr-CA"/>
              </w:rPr>
              <w:t xml:space="preserve">Diane Drolet, </w:t>
            </w:r>
            <w:proofErr w:type="spellStart"/>
            <w:r w:rsidRPr="009511EF">
              <w:rPr>
                <w:rFonts w:ascii="Arial" w:eastAsia="Calibri" w:hAnsi="Arial" w:cs="Arial"/>
                <w:sz w:val="24"/>
                <w:szCs w:val="24"/>
                <w:lang w:val="fr-CA"/>
              </w:rPr>
              <w:t>MSc</w:t>
            </w:r>
            <w:proofErr w:type="spellEnd"/>
          </w:p>
        </w:tc>
        <w:tc>
          <w:tcPr>
            <w:tcW w:w="4675" w:type="dxa"/>
          </w:tcPr>
          <w:p w14:paraId="20C42828" w14:textId="333A0686" w:rsidR="00C748FF" w:rsidRPr="00C748FF" w:rsidRDefault="00C748FF" w:rsidP="00152BFC">
            <w:pPr>
              <w:rPr>
                <w:rFonts w:ascii="Arial" w:eastAsia="Calibri" w:hAnsi="Arial" w:cs="Arial"/>
                <w:sz w:val="24"/>
                <w:szCs w:val="24"/>
                <w:lang w:val="fr-CA"/>
              </w:rPr>
            </w:pPr>
            <w:r w:rsidRPr="008F0FEB">
              <w:rPr>
                <w:rFonts w:ascii="Arial" w:eastAsia="Calibri" w:hAnsi="Arial" w:cs="Arial"/>
                <w:sz w:val="24"/>
                <w:szCs w:val="24"/>
                <w:lang w:val="fr-CA"/>
              </w:rPr>
              <w:t xml:space="preserve">Denis Prud’homme, MD, </w:t>
            </w:r>
            <w:proofErr w:type="spellStart"/>
            <w:r w:rsidRPr="008F0FEB">
              <w:rPr>
                <w:rFonts w:ascii="Arial" w:eastAsia="Calibri" w:hAnsi="Arial" w:cs="Arial"/>
                <w:sz w:val="24"/>
                <w:szCs w:val="24"/>
                <w:lang w:val="fr-CA"/>
              </w:rPr>
              <w:t>MSc</w:t>
            </w:r>
            <w:proofErr w:type="spellEnd"/>
          </w:p>
        </w:tc>
      </w:tr>
      <w:tr w:rsidR="00C748FF" w:rsidRPr="004907E9" w14:paraId="5FBE6330" w14:textId="77777777" w:rsidTr="00A86CCC">
        <w:tc>
          <w:tcPr>
            <w:tcW w:w="4675" w:type="dxa"/>
          </w:tcPr>
          <w:p w14:paraId="1EA9240B" w14:textId="635CA014" w:rsidR="00C748FF" w:rsidRPr="004907E9" w:rsidRDefault="00C748FF" w:rsidP="00152BFC">
            <w:pPr>
              <w:rPr>
                <w:rFonts w:ascii="Arial" w:eastAsia="Calibri" w:hAnsi="Arial" w:cs="Arial"/>
                <w:b/>
                <w:sz w:val="24"/>
                <w:szCs w:val="24"/>
              </w:rPr>
            </w:pPr>
            <w:r w:rsidRPr="004907E9">
              <w:rPr>
                <w:rFonts w:ascii="Arial" w:eastAsia="Calibri" w:hAnsi="Arial" w:cs="Arial"/>
                <w:sz w:val="24"/>
                <w:szCs w:val="24"/>
              </w:rPr>
              <w:t>Jacques Gagnon, PhD</w:t>
            </w:r>
          </w:p>
        </w:tc>
        <w:tc>
          <w:tcPr>
            <w:tcW w:w="4675" w:type="dxa"/>
          </w:tcPr>
          <w:p w14:paraId="59D872F1" w14:textId="493ADD24" w:rsidR="00C748FF" w:rsidRPr="00B00D8D" w:rsidRDefault="00B00D8D" w:rsidP="00152BFC">
            <w:pPr>
              <w:rPr>
                <w:rFonts w:ascii="Arial" w:eastAsia="Calibri" w:hAnsi="Arial" w:cs="Arial"/>
                <w:sz w:val="24"/>
                <w:szCs w:val="24"/>
                <w:lang w:val="fr-CA"/>
              </w:rPr>
            </w:pPr>
            <w:r w:rsidRPr="008F0FEB">
              <w:rPr>
                <w:rFonts w:ascii="Arial" w:eastAsia="Calibri" w:hAnsi="Arial" w:cs="Arial"/>
                <w:sz w:val="24"/>
                <w:szCs w:val="24"/>
                <w:lang w:val="fr-CA"/>
              </w:rPr>
              <w:t>Jean-Aime Simoneau, PhD</w:t>
            </w:r>
          </w:p>
        </w:tc>
      </w:tr>
      <w:tr w:rsidR="00C748FF" w:rsidRPr="004907E9" w14:paraId="358EC76C" w14:textId="77777777" w:rsidTr="00A86CCC">
        <w:tc>
          <w:tcPr>
            <w:tcW w:w="4675" w:type="dxa"/>
          </w:tcPr>
          <w:p w14:paraId="25F007E6" w14:textId="38DAF2A5" w:rsidR="00C748FF" w:rsidRPr="004907E9" w:rsidRDefault="00C748FF" w:rsidP="00152BFC">
            <w:pPr>
              <w:rPr>
                <w:rFonts w:ascii="Arial" w:eastAsia="Calibri" w:hAnsi="Arial" w:cs="Arial"/>
                <w:b/>
                <w:sz w:val="24"/>
                <w:szCs w:val="24"/>
              </w:rPr>
            </w:pPr>
            <w:r w:rsidRPr="004907E9">
              <w:rPr>
                <w:rFonts w:ascii="Arial" w:eastAsia="Calibri" w:hAnsi="Arial" w:cs="Arial"/>
                <w:sz w:val="24"/>
                <w:szCs w:val="24"/>
              </w:rPr>
              <w:t>My-Anh Ho-Kim</w:t>
            </w:r>
            <w:r>
              <w:rPr>
                <w:rFonts w:ascii="Arial" w:eastAsia="Calibri" w:hAnsi="Arial" w:cs="Arial"/>
                <w:sz w:val="24"/>
                <w:szCs w:val="24"/>
              </w:rPr>
              <w:t>, MSc</w:t>
            </w:r>
          </w:p>
        </w:tc>
        <w:tc>
          <w:tcPr>
            <w:tcW w:w="4675" w:type="dxa"/>
          </w:tcPr>
          <w:p w14:paraId="046BC5C5" w14:textId="4FAF1E66" w:rsidR="00C748FF" w:rsidRPr="004907E9" w:rsidRDefault="00B00D8D" w:rsidP="00152BFC">
            <w:pPr>
              <w:rPr>
                <w:rFonts w:ascii="Arial" w:eastAsia="Calibri" w:hAnsi="Arial" w:cs="Arial"/>
                <w:b/>
                <w:sz w:val="24"/>
                <w:szCs w:val="24"/>
              </w:rPr>
            </w:pPr>
            <w:proofErr w:type="spellStart"/>
            <w:r w:rsidRPr="004907E9">
              <w:rPr>
                <w:rFonts w:ascii="Arial" w:eastAsia="Calibri" w:hAnsi="Arial" w:cs="Arial"/>
                <w:sz w:val="24"/>
                <w:szCs w:val="24"/>
              </w:rPr>
              <w:t>Germain</w:t>
            </w:r>
            <w:proofErr w:type="spellEnd"/>
            <w:r w:rsidRPr="004907E9">
              <w:rPr>
                <w:rFonts w:ascii="Arial" w:eastAsia="Calibri" w:hAnsi="Arial" w:cs="Arial"/>
                <w:sz w:val="24"/>
                <w:szCs w:val="24"/>
              </w:rPr>
              <w:t xml:space="preserve"> </w:t>
            </w:r>
            <w:proofErr w:type="spellStart"/>
            <w:r w:rsidRPr="004907E9">
              <w:rPr>
                <w:rFonts w:ascii="Arial" w:eastAsia="Calibri" w:hAnsi="Arial" w:cs="Arial"/>
                <w:sz w:val="24"/>
                <w:szCs w:val="24"/>
              </w:rPr>
              <w:t>Thériault</w:t>
            </w:r>
            <w:proofErr w:type="spellEnd"/>
            <w:r w:rsidRPr="004907E9">
              <w:rPr>
                <w:rFonts w:ascii="Arial" w:eastAsia="Calibri" w:hAnsi="Arial" w:cs="Arial"/>
                <w:sz w:val="24"/>
                <w:szCs w:val="24"/>
              </w:rPr>
              <w:t>, MD</w:t>
            </w:r>
          </w:p>
        </w:tc>
      </w:tr>
      <w:tr w:rsidR="00C748FF" w:rsidRPr="004907E9" w14:paraId="0771CEB9" w14:textId="77777777" w:rsidTr="00A86CCC">
        <w:tc>
          <w:tcPr>
            <w:tcW w:w="4675" w:type="dxa"/>
          </w:tcPr>
          <w:p w14:paraId="41853E32" w14:textId="145ADB38" w:rsidR="00C748FF" w:rsidRPr="00C748FF" w:rsidRDefault="00C748FF" w:rsidP="00152BFC">
            <w:pPr>
              <w:rPr>
                <w:rFonts w:ascii="Arial" w:eastAsia="Calibri" w:hAnsi="Arial" w:cs="Arial"/>
                <w:sz w:val="24"/>
                <w:szCs w:val="24"/>
              </w:rPr>
            </w:pPr>
            <w:r>
              <w:rPr>
                <w:rFonts w:ascii="Arial" w:eastAsia="Calibri" w:hAnsi="Arial" w:cs="Arial"/>
                <w:sz w:val="24"/>
                <w:szCs w:val="24"/>
              </w:rPr>
              <w:t xml:space="preserve">Karen Horth, </w:t>
            </w:r>
          </w:p>
        </w:tc>
        <w:tc>
          <w:tcPr>
            <w:tcW w:w="4675" w:type="dxa"/>
          </w:tcPr>
          <w:p w14:paraId="2FAFD457" w14:textId="7A78B470" w:rsidR="00C748FF" w:rsidRPr="004907E9" w:rsidRDefault="00B00D8D" w:rsidP="00152BFC">
            <w:pPr>
              <w:rPr>
                <w:rFonts w:ascii="Arial" w:eastAsia="Calibri" w:hAnsi="Arial" w:cs="Arial"/>
                <w:b/>
                <w:sz w:val="24"/>
                <w:szCs w:val="24"/>
              </w:rPr>
            </w:pPr>
            <w:r w:rsidRPr="004907E9">
              <w:rPr>
                <w:rFonts w:ascii="Arial" w:eastAsia="Calibri" w:hAnsi="Arial" w:cs="Arial"/>
                <w:sz w:val="24"/>
                <w:szCs w:val="24"/>
              </w:rPr>
              <w:t>Angelo Tremblay, PhD</w:t>
            </w:r>
          </w:p>
        </w:tc>
      </w:tr>
      <w:tr w:rsidR="00C748FF" w:rsidRPr="004907E9" w14:paraId="52CE6DEA" w14:textId="77777777" w:rsidTr="00A86CCC">
        <w:tc>
          <w:tcPr>
            <w:tcW w:w="4675" w:type="dxa"/>
          </w:tcPr>
          <w:p w14:paraId="34143CC4" w14:textId="3B3412BD" w:rsidR="00C748FF" w:rsidRPr="004907E9" w:rsidRDefault="00C748FF" w:rsidP="00152BFC">
            <w:pPr>
              <w:rPr>
                <w:rFonts w:ascii="Arial" w:eastAsia="Calibri" w:hAnsi="Arial" w:cs="Arial"/>
                <w:b/>
                <w:sz w:val="24"/>
                <w:szCs w:val="24"/>
              </w:rPr>
            </w:pPr>
            <w:r w:rsidRPr="005516BB">
              <w:rPr>
                <w:rFonts w:ascii="Arial" w:eastAsia="Calibri" w:hAnsi="Arial" w:cs="Arial"/>
                <w:sz w:val="24"/>
                <w:szCs w:val="24"/>
                <w:lang w:val="fr-CA"/>
              </w:rPr>
              <w:t>Louise L</w:t>
            </w:r>
            <w:r>
              <w:rPr>
                <w:rFonts w:ascii="Arial" w:eastAsia="Calibri" w:hAnsi="Arial" w:cs="Arial"/>
                <w:sz w:val="24"/>
                <w:szCs w:val="24"/>
                <w:lang w:val="fr-CA"/>
              </w:rPr>
              <w:t>aberge,</w:t>
            </w:r>
          </w:p>
        </w:tc>
        <w:tc>
          <w:tcPr>
            <w:tcW w:w="4675" w:type="dxa"/>
          </w:tcPr>
          <w:p w14:paraId="076BEF77" w14:textId="23D428EF" w:rsidR="00C748FF" w:rsidRPr="004907E9" w:rsidRDefault="00B00D8D" w:rsidP="00152BFC">
            <w:pPr>
              <w:rPr>
                <w:rFonts w:ascii="Arial" w:eastAsia="Calibri" w:hAnsi="Arial" w:cs="Arial"/>
                <w:b/>
                <w:sz w:val="24"/>
                <w:szCs w:val="24"/>
              </w:rPr>
            </w:pPr>
            <w:r>
              <w:rPr>
                <w:rFonts w:ascii="Arial" w:eastAsia="Calibri" w:hAnsi="Arial" w:cs="Arial"/>
                <w:sz w:val="24"/>
                <w:szCs w:val="24"/>
              </w:rPr>
              <w:t>John Weisnagel, MD, PhD</w:t>
            </w:r>
          </w:p>
        </w:tc>
      </w:tr>
      <w:tr w:rsidR="00C748FF" w:rsidRPr="004907E9" w14:paraId="5F798F68" w14:textId="77777777" w:rsidTr="00A86CCC">
        <w:tc>
          <w:tcPr>
            <w:tcW w:w="4675" w:type="dxa"/>
          </w:tcPr>
          <w:p w14:paraId="545B8100" w14:textId="77777777" w:rsidR="00C748FF" w:rsidRPr="004907E9" w:rsidRDefault="00C748FF" w:rsidP="00152BFC">
            <w:pPr>
              <w:rPr>
                <w:rFonts w:ascii="Arial" w:eastAsia="Calibri" w:hAnsi="Arial" w:cs="Arial"/>
                <w:b/>
                <w:sz w:val="24"/>
                <w:szCs w:val="24"/>
              </w:rPr>
            </w:pPr>
          </w:p>
        </w:tc>
        <w:tc>
          <w:tcPr>
            <w:tcW w:w="4675" w:type="dxa"/>
          </w:tcPr>
          <w:p w14:paraId="5570B26B" w14:textId="77777777" w:rsidR="00C748FF" w:rsidRPr="004907E9" w:rsidRDefault="00C748FF" w:rsidP="00152BFC">
            <w:pPr>
              <w:rPr>
                <w:rFonts w:ascii="Arial" w:eastAsia="Calibri" w:hAnsi="Arial" w:cs="Arial"/>
                <w:b/>
                <w:sz w:val="24"/>
                <w:szCs w:val="24"/>
              </w:rPr>
            </w:pPr>
          </w:p>
        </w:tc>
      </w:tr>
      <w:tr w:rsidR="00B00D8D" w:rsidRPr="004907E9" w14:paraId="22387275" w14:textId="77777777" w:rsidTr="00A86CCC">
        <w:tc>
          <w:tcPr>
            <w:tcW w:w="9350" w:type="dxa"/>
            <w:gridSpan w:val="2"/>
          </w:tcPr>
          <w:p w14:paraId="14D749D7" w14:textId="26638A13" w:rsidR="00B00D8D" w:rsidRPr="00EC3019" w:rsidRDefault="00B00D8D" w:rsidP="00152BFC">
            <w:pPr>
              <w:rPr>
                <w:rFonts w:ascii="Arial" w:eastAsia="Calibri" w:hAnsi="Arial" w:cs="Arial"/>
                <w:b/>
                <w:sz w:val="24"/>
                <w:szCs w:val="24"/>
                <w:u w:val="single"/>
              </w:rPr>
            </w:pPr>
            <w:r w:rsidRPr="00EC3019">
              <w:rPr>
                <w:rFonts w:ascii="Arial" w:eastAsia="Calibri" w:hAnsi="Arial" w:cs="Arial"/>
                <w:b/>
                <w:sz w:val="24"/>
                <w:szCs w:val="24"/>
                <w:u w:val="single"/>
              </w:rPr>
              <w:t>Washington University Data Coordinating Center</w:t>
            </w:r>
          </w:p>
        </w:tc>
      </w:tr>
      <w:tr w:rsidR="00C748FF" w:rsidRPr="004907E9" w14:paraId="42502CDA" w14:textId="77777777" w:rsidTr="00A86CCC">
        <w:tc>
          <w:tcPr>
            <w:tcW w:w="4675" w:type="dxa"/>
          </w:tcPr>
          <w:p w14:paraId="2EF7A905" w14:textId="749E1EE1" w:rsidR="00C748FF" w:rsidRPr="00AF0689" w:rsidRDefault="00B00D8D" w:rsidP="00152BFC">
            <w:pPr>
              <w:rPr>
                <w:rFonts w:ascii="Arial" w:eastAsia="Calibri" w:hAnsi="Arial" w:cs="Arial"/>
                <w:sz w:val="24"/>
                <w:szCs w:val="24"/>
              </w:rPr>
            </w:pPr>
            <w:r w:rsidRPr="004907E9">
              <w:rPr>
                <w:rFonts w:ascii="Arial" w:eastAsia="Calibri" w:hAnsi="Arial" w:cs="Arial"/>
                <w:sz w:val="24"/>
                <w:szCs w:val="24"/>
              </w:rPr>
              <w:t>PI: D. C. Rao, PhD</w:t>
            </w:r>
          </w:p>
        </w:tc>
        <w:tc>
          <w:tcPr>
            <w:tcW w:w="4675" w:type="dxa"/>
          </w:tcPr>
          <w:p w14:paraId="6E1BF9EF" w14:textId="1D332361" w:rsidR="00C748FF" w:rsidRPr="004907E9" w:rsidRDefault="00C748FF" w:rsidP="00152BFC">
            <w:pPr>
              <w:rPr>
                <w:rFonts w:ascii="Arial" w:eastAsia="Calibri" w:hAnsi="Arial" w:cs="Arial"/>
                <w:sz w:val="24"/>
                <w:szCs w:val="24"/>
              </w:rPr>
            </w:pPr>
          </w:p>
        </w:tc>
      </w:tr>
      <w:tr w:rsidR="00C748FF" w:rsidRPr="004907E9" w14:paraId="7E56377F" w14:textId="77777777" w:rsidTr="00A86CCC">
        <w:tc>
          <w:tcPr>
            <w:tcW w:w="4675" w:type="dxa"/>
          </w:tcPr>
          <w:p w14:paraId="18D577BF" w14:textId="77777777" w:rsidR="00C748FF" w:rsidRPr="004907E9" w:rsidRDefault="00C748FF" w:rsidP="00152BFC">
            <w:pPr>
              <w:rPr>
                <w:rFonts w:ascii="Arial" w:eastAsia="Calibri" w:hAnsi="Arial" w:cs="Arial"/>
                <w:sz w:val="24"/>
                <w:szCs w:val="24"/>
              </w:rPr>
            </w:pPr>
          </w:p>
        </w:tc>
        <w:tc>
          <w:tcPr>
            <w:tcW w:w="4675" w:type="dxa"/>
          </w:tcPr>
          <w:p w14:paraId="505F97FA" w14:textId="4E2874A8" w:rsidR="00C748FF" w:rsidRPr="004907E9" w:rsidRDefault="00C748FF" w:rsidP="00152BFC">
            <w:pPr>
              <w:rPr>
                <w:rFonts w:ascii="Arial" w:eastAsia="Calibri" w:hAnsi="Arial" w:cs="Arial"/>
                <w:sz w:val="24"/>
                <w:szCs w:val="24"/>
              </w:rPr>
            </w:pPr>
          </w:p>
        </w:tc>
      </w:tr>
      <w:tr w:rsidR="00C748FF" w:rsidRPr="004907E9" w14:paraId="115C9DF1" w14:textId="77777777" w:rsidTr="00A86CCC">
        <w:tc>
          <w:tcPr>
            <w:tcW w:w="4675" w:type="dxa"/>
          </w:tcPr>
          <w:p w14:paraId="4C9BEFA2" w14:textId="27B22835" w:rsidR="00C748FF" w:rsidRPr="004907E9" w:rsidRDefault="00B00D8D" w:rsidP="00152BFC">
            <w:pPr>
              <w:rPr>
                <w:rFonts w:ascii="Arial" w:eastAsia="Calibri" w:hAnsi="Arial" w:cs="Arial"/>
                <w:sz w:val="24"/>
                <w:szCs w:val="24"/>
              </w:rPr>
            </w:pPr>
            <w:r>
              <w:rPr>
                <w:rFonts w:ascii="Arial" w:eastAsia="Calibri" w:hAnsi="Arial" w:cs="Arial"/>
                <w:sz w:val="24"/>
                <w:szCs w:val="24"/>
              </w:rPr>
              <w:t>Ping An, MD</w:t>
            </w:r>
          </w:p>
        </w:tc>
        <w:tc>
          <w:tcPr>
            <w:tcW w:w="4675" w:type="dxa"/>
          </w:tcPr>
          <w:p w14:paraId="1544F44B" w14:textId="143BD581" w:rsidR="00C748FF" w:rsidRPr="004907E9" w:rsidRDefault="004C5ADC" w:rsidP="00152BFC">
            <w:pPr>
              <w:rPr>
                <w:rFonts w:ascii="Arial" w:eastAsia="Calibri" w:hAnsi="Arial" w:cs="Arial"/>
                <w:sz w:val="24"/>
                <w:szCs w:val="24"/>
              </w:rPr>
            </w:pPr>
            <w:r w:rsidRPr="00746538">
              <w:rPr>
                <w:rFonts w:ascii="Arial" w:eastAsia="Calibri" w:hAnsi="Arial" w:cs="Arial"/>
                <w:sz w:val="24"/>
                <w:szCs w:val="24"/>
                <w:lang w:val="de-DE"/>
              </w:rPr>
              <w:t>Zhaohai Li, PhD</w:t>
            </w:r>
          </w:p>
        </w:tc>
      </w:tr>
      <w:tr w:rsidR="00C748FF" w:rsidRPr="004907E9" w14:paraId="07A7A320" w14:textId="77777777" w:rsidTr="00A86CCC">
        <w:tc>
          <w:tcPr>
            <w:tcW w:w="4675" w:type="dxa"/>
          </w:tcPr>
          <w:p w14:paraId="602DC7AD" w14:textId="27E63A5F" w:rsidR="00C748FF" w:rsidRPr="009511EF" w:rsidRDefault="00B00D8D" w:rsidP="00152BFC">
            <w:pPr>
              <w:rPr>
                <w:rFonts w:ascii="Arial" w:eastAsia="Calibri" w:hAnsi="Arial" w:cs="Arial"/>
                <w:sz w:val="24"/>
                <w:szCs w:val="24"/>
                <w:lang w:val="fr-CA"/>
              </w:rPr>
            </w:pPr>
            <w:r w:rsidRPr="004907E9">
              <w:rPr>
                <w:rFonts w:ascii="Arial" w:eastAsia="Calibri" w:hAnsi="Arial" w:cs="Arial"/>
                <w:sz w:val="24"/>
                <w:szCs w:val="24"/>
              </w:rPr>
              <w:t>Ingrid B. Borecki, PhD</w:t>
            </w:r>
          </w:p>
        </w:tc>
        <w:tc>
          <w:tcPr>
            <w:tcW w:w="4675" w:type="dxa"/>
          </w:tcPr>
          <w:p w14:paraId="57523427" w14:textId="75ED1506" w:rsidR="00C748FF" w:rsidRPr="004907E9" w:rsidRDefault="004C5ADC" w:rsidP="00152BFC">
            <w:pPr>
              <w:rPr>
                <w:rFonts w:ascii="Arial" w:eastAsia="Calibri" w:hAnsi="Arial" w:cs="Arial"/>
                <w:sz w:val="24"/>
                <w:szCs w:val="24"/>
              </w:rPr>
            </w:pPr>
            <w:r w:rsidRPr="00746538">
              <w:rPr>
                <w:rFonts w:ascii="Arial" w:eastAsia="Calibri" w:hAnsi="Arial" w:cs="Arial"/>
                <w:sz w:val="24"/>
                <w:szCs w:val="24"/>
                <w:lang w:val="de-DE"/>
              </w:rPr>
              <w:t>Stephen Mendel, PhD</w:t>
            </w:r>
          </w:p>
        </w:tc>
      </w:tr>
      <w:tr w:rsidR="00C748FF" w:rsidRPr="008F0FEB" w14:paraId="7AEF097B" w14:textId="77777777" w:rsidTr="00A86CCC">
        <w:tc>
          <w:tcPr>
            <w:tcW w:w="4675" w:type="dxa"/>
          </w:tcPr>
          <w:p w14:paraId="4529A5C4" w14:textId="057A3AFE" w:rsidR="00C748FF" w:rsidRPr="004907E9" w:rsidRDefault="00B00D8D" w:rsidP="00152BFC">
            <w:pPr>
              <w:rPr>
                <w:rFonts w:ascii="Arial" w:eastAsia="Calibri" w:hAnsi="Arial" w:cs="Arial"/>
                <w:sz w:val="24"/>
                <w:szCs w:val="24"/>
              </w:rPr>
            </w:pPr>
            <w:r w:rsidRPr="004907E9">
              <w:rPr>
                <w:rFonts w:ascii="Arial" w:eastAsia="Calibri" w:hAnsi="Arial" w:cs="Arial"/>
                <w:sz w:val="24"/>
                <w:szCs w:val="24"/>
              </w:rPr>
              <w:t>Harry Cheng, MSc</w:t>
            </w:r>
          </w:p>
        </w:tc>
        <w:tc>
          <w:tcPr>
            <w:tcW w:w="4675" w:type="dxa"/>
          </w:tcPr>
          <w:p w14:paraId="46B3CDE8" w14:textId="0C5B1FA6" w:rsidR="00C748FF" w:rsidRPr="008F0FEB" w:rsidRDefault="004C5ADC" w:rsidP="00152BFC">
            <w:pPr>
              <w:rPr>
                <w:rFonts w:ascii="Arial" w:eastAsia="Calibri" w:hAnsi="Arial" w:cs="Arial"/>
                <w:sz w:val="24"/>
                <w:szCs w:val="24"/>
                <w:lang w:val="fr-CA"/>
              </w:rPr>
            </w:pPr>
            <w:r w:rsidRPr="004907E9">
              <w:rPr>
                <w:rFonts w:ascii="Arial" w:eastAsia="Calibri" w:hAnsi="Arial" w:cs="Arial"/>
                <w:sz w:val="24"/>
                <w:szCs w:val="24"/>
              </w:rPr>
              <w:t>Laura E. Mitchell, PhD</w:t>
            </w:r>
          </w:p>
        </w:tc>
      </w:tr>
      <w:tr w:rsidR="00C748FF" w:rsidRPr="004907E9" w14:paraId="3134E24E" w14:textId="77777777" w:rsidTr="00A86CCC">
        <w:tc>
          <w:tcPr>
            <w:tcW w:w="4675" w:type="dxa"/>
          </w:tcPr>
          <w:p w14:paraId="3F4BA979" w14:textId="43E4BAF3" w:rsidR="00C748FF" w:rsidRPr="004907E9" w:rsidRDefault="00B00D8D" w:rsidP="00152BFC">
            <w:pPr>
              <w:rPr>
                <w:rFonts w:ascii="Arial" w:eastAsia="Calibri" w:hAnsi="Arial" w:cs="Arial"/>
                <w:sz w:val="24"/>
                <w:szCs w:val="24"/>
              </w:rPr>
            </w:pPr>
            <w:r>
              <w:rPr>
                <w:rFonts w:ascii="Arial" w:eastAsia="Calibri" w:hAnsi="Arial" w:cs="Arial"/>
                <w:sz w:val="24"/>
                <w:szCs w:val="24"/>
              </w:rPr>
              <w:t>Gu Chi, PhD</w:t>
            </w:r>
          </w:p>
        </w:tc>
        <w:tc>
          <w:tcPr>
            <w:tcW w:w="4675" w:type="dxa"/>
          </w:tcPr>
          <w:p w14:paraId="54B14F1D" w14:textId="3539C28A" w:rsidR="00C748FF" w:rsidRPr="00B00D8D" w:rsidRDefault="004C5ADC" w:rsidP="00152BFC">
            <w:pPr>
              <w:rPr>
                <w:rFonts w:ascii="Arial" w:eastAsia="Calibri" w:hAnsi="Arial" w:cs="Arial"/>
                <w:sz w:val="24"/>
                <w:szCs w:val="24"/>
                <w:lang w:val="de-DE"/>
              </w:rPr>
            </w:pPr>
            <w:r w:rsidRPr="004907E9">
              <w:rPr>
                <w:rFonts w:ascii="Arial" w:eastAsia="Calibri" w:hAnsi="Arial" w:cs="Arial"/>
                <w:sz w:val="24"/>
                <w:szCs w:val="24"/>
              </w:rPr>
              <w:t>Michael A. Province, PhD</w:t>
            </w:r>
          </w:p>
        </w:tc>
      </w:tr>
      <w:tr w:rsidR="00C748FF" w:rsidRPr="004907E9" w14:paraId="72A617B6" w14:textId="77777777" w:rsidTr="00A86CCC">
        <w:tc>
          <w:tcPr>
            <w:tcW w:w="4675" w:type="dxa"/>
          </w:tcPr>
          <w:p w14:paraId="264FDE2A" w14:textId="65822775" w:rsidR="00C748FF" w:rsidRPr="00B00D8D" w:rsidRDefault="00B00D8D" w:rsidP="00152BFC">
            <w:pPr>
              <w:rPr>
                <w:rFonts w:ascii="Arial" w:eastAsia="Calibri" w:hAnsi="Arial" w:cs="Arial"/>
                <w:sz w:val="24"/>
                <w:szCs w:val="24"/>
                <w:lang w:val="de-DE"/>
              </w:rPr>
            </w:pPr>
            <w:r w:rsidRPr="008F0FEB">
              <w:rPr>
                <w:rFonts w:ascii="Arial" w:eastAsia="Calibri" w:hAnsi="Arial" w:cs="Arial"/>
                <w:sz w:val="24"/>
                <w:szCs w:val="24"/>
                <w:lang w:val="de-DE"/>
              </w:rPr>
              <w:t>Warwick Daw, PhD</w:t>
            </w:r>
          </w:p>
        </w:tc>
        <w:tc>
          <w:tcPr>
            <w:tcW w:w="4675" w:type="dxa"/>
          </w:tcPr>
          <w:p w14:paraId="610AB3F1" w14:textId="6FB41C74" w:rsidR="00C748FF" w:rsidRPr="004907E9" w:rsidRDefault="004C5ADC" w:rsidP="00152BFC">
            <w:pPr>
              <w:rPr>
                <w:rFonts w:ascii="Arial" w:eastAsia="Calibri" w:hAnsi="Arial" w:cs="Arial"/>
                <w:sz w:val="24"/>
                <w:szCs w:val="24"/>
              </w:rPr>
            </w:pPr>
            <w:r w:rsidRPr="00746538">
              <w:rPr>
                <w:rFonts w:ascii="Arial" w:eastAsia="Calibri" w:hAnsi="Arial" w:cs="Arial"/>
                <w:sz w:val="24"/>
                <w:szCs w:val="24"/>
                <w:lang w:val="de-DE"/>
              </w:rPr>
              <w:t>Treva Rice, PhD</w:t>
            </w:r>
          </w:p>
        </w:tc>
      </w:tr>
      <w:tr w:rsidR="00C748FF" w:rsidRPr="004907E9" w14:paraId="79573816" w14:textId="77777777" w:rsidTr="00A86CCC">
        <w:tc>
          <w:tcPr>
            <w:tcW w:w="4675" w:type="dxa"/>
          </w:tcPr>
          <w:p w14:paraId="68E8A849" w14:textId="6944772A" w:rsidR="00C748FF" w:rsidRPr="004907E9" w:rsidRDefault="00B00D8D" w:rsidP="00152BFC">
            <w:pPr>
              <w:rPr>
                <w:rFonts w:ascii="Arial" w:eastAsia="Calibri" w:hAnsi="Arial" w:cs="Arial"/>
                <w:sz w:val="24"/>
                <w:szCs w:val="24"/>
              </w:rPr>
            </w:pPr>
            <w:r w:rsidRPr="008F0FEB">
              <w:rPr>
                <w:rFonts w:ascii="Arial" w:eastAsia="Calibri" w:hAnsi="Arial" w:cs="Arial"/>
                <w:sz w:val="24"/>
                <w:szCs w:val="24"/>
                <w:lang w:val="de-DE"/>
              </w:rPr>
              <w:t>Habib El-Moalem, PhD</w:t>
            </w:r>
          </w:p>
        </w:tc>
        <w:tc>
          <w:tcPr>
            <w:tcW w:w="4675" w:type="dxa"/>
          </w:tcPr>
          <w:p w14:paraId="408CEC6F" w14:textId="5EC51849" w:rsidR="00C748FF" w:rsidRPr="004907E9" w:rsidRDefault="004C5ADC" w:rsidP="00152BFC">
            <w:pPr>
              <w:rPr>
                <w:rFonts w:ascii="Arial" w:eastAsia="Calibri" w:hAnsi="Arial" w:cs="Arial"/>
                <w:sz w:val="24"/>
                <w:szCs w:val="24"/>
              </w:rPr>
            </w:pPr>
            <w:r w:rsidRPr="00746538">
              <w:rPr>
                <w:rFonts w:ascii="Arial" w:eastAsia="Calibri" w:hAnsi="Arial" w:cs="Arial"/>
                <w:sz w:val="24"/>
                <w:szCs w:val="24"/>
                <w:lang w:val="de-DE"/>
              </w:rPr>
              <w:t>Kathryn A. Schallert, BSc</w:t>
            </w:r>
          </w:p>
        </w:tc>
      </w:tr>
      <w:tr w:rsidR="00C748FF" w:rsidRPr="004907E9" w14:paraId="1816B417" w14:textId="77777777" w:rsidTr="00A86CCC">
        <w:tc>
          <w:tcPr>
            <w:tcW w:w="4675" w:type="dxa"/>
          </w:tcPr>
          <w:p w14:paraId="220F9510" w14:textId="73C95B48" w:rsidR="00C748FF" w:rsidRPr="004907E9" w:rsidRDefault="00B00D8D" w:rsidP="00152BFC">
            <w:pPr>
              <w:rPr>
                <w:rFonts w:ascii="Arial" w:eastAsia="Calibri" w:hAnsi="Arial" w:cs="Arial"/>
                <w:sz w:val="24"/>
                <w:szCs w:val="24"/>
              </w:rPr>
            </w:pPr>
            <w:r w:rsidRPr="004907E9">
              <w:rPr>
                <w:rFonts w:ascii="Arial" w:eastAsia="Calibri" w:hAnsi="Arial" w:cs="Arial"/>
                <w:sz w:val="24"/>
                <w:szCs w:val="24"/>
              </w:rPr>
              <w:t xml:space="preserve">John O. </w:t>
            </w:r>
            <w:proofErr w:type="spellStart"/>
            <w:r w:rsidRPr="004907E9">
              <w:rPr>
                <w:rFonts w:ascii="Arial" w:eastAsia="Calibri" w:hAnsi="Arial" w:cs="Arial"/>
                <w:sz w:val="24"/>
                <w:szCs w:val="24"/>
              </w:rPr>
              <w:t>Holloszy</w:t>
            </w:r>
            <w:proofErr w:type="spellEnd"/>
            <w:r w:rsidRPr="004907E9">
              <w:rPr>
                <w:rFonts w:ascii="Arial" w:eastAsia="Calibri" w:hAnsi="Arial" w:cs="Arial"/>
                <w:sz w:val="24"/>
                <w:szCs w:val="24"/>
              </w:rPr>
              <w:t>, MD</w:t>
            </w:r>
          </w:p>
        </w:tc>
        <w:tc>
          <w:tcPr>
            <w:tcW w:w="4675" w:type="dxa"/>
          </w:tcPr>
          <w:p w14:paraId="4AD63E09" w14:textId="5ED48D3E" w:rsidR="00C748FF" w:rsidRPr="004907E9" w:rsidRDefault="004C5ADC" w:rsidP="00152BFC">
            <w:pPr>
              <w:rPr>
                <w:rFonts w:ascii="Arial" w:eastAsia="Calibri" w:hAnsi="Arial" w:cs="Arial"/>
                <w:sz w:val="24"/>
                <w:szCs w:val="24"/>
              </w:rPr>
            </w:pPr>
            <w:r w:rsidRPr="004907E9">
              <w:rPr>
                <w:rFonts w:ascii="Arial" w:eastAsia="Calibri" w:hAnsi="Arial" w:cs="Arial"/>
                <w:sz w:val="24"/>
                <w:szCs w:val="24"/>
              </w:rPr>
              <w:t>Kenneth B. Schechtman, PhD</w:t>
            </w:r>
          </w:p>
        </w:tc>
      </w:tr>
      <w:tr w:rsidR="00B00D8D" w:rsidRPr="004907E9" w14:paraId="3DD65DAC" w14:textId="77777777" w:rsidTr="00A86CCC">
        <w:tc>
          <w:tcPr>
            <w:tcW w:w="4675" w:type="dxa"/>
          </w:tcPr>
          <w:p w14:paraId="1DBA8B06" w14:textId="1938F4C5" w:rsidR="00B00D8D" w:rsidRPr="004907E9" w:rsidRDefault="00B00D8D" w:rsidP="00152BFC">
            <w:pPr>
              <w:rPr>
                <w:rFonts w:ascii="Arial" w:eastAsia="Calibri" w:hAnsi="Arial" w:cs="Arial"/>
                <w:sz w:val="24"/>
                <w:szCs w:val="24"/>
              </w:rPr>
            </w:pPr>
            <w:r>
              <w:rPr>
                <w:rFonts w:ascii="Arial" w:eastAsia="Calibri" w:hAnsi="Arial" w:cs="Arial"/>
                <w:sz w:val="24"/>
                <w:szCs w:val="24"/>
              </w:rPr>
              <w:t>Yuling Hong, MD</w:t>
            </w:r>
          </w:p>
        </w:tc>
        <w:tc>
          <w:tcPr>
            <w:tcW w:w="4675" w:type="dxa"/>
          </w:tcPr>
          <w:p w14:paraId="187439B4" w14:textId="134810A0" w:rsidR="00B00D8D" w:rsidRPr="004907E9" w:rsidRDefault="004C5ADC" w:rsidP="00152BFC">
            <w:pPr>
              <w:rPr>
                <w:rFonts w:ascii="Arial" w:eastAsia="Calibri" w:hAnsi="Arial" w:cs="Arial"/>
                <w:sz w:val="24"/>
                <w:szCs w:val="24"/>
              </w:rPr>
            </w:pPr>
            <w:r w:rsidRPr="004907E9">
              <w:rPr>
                <w:rFonts w:ascii="Arial" w:eastAsia="Calibri" w:hAnsi="Arial" w:cs="Arial"/>
                <w:sz w:val="24"/>
                <w:szCs w:val="24"/>
              </w:rPr>
              <w:t>George P. Vogler, PhD</w:t>
            </w:r>
          </w:p>
        </w:tc>
      </w:tr>
      <w:tr w:rsidR="00C748FF" w:rsidRPr="004907E9" w14:paraId="1457BB91" w14:textId="77777777" w:rsidTr="00A86CCC">
        <w:tc>
          <w:tcPr>
            <w:tcW w:w="4675" w:type="dxa"/>
          </w:tcPr>
          <w:p w14:paraId="3A07A182" w14:textId="70029BC0" w:rsidR="00C748FF" w:rsidRPr="004907E9" w:rsidRDefault="00B00D8D" w:rsidP="00152BFC">
            <w:pPr>
              <w:rPr>
                <w:rFonts w:ascii="Arial" w:eastAsia="Calibri" w:hAnsi="Arial" w:cs="Arial"/>
                <w:b/>
                <w:sz w:val="24"/>
                <w:szCs w:val="24"/>
              </w:rPr>
            </w:pPr>
            <w:r>
              <w:rPr>
                <w:rFonts w:ascii="Arial" w:eastAsia="Calibri" w:hAnsi="Arial" w:cs="Arial"/>
                <w:sz w:val="24"/>
                <w:szCs w:val="24"/>
              </w:rPr>
              <w:t>David J. Lerner, BSc</w:t>
            </w:r>
          </w:p>
        </w:tc>
        <w:tc>
          <w:tcPr>
            <w:tcW w:w="4675" w:type="dxa"/>
          </w:tcPr>
          <w:p w14:paraId="51CBD92F" w14:textId="77777777" w:rsidR="00C748FF" w:rsidRPr="004907E9" w:rsidRDefault="00C748FF" w:rsidP="00152BFC">
            <w:pPr>
              <w:rPr>
                <w:rFonts w:ascii="Arial" w:eastAsia="Calibri" w:hAnsi="Arial" w:cs="Arial"/>
                <w:b/>
                <w:sz w:val="24"/>
                <w:szCs w:val="24"/>
              </w:rPr>
            </w:pPr>
          </w:p>
        </w:tc>
      </w:tr>
      <w:tr w:rsidR="00B00D8D" w:rsidRPr="004907E9" w14:paraId="727E5D57" w14:textId="77777777" w:rsidTr="00A86CCC">
        <w:tc>
          <w:tcPr>
            <w:tcW w:w="4675" w:type="dxa"/>
          </w:tcPr>
          <w:p w14:paraId="1CF8391A" w14:textId="12EFCA98" w:rsidR="00B00D8D" w:rsidRPr="00B00D8D" w:rsidRDefault="00B00D8D" w:rsidP="00152BFC">
            <w:pPr>
              <w:rPr>
                <w:rFonts w:ascii="Arial" w:eastAsia="Calibri" w:hAnsi="Arial" w:cs="Arial"/>
                <w:sz w:val="24"/>
                <w:szCs w:val="24"/>
                <w:lang w:val="de-DE"/>
              </w:rPr>
            </w:pPr>
          </w:p>
        </w:tc>
        <w:tc>
          <w:tcPr>
            <w:tcW w:w="4675" w:type="dxa"/>
          </w:tcPr>
          <w:p w14:paraId="79B366DE" w14:textId="77777777" w:rsidR="00B00D8D" w:rsidRPr="004907E9" w:rsidRDefault="00B00D8D" w:rsidP="00152BFC">
            <w:pPr>
              <w:rPr>
                <w:rFonts w:ascii="Arial" w:eastAsia="Calibri" w:hAnsi="Arial" w:cs="Arial"/>
                <w:b/>
                <w:sz w:val="24"/>
                <w:szCs w:val="24"/>
              </w:rPr>
            </w:pPr>
          </w:p>
        </w:tc>
      </w:tr>
      <w:tr w:rsidR="00C748FF" w:rsidRPr="004907E9" w14:paraId="183A58CF" w14:textId="77777777" w:rsidTr="00A86CCC">
        <w:tc>
          <w:tcPr>
            <w:tcW w:w="9350" w:type="dxa"/>
            <w:gridSpan w:val="2"/>
          </w:tcPr>
          <w:p w14:paraId="71C47145" w14:textId="77777777" w:rsidR="00C748FF" w:rsidRPr="00AF0689" w:rsidRDefault="00C748FF" w:rsidP="00152BFC">
            <w:pPr>
              <w:rPr>
                <w:rFonts w:ascii="Arial" w:eastAsia="Calibri" w:hAnsi="Arial" w:cs="Arial"/>
                <w:b/>
                <w:sz w:val="24"/>
                <w:szCs w:val="24"/>
                <w:u w:val="single"/>
              </w:rPr>
            </w:pPr>
            <w:r w:rsidRPr="00AF0689">
              <w:rPr>
                <w:rFonts w:ascii="Arial" w:eastAsia="Calibri" w:hAnsi="Arial" w:cs="Arial"/>
                <w:b/>
                <w:sz w:val="24"/>
                <w:szCs w:val="24"/>
                <w:u w:val="single"/>
              </w:rPr>
              <w:t>Laval University Core Laboratories</w:t>
            </w:r>
          </w:p>
        </w:tc>
      </w:tr>
      <w:tr w:rsidR="00C748FF" w:rsidRPr="004907E9" w14:paraId="103D912B" w14:textId="77777777" w:rsidTr="00A86CCC">
        <w:tc>
          <w:tcPr>
            <w:tcW w:w="4675" w:type="dxa"/>
          </w:tcPr>
          <w:p w14:paraId="19EFD6FB" w14:textId="77777777" w:rsidR="00C748FF" w:rsidRPr="004907E9" w:rsidRDefault="00C748FF" w:rsidP="00152BFC">
            <w:pPr>
              <w:rPr>
                <w:rFonts w:ascii="Arial" w:eastAsia="Calibri" w:hAnsi="Arial" w:cs="Arial"/>
                <w:b/>
                <w:i/>
                <w:sz w:val="24"/>
                <w:szCs w:val="24"/>
              </w:rPr>
            </w:pPr>
            <w:r w:rsidRPr="004907E9">
              <w:rPr>
                <w:rFonts w:ascii="Arial" w:eastAsia="Calibri" w:hAnsi="Arial" w:cs="Arial"/>
                <w:b/>
                <w:i/>
                <w:sz w:val="24"/>
                <w:szCs w:val="24"/>
              </w:rPr>
              <w:t>Diabetes Research Unit</w:t>
            </w:r>
          </w:p>
        </w:tc>
        <w:tc>
          <w:tcPr>
            <w:tcW w:w="4675" w:type="dxa"/>
          </w:tcPr>
          <w:p w14:paraId="211726F0" w14:textId="77777777" w:rsidR="00C748FF" w:rsidRPr="004907E9" w:rsidRDefault="00C748FF" w:rsidP="00152BFC">
            <w:pPr>
              <w:rPr>
                <w:rFonts w:ascii="Arial" w:eastAsia="Calibri" w:hAnsi="Arial" w:cs="Arial"/>
                <w:b/>
                <w:i/>
                <w:sz w:val="24"/>
                <w:szCs w:val="24"/>
              </w:rPr>
            </w:pPr>
            <w:r w:rsidRPr="004907E9">
              <w:rPr>
                <w:rFonts w:ascii="Arial" w:eastAsia="Calibri" w:hAnsi="Arial" w:cs="Arial"/>
                <w:b/>
                <w:i/>
                <w:sz w:val="24"/>
                <w:szCs w:val="24"/>
              </w:rPr>
              <w:t>Lipid Research Center</w:t>
            </w:r>
          </w:p>
        </w:tc>
      </w:tr>
      <w:tr w:rsidR="00C748FF" w:rsidRPr="009860F3" w14:paraId="503DD939" w14:textId="77777777" w:rsidTr="00A86CCC">
        <w:tc>
          <w:tcPr>
            <w:tcW w:w="4675" w:type="dxa"/>
          </w:tcPr>
          <w:p w14:paraId="24F6D924" w14:textId="77777777" w:rsidR="00C748FF" w:rsidRPr="00FB46AE" w:rsidRDefault="00C748FF" w:rsidP="00152BFC">
            <w:pPr>
              <w:rPr>
                <w:rFonts w:ascii="Arial" w:eastAsia="Calibri" w:hAnsi="Arial" w:cs="Arial"/>
                <w:sz w:val="24"/>
                <w:szCs w:val="24"/>
                <w:lang w:val="fr-CA"/>
              </w:rPr>
            </w:pPr>
            <w:r w:rsidRPr="00FB46AE">
              <w:rPr>
                <w:rFonts w:ascii="Arial" w:eastAsia="Calibri" w:hAnsi="Arial" w:cs="Arial"/>
                <w:sz w:val="24"/>
                <w:szCs w:val="24"/>
                <w:lang w:val="fr-CA"/>
              </w:rPr>
              <w:t xml:space="preserve">André Nadeau, MD, PhD; </w:t>
            </w:r>
            <w:proofErr w:type="spellStart"/>
            <w:r w:rsidRPr="00FB46AE">
              <w:rPr>
                <w:rFonts w:ascii="Arial" w:eastAsia="Calibri" w:hAnsi="Arial" w:cs="Arial"/>
                <w:sz w:val="24"/>
                <w:szCs w:val="24"/>
                <w:lang w:val="fr-CA"/>
              </w:rPr>
              <w:t>Director</w:t>
            </w:r>
            <w:proofErr w:type="spellEnd"/>
          </w:p>
        </w:tc>
        <w:tc>
          <w:tcPr>
            <w:tcW w:w="4675" w:type="dxa"/>
          </w:tcPr>
          <w:p w14:paraId="2CF50E99" w14:textId="77777777" w:rsidR="00C748FF" w:rsidRPr="00FB46AE" w:rsidRDefault="00C748FF" w:rsidP="00152BFC">
            <w:pPr>
              <w:rPr>
                <w:rFonts w:ascii="Arial" w:eastAsia="Calibri" w:hAnsi="Arial" w:cs="Arial"/>
                <w:sz w:val="24"/>
                <w:szCs w:val="24"/>
                <w:lang w:val="fr-CA"/>
              </w:rPr>
            </w:pPr>
            <w:r w:rsidRPr="00FB46AE">
              <w:rPr>
                <w:rFonts w:ascii="Arial" w:eastAsia="Calibri" w:hAnsi="Arial" w:cs="Arial"/>
                <w:sz w:val="24"/>
                <w:szCs w:val="24"/>
                <w:lang w:val="fr-CA"/>
              </w:rPr>
              <w:t xml:space="preserve">Paul </w:t>
            </w:r>
            <w:proofErr w:type="spellStart"/>
            <w:r w:rsidRPr="00FB46AE">
              <w:rPr>
                <w:rFonts w:ascii="Arial" w:eastAsia="Calibri" w:hAnsi="Arial" w:cs="Arial"/>
                <w:sz w:val="24"/>
                <w:szCs w:val="24"/>
                <w:lang w:val="fr-CA"/>
              </w:rPr>
              <w:t>Lupien</w:t>
            </w:r>
            <w:proofErr w:type="spellEnd"/>
            <w:r w:rsidRPr="00FB46AE">
              <w:rPr>
                <w:rFonts w:ascii="Arial" w:eastAsia="Calibri" w:hAnsi="Arial" w:cs="Arial"/>
                <w:sz w:val="24"/>
                <w:szCs w:val="24"/>
                <w:lang w:val="fr-CA"/>
              </w:rPr>
              <w:t xml:space="preserve">, MD, PhD; </w:t>
            </w:r>
            <w:proofErr w:type="spellStart"/>
            <w:r w:rsidRPr="00FB46AE">
              <w:rPr>
                <w:rFonts w:ascii="Arial" w:eastAsia="Calibri" w:hAnsi="Arial" w:cs="Arial"/>
                <w:sz w:val="24"/>
                <w:szCs w:val="24"/>
                <w:lang w:val="fr-CA"/>
              </w:rPr>
              <w:t>Director</w:t>
            </w:r>
            <w:proofErr w:type="spellEnd"/>
          </w:p>
        </w:tc>
      </w:tr>
      <w:tr w:rsidR="00C748FF" w:rsidRPr="004907E9" w14:paraId="13B1636F" w14:textId="77777777" w:rsidTr="00A86CCC">
        <w:tc>
          <w:tcPr>
            <w:tcW w:w="4675" w:type="dxa"/>
          </w:tcPr>
          <w:p w14:paraId="6FC35125"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Yolande Montreuil, RN</w:t>
            </w:r>
          </w:p>
        </w:tc>
        <w:tc>
          <w:tcPr>
            <w:tcW w:w="4675" w:type="dxa"/>
          </w:tcPr>
          <w:p w14:paraId="330CF8CB"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Jean-Pierre Després, PhD</w:t>
            </w:r>
          </w:p>
        </w:tc>
      </w:tr>
      <w:tr w:rsidR="00C748FF" w:rsidRPr="004907E9" w14:paraId="75A3AF58" w14:textId="77777777" w:rsidTr="00A86CCC">
        <w:tc>
          <w:tcPr>
            <w:tcW w:w="4675" w:type="dxa"/>
          </w:tcPr>
          <w:p w14:paraId="17404B14"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Gilles Tancrède, MSc</w:t>
            </w:r>
          </w:p>
        </w:tc>
        <w:tc>
          <w:tcPr>
            <w:tcW w:w="4675" w:type="dxa"/>
          </w:tcPr>
          <w:p w14:paraId="188D091F"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Sital Moorjani, PhD</w:t>
            </w:r>
          </w:p>
        </w:tc>
      </w:tr>
      <w:tr w:rsidR="00C748FF" w:rsidRPr="004907E9" w14:paraId="5B7277D0" w14:textId="77777777" w:rsidTr="00A86CCC">
        <w:tc>
          <w:tcPr>
            <w:tcW w:w="4675" w:type="dxa"/>
          </w:tcPr>
          <w:p w14:paraId="238AAEF1" w14:textId="77777777" w:rsidR="00C748FF" w:rsidRPr="004907E9" w:rsidRDefault="00C748FF" w:rsidP="00152BFC">
            <w:pPr>
              <w:rPr>
                <w:rFonts w:ascii="Arial" w:eastAsia="Calibri" w:hAnsi="Arial" w:cs="Arial"/>
                <w:b/>
                <w:sz w:val="24"/>
                <w:szCs w:val="24"/>
              </w:rPr>
            </w:pPr>
          </w:p>
        </w:tc>
        <w:tc>
          <w:tcPr>
            <w:tcW w:w="4675" w:type="dxa"/>
          </w:tcPr>
          <w:p w14:paraId="1A6623A7" w14:textId="77777777" w:rsidR="00C748FF" w:rsidRPr="004907E9" w:rsidRDefault="00C748FF" w:rsidP="00152BFC">
            <w:pPr>
              <w:rPr>
                <w:rFonts w:ascii="Arial" w:eastAsia="Calibri" w:hAnsi="Arial" w:cs="Arial"/>
                <w:b/>
                <w:sz w:val="24"/>
                <w:szCs w:val="24"/>
              </w:rPr>
            </w:pPr>
          </w:p>
        </w:tc>
      </w:tr>
      <w:tr w:rsidR="00C748FF" w:rsidRPr="004907E9" w14:paraId="2AD53B5F" w14:textId="77777777" w:rsidTr="00A86CCC">
        <w:tc>
          <w:tcPr>
            <w:tcW w:w="4675" w:type="dxa"/>
          </w:tcPr>
          <w:p w14:paraId="516B3E9A" w14:textId="77777777" w:rsidR="00C748FF" w:rsidRPr="004907E9" w:rsidRDefault="00C748FF" w:rsidP="00152BFC">
            <w:pPr>
              <w:rPr>
                <w:rFonts w:ascii="Arial" w:eastAsia="Calibri" w:hAnsi="Arial" w:cs="Arial"/>
                <w:b/>
                <w:i/>
                <w:sz w:val="24"/>
                <w:szCs w:val="24"/>
              </w:rPr>
            </w:pPr>
            <w:r w:rsidRPr="004907E9">
              <w:rPr>
                <w:rFonts w:ascii="Arial" w:eastAsia="Calibri" w:hAnsi="Arial" w:cs="Arial"/>
                <w:b/>
                <w:i/>
                <w:sz w:val="24"/>
                <w:szCs w:val="24"/>
              </w:rPr>
              <w:t>DNA and Cell Line Unit</w:t>
            </w:r>
          </w:p>
        </w:tc>
        <w:tc>
          <w:tcPr>
            <w:tcW w:w="4675" w:type="dxa"/>
          </w:tcPr>
          <w:p w14:paraId="1A4D8432" w14:textId="77777777" w:rsidR="00C748FF" w:rsidRPr="004907E9" w:rsidRDefault="00C748FF" w:rsidP="00152BFC">
            <w:pPr>
              <w:rPr>
                <w:rFonts w:ascii="Arial" w:eastAsia="Calibri" w:hAnsi="Arial" w:cs="Arial"/>
                <w:b/>
                <w:i/>
                <w:sz w:val="24"/>
                <w:szCs w:val="24"/>
              </w:rPr>
            </w:pPr>
            <w:r w:rsidRPr="004907E9">
              <w:rPr>
                <w:rFonts w:ascii="Arial" w:eastAsia="Calibri" w:hAnsi="Arial" w:cs="Arial"/>
                <w:b/>
                <w:i/>
                <w:sz w:val="24"/>
                <w:szCs w:val="24"/>
              </w:rPr>
              <w:t>Steroid Laboratory</w:t>
            </w:r>
          </w:p>
        </w:tc>
      </w:tr>
      <w:tr w:rsidR="00C748FF" w:rsidRPr="004907E9" w14:paraId="245DF29C" w14:textId="77777777" w:rsidTr="00A86CCC">
        <w:tc>
          <w:tcPr>
            <w:tcW w:w="4675" w:type="dxa"/>
          </w:tcPr>
          <w:p w14:paraId="515370BF" w14:textId="77777777" w:rsidR="00C748FF" w:rsidRPr="00FB46AE" w:rsidRDefault="00C748FF" w:rsidP="00152BFC">
            <w:pPr>
              <w:rPr>
                <w:rFonts w:ascii="Arial" w:eastAsia="Calibri" w:hAnsi="Arial" w:cs="Arial"/>
                <w:sz w:val="24"/>
                <w:szCs w:val="24"/>
                <w:lang w:val="fr-CA"/>
              </w:rPr>
            </w:pPr>
            <w:r w:rsidRPr="00FB46AE">
              <w:rPr>
                <w:rFonts w:ascii="Arial" w:eastAsia="Calibri" w:hAnsi="Arial" w:cs="Arial"/>
                <w:sz w:val="24"/>
                <w:szCs w:val="24"/>
                <w:lang w:val="fr-CA"/>
              </w:rPr>
              <w:t xml:space="preserve">France T. Dionne, PhD; </w:t>
            </w:r>
            <w:proofErr w:type="spellStart"/>
            <w:r w:rsidRPr="00FB46AE">
              <w:rPr>
                <w:rFonts w:ascii="Arial" w:eastAsia="Calibri" w:hAnsi="Arial" w:cs="Arial"/>
                <w:sz w:val="24"/>
                <w:szCs w:val="24"/>
                <w:lang w:val="fr-CA"/>
              </w:rPr>
              <w:t>Director</w:t>
            </w:r>
            <w:proofErr w:type="spellEnd"/>
          </w:p>
        </w:tc>
        <w:tc>
          <w:tcPr>
            <w:tcW w:w="4675" w:type="dxa"/>
          </w:tcPr>
          <w:p w14:paraId="091922EF"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Alain Bélanger, PhD; Director</w:t>
            </w:r>
          </w:p>
        </w:tc>
      </w:tr>
      <w:tr w:rsidR="00C748FF" w:rsidRPr="004907E9" w14:paraId="34EEA20E" w14:textId="77777777" w:rsidTr="00A86CCC">
        <w:tc>
          <w:tcPr>
            <w:tcW w:w="4675" w:type="dxa"/>
          </w:tcPr>
          <w:p w14:paraId="4330FE99" w14:textId="5DEE5698" w:rsidR="00C748FF" w:rsidRPr="004C5ADC" w:rsidRDefault="004C5ADC" w:rsidP="00152BFC">
            <w:pPr>
              <w:rPr>
                <w:rFonts w:ascii="Arial" w:eastAsia="Calibri" w:hAnsi="Arial" w:cs="Arial"/>
                <w:sz w:val="24"/>
                <w:szCs w:val="24"/>
                <w:lang w:val="fr-CA"/>
              </w:rPr>
            </w:pPr>
            <w:r w:rsidRPr="008F0FEB">
              <w:rPr>
                <w:rFonts w:ascii="Arial" w:eastAsia="Calibri" w:hAnsi="Arial" w:cs="Arial"/>
                <w:sz w:val="24"/>
                <w:szCs w:val="24"/>
                <w:lang w:val="fr-CA"/>
              </w:rPr>
              <w:t>Monique Chagnon, ART</w:t>
            </w:r>
          </w:p>
        </w:tc>
        <w:tc>
          <w:tcPr>
            <w:tcW w:w="4675" w:type="dxa"/>
          </w:tcPr>
          <w:p w14:paraId="49A408B3"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Simon Caron, MSc</w:t>
            </w:r>
          </w:p>
        </w:tc>
      </w:tr>
      <w:tr w:rsidR="00C748FF" w:rsidRPr="004907E9" w14:paraId="3E553AE2" w14:textId="77777777" w:rsidTr="00A86CCC">
        <w:tc>
          <w:tcPr>
            <w:tcW w:w="4675" w:type="dxa"/>
          </w:tcPr>
          <w:p w14:paraId="411A21EF" w14:textId="77777777" w:rsidR="00C748FF" w:rsidRPr="008F0FEB" w:rsidRDefault="00C748FF" w:rsidP="00152BFC">
            <w:pPr>
              <w:rPr>
                <w:rFonts w:ascii="Arial" w:eastAsia="Calibri" w:hAnsi="Arial" w:cs="Arial"/>
                <w:sz w:val="24"/>
                <w:szCs w:val="24"/>
                <w:lang w:val="fr-CA"/>
              </w:rPr>
            </w:pPr>
            <w:r w:rsidRPr="008F0FEB">
              <w:rPr>
                <w:rFonts w:ascii="Arial" w:eastAsia="Calibri" w:hAnsi="Arial" w:cs="Arial"/>
                <w:sz w:val="24"/>
                <w:szCs w:val="24"/>
                <w:lang w:val="fr-CA"/>
              </w:rPr>
              <w:t>Caroline N</w:t>
            </w:r>
            <w:r>
              <w:rPr>
                <w:rFonts w:ascii="Arial" w:eastAsia="Calibri" w:hAnsi="Arial" w:cs="Arial"/>
                <w:sz w:val="24"/>
                <w:szCs w:val="24"/>
                <w:lang w:val="fr-CA"/>
              </w:rPr>
              <w:t xml:space="preserve">oel, </w:t>
            </w:r>
            <w:proofErr w:type="spellStart"/>
            <w:r>
              <w:rPr>
                <w:rFonts w:ascii="Arial" w:eastAsia="Calibri" w:hAnsi="Arial" w:cs="Arial"/>
                <w:sz w:val="24"/>
                <w:szCs w:val="24"/>
                <w:lang w:val="fr-CA"/>
              </w:rPr>
              <w:t>BSc</w:t>
            </w:r>
            <w:proofErr w:type="spellEnd"/>
          </w:p>
        </w:tc>
        <w:tc>
          <w:tcPr>
            <w:tcW w:w="4675" w:type="dxa"/>
          </w:tcPr>
          <w:p w14:paraId="2294B7A0"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 xml:space="preserve">Fernand </w:t>
            </w:r>
            <w:proofErr w:type="spellStart"/>
            <w:r w:rsidRPr="004907E9">
              <w:rPr>
                <w:rFonts w:ascii="Arial" w:eastAsia="Calibri" w:hAnsi="Arial" w:cs="Arial"/>
                <w:sz w:val="24"/>
                <w:szCs w:val="24"/>
              </w:rPr>
              <w:t>Labrie</w:t>
            </w:r>
            <w:proofErr w:type="spellEnd"/>
            <w:r w:rsidRPr="004907E9">
              <w:rPr>
                <w:rFonts w:ascii="Arial" w:eastAsia="Calibri" w:hAnsi="Arial" w:cs="Arial"/>
                <w:sz w:val="24"/>
                <w:szCs w:val="24"/>
              </w:rPr>
              <w:t>, MD, PhD</w:t>
            </w:r>
          </w:p>
        </w:tc>
      </w:tr>
      <w:tr w:rsidR="00C748FF" w:rsidRPr="004907E9" w14:paraId="6939C815" w14:textId="77777777" w:rsidTr="00A86CCC">
        <w:tc>
          <w:tcPr>
            <w:tcW w:w="4675" w:type="dxa"/>
          </w:tcPr>
          <w:p w14:paraId="66C0CE0F"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Marie-Christine Thibault, PhD</w:t>
            </w:r>
          </w:p>
        </w:tc>
        <w:tc>
          <w:tcPr>
            <w:tcW w:w="4675" w:type="dxa"/>
          </w:tcPr>
          <w:p w14:paraId="0DAE0D1D"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Line Lavoie, MSc</w:t>
            </w:r>
          </w:p>
        </w:tc>
      </w:tr>
      <w:tr w:rsidR="00C748FF" w:rsidRPr="004907E9" w14:paraId="12EA44FA" w14:textId="77777777" w:rsidTr="00A86CCC">
        <w:tc>
          <w:tcPr>
            <w:tcW w:w="4675" w:type="dxa"/>
          </w:tcPr>
          <w:p w14:paraId="68BDB075" w14:textId="77777777" w:rsidR="00C748FF" w:rsidRPr="004907E9" w:rsidRDefault="00C748FF" w:rsidP="00152BFC">
            <w:pPr>
              <w:rPr>
                <w:rFonts w:ascii="Arial" w:eastAsia="Calibri" w:hAnsi="Arial" w:cs="Arial"/>
                <w:sz w:val="24"/>
                <w:szCs w:val="24"/>
              </w:rPr>
            </w:pPr>
          </w:p>
        </w:tc>
        <w:tc>
          <w:tcPr>
            <w:tcW w:w="4675" w:type="dxa"/>
          </w:tcPr>
          <w:p w14:paraId="502768BF" w14:textId="77777777" w:rsidR="00C748FF" w:rsidRPr="004907E9" w:rsidRDefault="00C748FF" w:rsidP="00152BFC">
            <w:pPr>
              <w:rPr>
                <w:rFonts w:ascii="Arial" w:eastAsia="Calibri" w:hAnsi="Arial" w:cs="Arial"/>
                <w:sz w:val="24"/>
                <w:szCs w:val="24"/>
              </w:rPr>
            </w:pPr>
          </w:p>
        </w:tc>
      </w:tr>
      <w:tr w:rsidR="00C748FF" w:rsidRPr="004907E9" w14:paraId="77F043F1" w14:textId="77777777" w:rsidTr="00A86CCC">
        <w:tc>
          <w:tcPr>
            <w:tcW w:w="9350" w:type="dxa"/>
            <w:gridSpan w:val="2"/>
          </w:tcPr>
          <w:p w14:paraId="4064D947" w14:textId="77777777" w:rsidR="00C748FF" w:rsidRPr="00AF0689" w:rsidRDefault="00C748FF" w:rsidP="00152BFC">
            <w:pPr>
              <w:rPr>
                <w:rFonts w:ascii="Arial" w:eastAsia="Calibri" w:hAnsi="Arial" w:cs="Arial"/>
                <w:b/>
                <w:sz w:val="24"/>
                <w:szCs w:val="24"/>
                <w:u w:val="single"/>
              </w:rPr>
            </w:pPr>
            <w:r w:rsidRPr="00AF0689">
              <w:rPr>
                <w:rFonts w:ascii="Arial" w:eastAsia="Calibri" w:hAnsi="Arial" w:cs="Arial"/>
                <w:b/>
                <w:sz w:val="24"/>
                <w:szCs w:val="24"/>
                <w:u w:val="single"/>
              </w:rPr>
              <w:t>University of Minnesota Clinical Center</w:t>
            </w:r>
          </w:p>
        </w:tc>
      </w:tr>
      <w:tr w:rsidR="00C748FF" w:rsidRPr="004907E9" w14:paraId="7CF74A87" w14:textId="77777777" w:rsidTr="00A86CCC">
        <w:tc>
          <w:tcPr>
            <w:tcW w:w="9350" w:type="dxa"/>
            <w:gridSpan w:val="2"/>
          </w:tcPr>
          <w:p w14:paraId="5B6EE26A"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 xml:space="preserve">PI: Arthur </w:t>
            </w:r>
            <w:r>
              <w:rPr>
                <w:rFonts w:ascii="Arial" w:eastAsia="Calibri" w:hAnsi="Arial" w:cs="Arial"/>
                <w:sz w:val="24"/>
                <w:szCs w:val="24"/>
              </w:rPr>
              <w:t xml:space="preserve">S. </w:t>
            </w:r>
            <w:r w:rsidRPr="004907E9">
              <w:rPr>
                <w:rFonts w:ascii="Arial" w:eastAsia="Calibri" w:hAnsi="Arial" w:cs="Arial"/>
                <w:sz w:val="24"/>
                <w:szCs w:val="24"/>
              </w:rPr>
              <w:t>Leon, MD</w:t>
            </w:r>
          </w:p>
          <w:p w14:paraId="47F0D3B9"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Local Project Coordinator: Ava J. Walker, PhD</w:t>
            </w:r>
          </w:p>
        </w:tc>
      </w:tr>
      <w:tr w:rsidR="00C748FF" w:rsidRPr="004907E9" w14:paraId="29D96A30" w14:textId="77777777" w:rsidTr="00A86CCC">
        <w:tc>
          <w:tcPr>
            <w:tcW w:w="4675" w:type="dxa"/>
          </w:tcPr>
          <w:p w14:paraId="35F31395" w14:textId="77777777" w:rsidR="00C748FF" w:rsidRPr="004907E9" w:rsidRDefault="00C748FF" w:rsidP="00152BFC">
            <w:pPr>
              <w:rPr>
                <w:rFonts w:ascii="Arial" w:eastAsia="Calibri" w:hAnsi="Arial" w:cs="Arial"/>
                <w:sz w:val="24"/>
                <w:szCs w:val="24"/>
              </w:rPr>
            </w:pPr>
          </w:p>
        </w:tc>
        <w:tc>
          <w:tcPr>
            <w:tcW w:w="4675" w:type="dxa"/>
          </w:tcPr>
          <w:p w14:paraId="4942FC64" w14:textId="77777777" w:rsidR="00C748FF" w:rsidRPr="004907E9" w:rsidRDefault="00C748FF" w:rsidP="00152BFC">
            <w:pPr>
              <w:rPr>
                <w:rFonts w:ascii="Arial" w:eastAsia="Calibri" w:hAnsi="Arial" w:cs="Arial"/>
                <w:sz w:val="24"/>
                <w:szCs w:val="24"/>
              </w:rPr>
            </w:pPr>
          </w:p>
        </w:tc>
      </w:tr>
      <w:tr w:rsidR="004C5ADC" w:rsidRPr="004907E9" w14:paraId="130B0385" w14:textId="77777777" w:rsidTr="00A86CCC">
        <w:tc>
          <w:tcPr>
            <w:tcW w:w="4675" w:type="dxa"/>
          </w:tcPr>
          <w:p w14:paraId="15615640" w14:textId="684E03FF" w:rsidR="004C5ADC" w:rsidRPr="004907E9" w:rsidRDefault="004C5ADC" w:rsidP="00152BFC">
            <w:pPr>
              <w:rPr>
                <w:rFonts w:ascii="Arial" w:eastAsia="Calibri" w:hAnsi="Arial" w:cs="Arial"/>
                <w:sz w:val="24"/>
                <w:szCs w:val="24"/>
              </w:rPr>
            </w:pPr>
            <w:r w:rsidRPr="00BE288F">
              <w:rPr>
                <w:rFonts w:ascii="Arial" w:eastAsia="Calibri" w:hAnsi="Arial" w:cs="Arial"/>
                <w:sz w:val="24"/>
                <w:szCs w:val="24"/>
              </w:rPr>
              <w:t xml:space="preserve">Marilyn </w:t>
            </w:r>
            <w:proofErr w:type="spellStart"/>
            <w:r w:rsidRPr="00BE288F">
              <w:rPr>
                <w:rFonts w:ascii="Arial" w:eastAsia="Calibri" w:hAnsi="Arial" w:cs="Arial"/>
                <w:sz w:val="24"/>
                <w:szCs w:val="24"/>
              </w:rPr>
              <w:t>Bo</w:t>
            </w:r>
            <w:r>
              <w:rPr>
                <w:rFonts w:ascii="Arial" w:eastAsia="Calibri" w:hAnsi="Arial" w:cs="Arial"/>
                <w:sz w:val="24"/>
                <w:szCs w:val="24"/>
              </w:rPr>
              <w:t>rkon</w:t>
            </w:r>
            <w:proofErr w:type="spellEnd"/>
            <w:r>
              <w:rPr>
                <w:rFonts w:ascii="Arial" w:eastAsia="Calibri" w:hAnsi="Arial" w:cs="Arial"/>
                <w:sz w:val="24"/>
                <w:szCs w:val="24"/>
              </w:rPr>
              <w:t>,</w:t>
            </w:r>
          </w:p>
        </w:tc>
        <w:tc>
          <w:tcPr>
            <w:tcW w:w="4675" w:type="dxa"/>
          </w:tcPr>
          <w:p w14:paraId="52369550" w14:textId="6F84C224" w:rsidR="004C5ADC" w:rsidRPr="004907E9" w:rsidRDefault="004C5ADC" w:rsidP="00152BFC">
            <w:pPr>
              <w:rPr>
                <w:rFonts w:ascii="Arial" w:eastAsia="Calibri" w:hAnsi="Arial" w:cs="Arial"/>
                <w:sz w:val="24"/>
                <w:szCs w:val="24"/>
              </w:rPr>
            </w:pPr>
            <w:r w:rsidRPr="00A463A4">
              <w:rPr>
                <w:rFonts w:ascii="Arial" w:eastAsia="Calibri" w:hAnsi="Arial" w:cs="Arial"/>
                <w:sz w:val="24"/>
                <w:szCs w:val="24"/>
                <w:lang w:val="fr-CA"/>
              </w:rPr>
              <w:t>Marcella Me</w:t>
            </w:r>
            <w:r>
              <w:rPr>
                <w:rFonts w:ascii="Arial" w:eastAsia="Calibri" w:hAnsi="Arial" w:cs="Arial"/>
                <w:sz w:val="24"/>
                <w:szCs w:val="24"/>
                <w:lang w:val="fr-CA"/>
              </w:rPr>
              <w:t>yers, PhD</w:t>
            </w:r>
          </w:p>
        </w:tc>
      </w:tr>
      <w:tr w:rsidR="004C5ADC" w:rsidRPr="004907E9" w14:paraId="087D9C83" w14:textId="77777777" w:rsidTr="00A86CCC">
        <w:tc>
          <w:tcPr>
            <w:tcW w:w="4675" w:type="dxa"/>
          </w:tcPr>
          <w:p w14:paraId="6DAA1A8A" w14:textId="42467BD2" w:rsidR="004C5ADC" w:rsidRPr="004907E9" w:rsidRDefault="004C5ADC" w:rsidP="00152BFC">
            <w:pPr>
              <w:rPr>
                <w:rFonts w:ascii="Arial" w:eastAsia="Calibri" w:hAnsi="Arial" w:cs="Arial"/>
                <w:sz w:val="24"/>
                <w:szCs w:val="24"/>
              </w:rPr>
            </w:pPr>
            <w:r w:rsidRPr="00BE288F">
              <w:rPr>
                <w:rFonts w:ascii="Arial" w:eastAsia="Calibri" w:hAnsi="Arial" w:cs="Arial"/>
                <w:sz w:val="24"/>
                <w:szCs w:val="24"/>
              </w:rPr>
              <w:t>Fernando S. Branco, MD</w:t>
            </w:r>
          </w:p>
        </w:tc>
        <w:tc>
          <w:tcPr>
            <w:tcW w:w="4675" w:type="dxa"/>
          </w:tcPr>
          <w:p w14:paraId="31C9097C" w14:textId="36C74F38" w:rsidR="004C5ADC" w:rsidRPr="004907E9" w:rsidRDefault="004C5ADC" w:rsidP="00152BFC">
            <w:pPr>
              <w:rPr>
                <w:rFonts w:ascii="Arial" w:eastAsia="Calibri" w:hAnsi="Arial" w:cs="Arial"/>
                <w:sz w:val="24"/>
                <w:szCs w:val="24"/>
              </w:rPr>
            </w:pPr>
            <w:r>
              <w:rPr>
                <w:rFonts w:ascii="Arial" w:eastAsia="Calibri" w:hAnsi="Arial" w:cs="Arial"/>
                <w:sz w:val="24"/>
                <w:szCs w:val="24"/>
                <w:lang w:val="fr-CA"/>
              </w:rPr>
              <w:t xml:space="preserve">James P. Norton, </w:t>
            </w:r>
            <w:proofErr w:type="spellStart"/>
            <w:r>
              <w:rPr>
                <w:rFonts w:ascii="Arial" w:eastAsia="Calibri" w:hAnsi="Arial" w:cs="Arial"/>
                <w:sz w:val="24"/>
                <w:szCs w:val="24"/>
                <w:lang w:val="fr-CA"/>
              </w:rPr>
              <w:t>MSc</w:t>
            </w:r>
            <w:proofErr w:type="spellEnd"/>
          </w:p>
        </w:tc>
      </w:tr>
      <w:tr w:rsidR="004C5ADC" w:rsidRPr="004907E9" w14:paraId="184257C6" w14:textId="77777777" w:rsidTr="00A86CCC">
        <w:tc>
          <w:tcPr>
            <w:tcW w:w="4675" w:type="dxa"/>
          </w:tcPr>
          <w:p w14:paraId="55EA057C" w14:textId="69DC7D14" w:rsidR="004C5ADC" w:rsidRPr="004907E9" w:rsidRDefault="004C5ADC" w:rsidP="00152BFC">
            <w:pPr>
              <w:rPr>
                <w:rFonts w:ascii="Arial" w:eastAsia="Calibri" w:hAnsi="Arial" w:cs="Arial"/>
                <w:sz w:val="24"/>
                <w:szCs w:val="24"/>
              </w:rPr>
            </w:pPr>
            <w:r w:rsidRPr="004907E9">
              <w:rPr>
                <w:rFonts w:ascii="Arial" w:eastAsia="Calibri" w:hAnsi="Arial" w:cs="Arial"/>
                <w:sz w:val="24"/>
                <w:szCs w:val="24"/>
              </w:rPr>
              <w:t>Erik J. Ekstrom, RD</w:t>
            </w:r>
          </w:p>
        </w:tc>
        <w:tc>
          <w:tcPr>
            <w:tcW w:w="4675" w:type="dxa"/>
          </w:tcPr>
          <w:p w14:paraId="0DE15339" w14:textId="1A159741" w:rsidR="004C5ADC" w:rsidRPr="004C5ADC" w:rsidRDefault="004C5ADC" w:rsidP="00152BFC">
            <w:pPr>
              <w:rPr>
                <w:rFonts w:ascii="Arial" w:eastAsia="Calibri" w:hAnsi="Arial" w:cs="Arial"/>
                <w:sz w:val="24"/>
                <w:szCs w:val="24"/>
                <w:lang w:val="de-DE"/>
              </w:rPr>
            </w:pPr>
            <w:r w:rsidRPr="00A463A4">
              <w:rPr>
                <w:rFonts w:ascii="Arial" w:eastAsia="Calibri" w:hAnsi="Arial" w:cs="Arial"/>
                <w:sz w:val="24"/>
                <w:szCs w:val="24"/>
                <w:lang w:val="de-DE"/>
              </w:rPr>
              <w:t>Robert C. Serfass, PhD</w:t>
            </w:r>
          </w:p>
        </w:tc>
      </w:tr>
      <w:tr w:rsidR="004C5ADC" w:rsidRPr="004907E9" w14:paraId="2A935D44" w14:textId="77777777" w:rsidTr="00A86CCC">
        <w:tc>
          <w:tcPr>
            <w:tcW w:w="4675" w:type="dxa"/>
          </w:tcPr>
          <w:p w14:paraId="79E6D938" w14:textId="7666B556" w:rsidR="004C5ADC" w:rsidRPr="004907E9" w:rsidRDefault="004C5ADC" w:rsidP="00152BFC">
            <w:pPr>
              <w:rPr>
                <w:rFonts w:ascii="Arial" w:eastAsia="Calibri" w:hAnsi="Arial" w:cs="Arial"/>
                <w:sz w:val="24"/>
                <w:szCs w:val="24"/>
              </w:rPr>
            </w:pPr>
            <w:r>
              <w:rPr>
                <w:rFonts w:ascii="Arial" w:eastAsia="Calibri" w:hAnsi="Arial" w:cs="Arial"/>
                <w:sz w:val="24"/>
                <w:szCs w:val="24"/>
              </w:rPr>
              <w:t>Steve Gaskill, PhD</w:t>
            </w:r>
          </w:p>
        </w:tc>
        <w:tc>
          <w:tcPr>
            <w:tcW w:w="4675" w:type="dxa"/>
          </w:tcPr>
          <w:p w14:paraId="28283C05" w14:textId="350D48A0" w:rsidR="004C5ADC" w:rsidRPr="004907E9" w:rsidRDefault="000160E1" w:rsidP="00152BFC">
            <w:pPr>
              <w:rPr>
                <w:rFonts w:ascii="Arial" w:eastAsia="Calibri" w:hAnsi="Arial" w:cs="Arial"/>
                <w:sz w:val="24"/>
                <w:szCs w:val="24"/>
              </w:rPr>
            </w:pPr>
            <w:r w:rsidRPr="008F0FEB">
              <w:rPr>
                <w:rFonts w:ascii="Arial" w:eastAsia="Calibri" w:hAnsi="Arial" w:cs="Arial"/>
                <w:sz w:val="24"/>
                <w:szCs w:val="24"/>
                <w:lang w:val="de-DE"/>
              </w:rPr>
              <w:t>M. Katie Schmitz, MSc</w:t>
            </w:r>
          </w:p>
        </w:tc>
      </w:tr>
      <w:tr w:rsidR="004C5ADC" w:rsidRPr="004907E9" w14:paraId="0A8E6140" w14:textId="77777777" w:rsidTr="00A86CCC">
        <w:tc>
          <w:tcPr>
            <w:tcW w:w="4675" w:type="dxa"/>
          </w:tcPr>
          <w:p w14:paraId="726DBE2F" w14:textId="5E5A36B7" w:rsidR="004C5ADC" w:rsidRPr="004907E9" w:rsidRDefault="004C5ADC" w:rsidP="00152BFC">
            <w:pPr>
              <w:rPr>
                <w:rFonts w:ascii="Arial" w:eastAsia="Calibri" w:hAnsi="Arial" w:cs="Arial"/>
                <w:sz w:val="24"/>
                <w:szCs w:val="24"/>
              </w:rPr>
            </w:pPr>
            <w:r w:rsidRPr="004907E9">
              <w:rPr>
                <w:rFonts w:ascii="Arial" w:eastAsia="Calibri" w:hAnsi="Arial" w:cs="Arial"/>
                <w:sz w:val="24"/>
                <w:szCs w:val="24"/>
              </w:rPr>
              <w:t>William V. Mendoza, MD</w:t>
            </w:r>
          </w:p>
        </w:tc>
        <w:tc>
          <w:tcPr>
            <w:tcW w:w="4675" w:type="dxa"/>
          </w:tcPr>
          <w:p w14:paraId="77261206" w14:textId="77777777" w:rsidR="004C5ADC" w:rsidRPr="004907E9" w:rsidRDefault="004C5ADC" w:rsidP="00152BFC">
            <w:pPr>
              <w:rPr>
                <w:rFonts w:ascii="Arial" w:eastAsia="Calibri" w:hAnsi="Arial" w:cs="Arial"/>
                <w:sz w:val="24"/>
                <w:szCs w:val="24"/>
              </w:rPr>
            </w:pPr>
          </w:p>
        </w:tc>
      </w:tr>
      <w:tr w:rsidR="00C748FF" w:rsidRPr="008F0FEB" w14:paraId="6B160BE5" w14:textId="77777777" w:rsidTr="00A86CCC">
        <w:tc>
          <w:tcPr>
            <w:tcW w:w="4675" w:type="dxa"/>
          </w:tcPr>
          <w:p w14:paraId="4C8E4183" w14:textId="77777777" w:rsidR="00C748FF" w:rsidRPr="008F0FEB" w:rsidRDefault="00C748FF" w:rsidP="00152BFC">
            <w:pPr>
              <w:rPr>
                <w:rFonts w:ascii="Arial" w:eastAsia="Calibri" w:hAnsi="Arial" w:cs="Arial"/>
                <w:sz w:val="24"/>
                <w:szCs w:val="24"/>
                <w:lang w:val="de-DE"/>
              </w:rPr>
            </w:pPr>
          </w:p>
        </w:tc>
        <w:tc>
          <w:tcPr>
            <w:tcW w:w="4675" w:type="dxa"/>
          </w:tcPr>
          <w:p w14:paraId="08742758" w14:textId="77777777" w:rsidR="00C748FF" w:rsidRPr="008F0FEB" w:rsidRDefault="00C748FF" w:rsidP="00152BFC">
            <w:pPr>
              <w:rPr>
                <w:rFonts w:ascii="Arial" w:eastAsia="Calibri" w:hAnsi="Arial" w:cs="Arial"/>
                <w:sz w:val="24"/>
                <w:szCs w:val="24"/>
                <w:lang w:val="de-DE"/>
              </w:rPr>
            </w:pPr>
          </w:p>
        </w:tc>
      </w:tr>
      <w:tr w:rsidR="00C748FF" w:rsidRPr="004907E9" w14:paraId="78B7ECEE" w14:textId="77777777" w:rsidTr="00A86CCC">
        <w:tc>
          <w:tcPr>
            <w:tcW w:w="9350" w:type="dxa"/>
            <w:gridSpan w:val="2"/>
          </w:tcPr>
          <w:p w14:paraId="47D3417C" w14:textId="77777777" w:rsidR="00C748FF" w:rsidRPr="00AF0689" w:rsidRDefault="00C748FF" w:rsidP="00152BFC">
            <w:pPr>
              <w:rPr>
                <w:rFonts w:ascii="Arial" w:eastAsia="Calibri" w:hAnsi="Arial" w:cs="Arial"/>
                <w:b/>
                <w:sz w:val="24"/>
                <w:szCs w:val="24"/>
                <w:u w:val="single"/>
              </w:rPr>
            </w:pPr>
            <w:r w:rsidRPr="00AF0689">
              <w:rPr>
                <w:rFonts w:ascii="Arial" w:eastAsia="Calibri" w:hAnsi="Arial" w:cs="Arial"/>
                <w:b/>
                <w:sz w:val="24"/>
                <w:szCs w:val="24"/>
                <w:u w:val="single"/>
              </w:rPr>
              <w:t>Arizona State University Clinical Center (Until1995)</w:t>
            </w:r>
          </w:p>
          <w:p w14:paraId="0E83FE1A" w14:textId="77777777" w:rsidR="00C748FF" w:rsidRPr="00AF0689" w:rsidRDefault="00C748FF" w:rsidP="00152BFC">
            <w:pPr>
              <w:rPr>
                <w:rFonts w:ascii="Arial" w:eastAsia="Calibri" w:hAnsi="Arial" w:cs="Arial"/>
                <w:sz w:val="24"/>
                <w:szCs w:val="24"/>
                <w:u w:val="single"/>
              </w:rPr>
            </w:pPr>
            <w:r w:rsidRPr="00AF0689">
              <w:rPr>
                <w:rFonts w:ascii="Arial" w:eastAsia="Calibri" w:hAnsi="Arial" w:cs="Arial"/>
                <w:b/>
                <w:sz w:val="24"/>
                <w:szCs w:val="24"/>
                <w:u w:val="single"/>
              </w:rPr>
              <w:t>Indiana University Clinical Center (1996+)</w:t>
            </w:r>
          </w:p>
        </w:tc>
      </w:tr>
      <w:tr w:rsidR="00C748FF" w:rsidRPr="004907E9" w14:paraId="5DA9DE5E" w14:textId="77777777" w:rsidTr="00A86CCC">
        <w:tc>
          <w:tcPr>
            <w:tcW w:w="9350" w:type="dxa"/>
            <w:gridSpan w:val="2"/>
          </w:tcPr>
          <w:p w14:paraId="6265FD43"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PI: James S. Skinner, PhD</w:t>
            </w:r>
          </w:p>
          <w:p w14:paraId="7DB1D531"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Local Project Coordinator in Arizona: Kristine M. Wilmore, MA</w:t>
            </w:r>
          </w:p>
          <w:p w14:paraId="2A4CC18C"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Local Project Coordinator in Indianapolis: Joanne Krasnoff, PhD</w:t>
            </w:r>
          </w:p>
        </w:tc>
      </w:tr>
      <w:tr w:rsidR="00C748FF" w:rsidRPr="004907E9" w14:paraId="36F2F7C9" w14:textId="77777777" w:rsidTr="00A86CCC">
        <w:tc>
          <w:tcPr>
            <w:tcW w:w="4675" w:type="dxa"/>
          </w:tcPr>
          <w:p w14:paraId="58C49310" w14:textId="77777777" w:rsidR="00C748FF" w:rsidRPr="004907E9" w:rsidRDefault="00C748FF" w:rsidP="00152BFC">
            <w:pPr>
              <w:rPr>
                <w:rFonts w:ascii="Arial" w:eastAsia="Calibri" w:hAnsi="Arial" w:cs="Arial"/>
                <w:sz w:val="24"/>
                <w:szCs w:val="24"/>
              </w:rPr>
            </w:pPr>
          </w:p>
        </w:tc>
        <w:tc>
          <w:tcPr>
            <w:tcW w:w="4675" w:type="dxa"/>
          </w:tcPr>
          <w:p w14:paraId="084AC1A1" w14:textId="77777777" w:rsidR="00C748FF" w:rsidRPr="004907E9" w:rsidRDefault="00C748FF" w:rsidP="00152BFC">
            <w:pPr>
              <w:rPr>
                <w:rFonts w:ascii="Arial" w:eastAsia="Calibri" w:hAnsi="Arial" w:cs="Arial"/>
                <w:sz w:val="24"/>
                <w:szCs w:val="24"/>
              </w:rPr>
            </w:pPr>
          </w:p>
        </w:tc>
      </w:tr>
      <w:tr w:rsidR="00C748FF" w:rsidRPr="004907E9" w14:paraId="10E26AE1" w14:textId="77777777" w:rsidTr="00A86CCC">
        <w:tc>
          <w:tcPr>
            <w:tcW w:w="4675" w:type="dxa"/>
          </w:tcPr>
          <w:p w14:paraId="221899A3"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Kelly Enders, RN</w:t>
            </w:r>
          </w:p>
        </w:tc>
        <w:tc>
          <w:tcPr>
            <w:tcW w:w="4675" w:type="dxa"/>
          </w:tcPr>
          <w:p w14:paraId="24CABDDC" w14:textId="2519238F" w:rsidR="00C748FF" w:rsidRPr="004907E9" w:rsidRDefault="00C748FF" w:rsidP="00152BFC">
            <w:pPr>
              <w:rPr>
                <w:rFonts w:ascii="Arial" w:eastAsia="Calibri" w:hAnsi="Arial" w:cs="Arial"/>
                <w:sz w:val="24"/>
                <w:szCs w:val="24"/>
              </w:rPr>
            </w:pPr>
          </w:p>
        </w:tc>
      </w:tr>
      <w:tr w:rsidR="00C748FF" w:rsidRPr="004907E9" w14:paraId="32088E6C" w14:textId="77777777" w:rsidTr="00A86CCC">
        <w:tc>
          <w:tcPr>
            <w:tcW w:w="4675" w:type="dxa"/>
          </w:tcPr>
          <w:p w14:paraId="592AF7ED"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Anna A. Jaskolska, PhD</w:t>
            </w:r>
          </w:p>
        </w:tc>
        <w:tc>
          <w:tcPr>
            <w:tcW w:w="4675" w:type="dxa"/>
          </w:tcPr>
          <w:p w14:paraId="60763628" w14:textId="77777777" w:rsidR="00C748FF" w:rsidRPr="004907E9" w:rsidRDefault="00C748FF" w:rsidP="00152BFC">
            <w:pPr>
              <w:rPr>
                <w:rFonts w:ascii="Arial" w:eastAsia="Calibri" w:hAnsi="Arial" w:cs="Arial"/>
                <w:sz w:val="24"/>
                <w:szCs w:val="24"/>
              </w:rPr>
            </w:pPr>
          </w:p>
        </w:tc>
      </w:tr>
      <w:tr w:rsidR="00C748FF" w:rsidRPr="004907E9" w14:paraId="13CF548C" w14:textId="77777777" w:rsidTr="00A86CCC">
        <w:tc>
          <w:tcPr>
            <w:tcW w:w="4675" w:type="dxa"/>
          </w:tcPr>
          <w:p w14:paraId="0D4CA2AC" w14:textId="5F969AE9" w:rsidR="00C748FF" w:rsidRPr="004907E9" w:rsidRDefault="000160E1" w:rsidP="00152BFC">
            <w:pPr>
              <w:rPr>
                <w:rFonts w:ascii="Arial" w:eastAsia="Calibri" w:hAnsi="Arial" w:cs="Arial"/>
                <w:sz w:val="24"/>
                <w:szCs w:val="24"/>
              </w:rPr>
            </w:pPr>
            <w:r w:rsidRPr="004907E9">
              <w:rPr>
                <w:rFonts w:ascii="Arial" w:eastAsia="Calibri" w:hAnsi="Arial" w:cs="Arial"/>
                <w:sz w:val="24"/>
                <w:szCs w:val="24"/>
              </w:rPr>
              <w:t>Artur J. Jaskolski, PhD</w:t>
            </w:r>
          </w:p>
        </w:tc>
        <w:tc>
          <w:tcPr>
            <w:tcW w:w="4675" w:type="dxa"/>
          </w:tcPr>
          <w:p w14:paraId="5009675E" w14:textId="77777777" w:rsidR="00C748FF" w:rsidRPr="004907E9" w:rsidRDefault="00C748FF" w:rsidP="00152BFC">
            <w:pPr>
              <w:rPr>
                <w:rFonts w:ascii="Arial" w:eastAsia="Calibri" w:hAnsi="Arial" w:cs="Arial"/>
                <w:sz w:val="24"/>
                <w:szCs w:val="24"/>
              </w:rPr>
            </w:pPr>
          </w:p>
        </w:tc>
      </w:tr>
      <w:tr w:rsidR="000160E1" w:rsidRPr="004907E9" w14:paraId="4954BD51" w14:textId="77777777" w:rsidTr="00A86CCC">
        <w:tc>
          <w:tcPr>
            <w:tcW w:w="4675" w:type="dxa"/>
          </w:tcPr>
          <w:p w14:paraId="31F1BFBE" w14:textId="77777777" w:rsidR="000160E1" w:rsidRPr="004907E9" w:rsidRDefault="000160E1" w:rsidP="00152BFC">
            <w:pPr>
              <w:rPr>
                <w:rFonts w:ascii="Arial" w:eastAsia="Calibri" w:hAnsi="Arial" w:cs="Arial"/>
                <w:sz w:val="24"/>
                <w:szCs w:val="24"/>
              </w:rPr>
            </w:pPr>
          </w:p>
        </w:tc>
        <w:tc>
          <w:tcPr>
            <w:tcW w:w="4675" w:type="dxa"/>
          </w:tcPr>
          <w:p w14:paraId="22559C2A" w14:textId="77777777" w:rsidR="000160E1" w:rsidRPr="004907E9" w:rsidRDefault="000160E1" w:rsidP="00152BFC">
            <w:pPr>
              <w:rPr>
                <w:rFonts w:ascii="Arial" w:eastAsia="Calibri" w:hAnsi="Arial" w:cs="Arial"/>
                <w:sz w:val="24"/>
                <w:szCs w:val="24"/>
              </w:rPr>
            </w:pPr>
          </w:p>
        </w:tc>
      </w:tr>
      <w:tr w:rsidR="00C748FF" w:rsidRPr="004907E9" w14:paraId="41EB33EC" w14:textId="77777777" w:rsidTr="00A86CCC">
        <w:tc>
          <w:tcPr>
            <w:tcW w:w="9350" w:type="dxa"/>
            <w:gridSpan w:val="2"/>
          </w:tcPr>
          <w:p w14:paraId="13EB38B5" w14:textId="77777777" w:rsidR="00C748FF" w:rsidRPr="00AF0689" w:rsidRDefault="00C748FF" w:rsidP="00152BFC">
            <w:pPr>
              <w:rPr>
                <w:rFonts w:ascii="Arial" w:eastAsia="Calibri" w:hAnsi="Arial" w:cs="Arial"/>
                <w:b/>
                <w:sz w:val="24"/>
                <w:szCs w:val="24"/>
                <w:u w:val="single"/>
              </w:rPr>
            </w:pPr>
            <w:r w:rsidRPr="00AF0689">
              <w:rPr>
                <w:rFonts w:ascii="Arial" w:eastAsia="Calibri" w:hAnsi="Arial" w:cs="Arial"/>
                <w:b/>
                <w:sz w:val="24"/>
                <w:szCs w:val="24"/>
                <w:u w:val="single"/>
              </w:rPr>
              <w:lastRenderedPageBreak/>
              <w:t>University of Texas at Austin Clinical Center</w:t>
            </w:r>
          </w:p>
        </w:tc>
      </w:tr>
      <w:tr w:rsidR="00C748FF" w:rsidRPr="004907E9" w14:paraId="71449320" w14:textId="77777777" w:rsidTr="00A86CCC">
        <w:tc>
          <w:tcPr>
            <w:tcW w:w="9350" w:type="dxa"/>
            <w:gridSpan w:val="2"/>
          </w:tcPr>
          <w:p w14:paraId="1D7BCD8B"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PI: Jack H. Wilmore, PhD</w:t>
            </w:r>
          </w:p>
          <w:p w14:paraId="318909AA" w14:textId="77777777" w:rsidR="00C748FF" w:rsidRPr="004907E9" w:rsidRDefault="00C748FF" w:rsidP="00152BFC">
            <w:pPr>
              <w:rPr>
                <w:rFonts w:ascii="Arial" w:eastAsia="Calibri" w:hAnsi="Arial" w:cs="Arial"/>
                <w:sz w:val="24"/>
                <w:szCs w:val="24"/>
              </w:rPr>
            </w:pPr>
            <w:r w:rsidRPr="004907E9">
              <w:rPr>
                <w:rFonts w:ascii="Arial" w:eastAsia="Calibri" w:hAnsi="Arial" w:cs="Arial"/>
                <w:sz w:val="24"/>
                <w:szCs w:val="24"/>
              </w:rPr>
              <w:t>Local Project Coordinator: Philip R. Stanforth, MSc</w:t>
            </w:r>
          </w:p>
        </w:tc>
      </w:tr>
      <w:tr w:rsidR="00C748FF" w:rsidRPr="004907E9" w14:paraId="2516BFBC" w14:textId="77777777" w:rsidTr="00A86CCC">
        <w:tc>
          <w:tcPr>
            <w:tcW w:w="4675" w:type="dxa"/>
          </w:tcPr>
          <w:p w14:paraId="6ECD20B1" w14:textId="77777777" w:rsidR="00C748FF" w:rsidRPr="004907E9" w:rsidRDefault="00C748FF" w:rsidP="00152BFC">
            <w:pPr>
              <w:rPr>
                <w:rFonts w:ascii="Arial" w:eastAsia="Calibri" w:hAnsi="Arial" w:cs="Arial"/>
                <w:sz w:val="24"/>
                <w:szCs w:val="24"/>
              </w:rPr>
            </w:pPr>
          </w:p>
        </w:tc>
        <w:tc>
          <w:tcPr>
            <w:tcW w:w="4675" w:type="dxa"/>
          </w:tcPr>
          <w:p w14:paraId="4E6C200F" w14:textId="77777777" w:rsidR="00C748FF" w:rsidRPr="004907E9" w:rsidRDefault="00C748FF" w:rsidP="00152BFC">
            <w:pPr>
              <w:rPr>
                <w:rFonts w:ascii="Arial" w:eastAsia="Calibri" w:hAnsi="Arial" w:cs="Arial"/>
                <w:sz w:val="24"/>
                <w:szCs w:val="24"/>
              </w:rPr>
            </w:pPr>
          </w:p>
        </w:tc>
      </w:tr>
      <w:tr w:rsidR="000160E1" w:rsidRPr="004907E9" w14:paraId="13557F4A" w14:textId="77777777" w:rsidTr="00A86CCC">
        <w:tc>
          <w:tcPr>
            <w:tcW w:w="4675" w:type="dxa"/>
          </w:tcPr>
          <w:p w14:paraId="38227CE7" w14:textId="3449AB6A" w:rsidR="000160E1" w:rsidRPr="004907E9" w:rsidRDefault="000160E1" w:rsidP="00152BFC">
            <w:pPr>
              <w:rPr>
                <w:rFonts w:ascii="Arial" w:eastAsia="Calibri" w:hAnsi="Arial" w:cs="Arial"/>
                <w:sz w:val="24"/>
                <w:szCs w:val="24"/>
              </w:rPr>
            </w:pPr>
            <w:r>
              <w:rPr>
                <w:rFonts w:ascii="Arial" w:eastAsia="Calibri" w:hAnsi="Arial" w:cs="Arial"/>
                <w:sz w:val="24"/>
                <w:szCs w:val="24"/>
              </w:rPr>
              <w:t>Melissa Domenick, MA</w:t>
            </w:r>
          </w:p>
        </w:tc>
        <w:tc>
          <w:tcPr>
            <w:tcW w:w="4675" w:type="dxa"/>
          </w:tcPr>
          <w:p w14:paraId="1E1E815D" w14:textId="77777777" w:rsidR="000160E1" w:rsidRPr="004907E9" w:rsidRDefault="000160E1" w:rsidP="00152BFC">
            <w:pPr>
              <w:rPr>
                <w:rFonts w:ascii="Arial" w:eastAsia="Calibri" w:hAnsi="Arial" w:cs="Arial"/>
                <w:sz w:val="24"/>
                <w:szCs w:val="24"/>
              </w:rPr>
            </w:pPr>
          </w:p>
        </w:tc>
      </w:tr>
      <w:tr w:rsidR="000160E1" w:rsidRPr="004907E9" w14:paraId="110D8140" w14:textId="77777777" w:rsidTr="00A86CCC">
        <w:tc>
          <w:tcPr>
            <w:tcW w:w="4675" w:type="dxa"/>
          </w:tcPr>
          <w:p w14:paraId="33660246" w14:textId="762D2FDB" w:rsidR="000160E1" w:rsidRPr="004907E9" w:rsidRDefault="000160E1" w:rsidP="00152BFC">
            <w:pPr>
              <w:rPr>
                <w:rFonts w:ascii="Arial" w:eastAsia="Calibri" w:hAnsi="Arial" w:cs="Arial"/>
                <w:sz w:val="24"/>
                <w:szCs w:val="24"/>
              </w:rPr>
            </w:pPr>
            <w:r w:rsidRPr="004907E9">
              <w:rPr>
                <w:rFonts w:ascii="Arial" w:eastAsia="Calibri" w:hAnsi="Arial" w:cs="Arial"/>
                <w:sz w:val="24"/>
                <w:szCs w:val="24"/>
              </w:rPr>
              <w:t>David W. Hayes, MD</w:t>
            </w:r>
          </w:p>
        </w:tc>
        <w:tc>
          <w:tcPr>
            <w:tcW w:w="4675" w:type="dxa"/>
          </w:tcPr>
          <w:p w14:paraId="6B720A99" w14:textId="77777777" w:rsidR="000160E1" w:rsidRPr="004907E9" w:rsidRDefault="000160E1" w:rsidP="00152BFC">
            <w:pPr>
              <w:rPr>
                <w:rFonts w:ascii="Arial" w:eastAsia="Calibri" w:hAnsi="Arial" w:cs="Arial"/>
                <w:sz w:val="24"/>
                <w:szCs w:val="24"/>
              </w:rPr>
            </w:pPr>
          </w:p>
        </w:tc>
      </w:tr>
      <w:tr w:rsidR="00C748FF" w:rsidRPr="00933E29" w14:paraId="04B993CC" w14:textId="77777777" w:rsidTr="00A86CCC">
        <w:tc>
          <w:tcPr>
            <w:tcW w:w="4675" w:type="dxa"/>
          </w:tcPr>
          <w:p w14:paraId="66D44010" w14:textId="77777777" w:rsidR="00C748FF" w:rsidRPr="00933E29" w:rsidRDefault="000160E1" w:rsidP="00152BFC">
            <w:pPr>
              <w:rPr>
                <w:rFonts w:ascii="Arial" w:eastAsia="Calibri" w:hAnsi="Arial" w:cs="Arial"/>
                <w:sz w:val="24"/>
                <w:szCs w:val="24"/>
              </w:rPr>
            </w:pPr>
            <w:r w:rsidRPr="00933E29">
              <w:rPr>
                <w:rFonts w:ascii="Arial" w:eastAsia="Calibri" w:hAnsi="Arial" w:cs="Arial"/>
                <w:sz w:val="24"/>
                <w:szCs w:val="24"/>
              </w:rPr>
              <w:t>Paul J. Roach, MD</w:t>
            </w:r>
          </w:p>
          <w:p w14:paraId="642C2D1D" w14:textId="77777777" w:rsidR="009860F3" w:rsidRPr="00933E29" w:rsidRDefault="009860F3" w:rsidP="00152BFC">
            <w:pPr>
              <w:rPr>
                <w:rFonts w:ascii="Arial" w:eastAsia="Calibri" w:hAnsi="Arial" w:cs="Arial"/>
                <w:sz w:val="24"/>
                <w:szCs w:val="24"/>
              </w:rPr>
            </w:pPr>
          </w:p>
          <w:p w14:paraId="55ABA82A" w14:textId="77777777" w:rsidR="009860F3" w:rsidRPr="00933E29" w:rsidRDefault="009860F3" w:rsidP="00152BFC">
            <w:pPr>
              <w:rPr>
                <w:rFonts w:ascii="Arial" w:eastAsia="Calibri" w:hAnsi="Arial" w:cs="Arial"/>
                <w:sz w:val="24"/>
                <w:szCs w:val="24"/>
              </w:rPr>
            </w:pPr>
          </w:p>
          <w:p w14:paraId="22658652" w14:textId="77777777" w:rsidR="009860F3" w:rsidRPr="00933E29" w:rsidRDefault="009860F3" w:rsidP="00152BFC">
            <w:pPr>
              <w:rPr>
                <w:rFonts w:ascii="Arial" w:eastAsia="Calibri" w:hAnsi="Arial" w:cs="Arial"/>
                <w:sz w:val="24"/>
                <w:szCs w:val="24"/>
              </w:rPr>
            </w:pPr>
          </w:p>
          <w:p w14:paraId="1B8D7CA6" w14:textId="77777777" w:rsidR="009860F3" w:rsidRPr="00933E29" w:rsidRDefault="009860F3" w:rsidP="00152BFC">
            <w:pPr>
              <w:rPr>
                <w:rFonts w:ascii="Arial" w:eastAsia="Calibri" w:hAnsi="Arial" w:cs="Arial"/>
                <w:sz w:val="24"/>
                <w:szCs w:val="24"/>
              </w:rPr>
            </w:pPr>
          </w:p>
          <w:p w14:paraId="2908AD84" w14:textId="77777777" w:rsidR="009860F3" w:rsidRPr="00933E29" w:rsidRDefault="009860F3" w:rsidP="00152BFC">
            <w:pPr>
              <w:rPr>
                <w:rFonts w:ascii="Arial" w:eastAsia="Calibri" w:hAnsi="Arial" w:cs="Arial"/>
                <w:sz w:val="24"/>
                <w:szCs w:val="24"/>
              </w:rPr>
            </w:pPr>
          </w:p>
          <w:p w14:paraId="7DF0AC62" w14:textId="77777777" w:rsidR="009860F3" w:rsidRPr="00933E29" w:rsidRDefault="009860F3" w:rsidP="00152BFC">
            <w:pPr>
              <w:rPr>
                <w:rFonts w:ascii="Arial" w:eastAsia="Calibri" w:hAnsi="Arial" w:cs="Arial"/>
                <w:sz w:val="24"/>
                <w:szCs w:val="24"/>
              </w:rPr>
            </w:pPr>
          </w:p>
          <w:p w14:paraId="75720C38" w14:textId="77777777" w:rsidR="009860F3" w:rsidRPr="00933E29" w:rsidRDefault="009860F3" w:rsidP="00152BFC">
            <w:pPr>
              <w:rPr>
                <w:rFonts w:ascii="Arial" w:eastAsia="Calibri" w:hAnsi="Arial" w:cs="Arial"/>
                <w:sz w:val="24"/>
                <w:szCs w:val="24"/>
              </w:rPr>
            </w:pPr>
          </w:p>
          <w:p w14:paraId="789195C8" w14:textId="77777777" w:rsidR="009860F3" w:rsidRPr="00933E29" w:rsidRDefault="009860F3" w:rsidP="00152BFC">
            <w:pPr>
              <w:rPr>
                <w:rFonts w:ascii="Arial" w:eastAsia="Calibri" w:hAnsi="Arial" w:cs="Arial"/>
                <w:sz w:val="24"/>
                <w:szCs w:val="24"/>
              </w:rPr>
            </w:pPr>
          </w:p>
          <w:p w14:paraId="2C616DCE" w14:textId="77777777" w:rsidR="009860F3" w:rsidRPr="00933E29" w:rsidRDefault="009860F3" w:rsidP="00152BFC">
            <w:pPr>
              <w:rPr>
                <w:rFonts w:ascii="Arial" w:eastAsia="Calibri" w:hAnsi="Arial" w:cs="Arial"/>
                <w:sz w:val="24"/>
                <w:szCs w:val="24"/>
              </w:rPr>
            </w:pPr>
          </w:p>
          <w:p w14:paraId="0C2B7B3F" w14:textId="77777777" w:rsidR="009860F3" w:rsidRPr="00933E29" w:rsidRDefault="009860F3" w:rsidP="00152BFC">
            <w:pPr>
              <w:rPr>
                <w:rFonts w:ascii="Arial" w:eastAsia="Calibri" w:hAnsi="Arial" w:cs="Arial"/>
                <w:sz w:val="24"/>
                <w:szCs w:val="24"/>
              </w:rPr>
            </w:pPr>
          </w:p>
          <w:p w14:paraId="264B6129" w14:textId="77777777" w:rsidR="009860F3" w:rsidRPr="00933E29" w:rsidRDefault="009860F3" w:rsidP="00152BFC">
            <w:pPr>
              <w:rPr>
                <w:rFonts w:ascii="Arial" w:eastAsia="Calibri" w:hAnsi="Arial" w:cs="Arial"/>
                <w:sz w:val="24"/>
                <w:szCs w:val="24"/>
              </w:rPr>
            </w:pPr>
          </w:p>
          <w:p w14:paraId="56BB0D8F" w14:textId="77777777" w:rsidR="009860F3" w:rsidRPr="00933E29" w:rsidRDefault="009860F3" w:rsidP="00152BFC">
            <w:pPr>
              <w:rPr>
                <w:rFonts w:ascii="Arial" w:eastAsia="Calibri" w:hAnsi="Arial" w:cs="Arial"/>
                <w:sz w:val="24"/>
                <w:szCs w:val="24"/>
              </w:rPr>
            </w:pPr>
          </w:p>
          <w:p w14:paraId="71F5532C" w14:textId="77777777" w:rsidR="009860F3" w:rsidRPr="00933E29" w:rsidRDefault="009860F3" w:rsidP="00152BFC">
            <w:pPr>
              <w:rPr>
                <w:rFonts w:ascii="Arial" w:eastAsia="Calibri" w:hAnsi="Arial" w:cs="Arial"/>
                <w:sz w:val="24"/>
                <w:szCs w:val="24"/>
              </w:rPr>
            </w:pPr>
          </w:p>
          <w:p w14:paraId="5D4E75B4" w14:textId="77777777" w:rsidR="009860F3" w:rsidRPr="00933E29" w:rsidRDefault="009860F3" w:rsidP="00152BFC">
            <w:pPr>
              <w:rPr>
                <w:rFonts w:ascii="Arial" w:eastAsia="Calibri" w:hAnsi="Arial" w:cs="Arial"/>
                <w:sz w:val="24"/>
                <w:szCs w:val="24"/>
              </w:rPr>
            </w:pPr>
          </w:p>
          <w:p w14:paraId="5C3628F7" w14:textId="77777777" w:rsidR="009860F3" w:rsidRPr="00933E29" w:rsidRDefault="009860F3" w:rsidP="00152BFC">
            <w:pPr>
              <w:rPr>
                <w:rFonts w:ascii="Arial" w:eastAsia="Calibri" w:hAnsi="Arial" w:cs="Arial"/>
                <w:sz w:val="24"/>
                <w:szCs w:val="24"/>
              </w:rPr>
            </w:pPr>
          </w:p>
          <w:p w14:paraId="2045FF3E" w14:textId="77777777" w:rsidR="009860F3" w:rsidRPr="00933E29" w:rsidRDefault="009860F3" w:rsidP="00152BFC">
            <w:pPr>
              <w:rPr>
                <w:rFonts w:ascii="Arial" w:eastAsia="Calibri" w:hAnsi="Arial" w:cs="Arial"/>
                <w:sz w:val="24"/>
                <w:szCs w:val="24"/>
              </w:rPr>
            </w:pPr>
          </w:p>
          <w:p w14:paraId="7EF5A0A1" w14:textId="77777777" w:rsidR="009860F3" w:rsidRPr="00933E29" w:rsidRDefault="009860F3" w:rsidP="00152BFC">
            <w:pPr>
              <w:rPr>
                <w:rFonts w:ascii="Arial" w:eastAsia="Calibri" w:hAnsi="Arial" w:cs="Arial"/>
                <w:sz w:val="24"/>
                <w:szCs w:val="24"/>
              </w:rPr>
            </w:pPr>
          </w:p>
          <w:p w14:paraId="5EE8E8DC" w14:textId="77777777" w:rsidR="009860F3" w:rsidRPr="00933E29" w:rsidRDefault="009860F3" w:rsidP="00152BFC">
            <w:pPr>
              <w:rPr>
                <w:rFonts w:ascii="Arial" w:eastAsia="Calibri" w:hAnsi="Arial" w:cs="Arial"/>
                <w:sz w:val="24"/>
                <w:szCs w:val="24"/>
              </w:rPr>
            </w:pPr>
          </w:p>
          <w:p w14:paraId="58C17696" w14:textId="77777777" w:rsidR="009860F3" w:rsidRPr="00933E29" w:rsidRDefault="009860F3" w:rsidP="00152BFC">
            <w:pPr>
              <w:rPr>
                <w:rFonts w:ascii="Arial" w:eastAsia="Calibri" w:hAnsi="Arial" w:cs="Arial"/>
                <w:sz w:val="24"/>
                <w:szCs w:val="24"/>
              </w:rPr>
            </w:pPr>
          </w:p>
          <w:p w14:paraId="46BAB266" w14:textId="77777777" w:rsidR="009860F3" w:rsidRPr="00933E29" w:rsidRDefault="009860F3" w:rsidP="00152BFC">
            <w:pPr>
              <w:rPr>
                <w:rFonts w:ascii="Arial" w:eastAsia="Calibri" w:hAnsi="Arial" w:cs="Arial"/>
                <w:sz w:val="24"/>
                <w:szCs w:val="24"/>
              </w:rPr>
            </w:pPr>
          </w:p>
          <w:p w14:paraId="4F2B0B13" w14:textId="77777777" w:rsidR="009860F3" w:rsidRPr="00933E29" w:rsidRDefault="009860F3" w:rsidP="00152BFC">
            <w:pPr>
              <w:rPr>
                <w:rFonts w:ascii="Arial" w:eastAsia="Calibri" w:hAnsi="Arial" w:cs="Arial"/>
                <w:sz w:val="24"/>
                <w:szCs w:val="24"/>
              </w:rPr>
            </w:pPr>
          </w:p>
          <w:p w14:paraId="6C611318" w14:textId="77777777" w:rsidR="009860F3" w:rsidRPr="00933E29" w:rsidRDefault="009860F3" w:rsidP="00152BFC">
            <w:pPr>
              <w:rPr>
                <w:rFonts w:ascii="Arial" w:eastAsia="Calibri" w:hAnsi="Arial" w:cs="Arial"/>
                <w:sz w:val="24"/>
                <w:szCs w:val="24"/>
              </w:rPr>
            </w:pPr>
          </w:p>
          <w:p w14:paraId="54A7CDB1" w14:textId="77777777" w:rsidR="009860F3" w:rsidRPr="00933E29" w:rsidRDefault="009860F3" w:rsidP="00152BFC">
            <w:pPr>
              <w:rPr>
                <w:rFonts w:ascii="Arial" w:eastAsia="Calibri" w:hAnsi="Arial" w:cs="Arial"/>
                <w:sz w:val="24"/>
                <w:szCs w:val="24"/>
              </w:rPr>
            </w:pPr>
          </w:p>
          <w:p w14:paraId="217C006E" w14:textId="77777777" w:rsidR="009860F3" w:rsidRPr="00933E29" w:rsidRDefault="009860F3" w:rsidP="00152BFC">
            <w:pPr>
              <w:rPr>
                <w:rFonts w:ascii="Arial" w:eastAsia="Calibri" w:hAnsi="Arial" w:cs="Arial"/>
                <w:sz w:val="24"/>
                <w:szCs w:val="24"/>
              </w:rPr>
            </w:pPr>
          </w:p>
          <w:p w14:paraId="20108D3B" w14:textId="77777777" w:rsidR="009860F3" w:rsidRPr="00933E29" w:rsidRDefault="009860F3" w:rsidP="00152BFC">
            <w:pPr>
              <w:rPr>
                <w:rFonts w:ascii="Arial" w:eastAsia="Calibri" w:hAnsi="Arial" w:cs="Arial"/>
                <w:sz w:val="24"/>
                <w:szCs w:val="24"/>
              </w:rPr>
            </w:pPr>
          </w:p>
          <w:p w14:paraId="41A6F8FE" w14:textId="77777777" w:rsidR="009860F3" w:rsidRPr="00933E29" w:rsidRDefault="009860F3" w:rsidP="00152BFC">
            <w:pPr>
              <w:rPr>
                <w:rFonts w:ascii="Arial" w:eastAsia="Calibri" w:hAnsi="Arial" w:cs="Arial"/>
                <w:sz w:val="24"/>
                <w:szCs w:val="24"/>
              </w:rPr>
            </w:pPr>
          </w:p>
          <w:p w14:paraId="77553C92" w14:textId="3606E5B4" w:rsidR="009860F3" w:rsidRPr="00933E29" w:rsidRDefault="009860F3" w:rsidP="00152BFC">
            <w:pPr>
              <w:rPr>
                <w:rFonts w:ascii="Arial" w:eastAsia="Calibri" w:hAnsi="Arial" w:cs="Arial"/>
                <w:sz w:val="24"/>
                <w:szCs w:val="24"/>
              </w:rPr>
            </w:pPr>
          </w:p>
        </w:tc>
        <w:tc>
          <w:tcPr>
            <w:tcW w:w="4675" w:type="dxa"/>
          </w:tcPr>
          <w:p w14:paraId="1C019B90" w14:textId="587E3112" w:rsidR="00C748FF" w:rsidRPr="00933E29" w:rsidRDefault="00C748FF" w:rsidP="00152BFC">
            <w:pPr>
              <w:rPr>
                <w:rFonts w:ascii="Arial" w:eastAsia="Calibri" w:hAnsi="Arial" w:cs="Arial"/>
                <w:sz w:val="24"/>
                <w:szCs w:val="24"/>
              </w:rPr>
            </w:pPr>
          </w:p>
        </w:tc>
      </w:tr>
    </w:tbl>
    <w:p w14:paraId="71D83BC1" w14:textId="77777777" w:rsidR="009860F3" w:rsidRPr="009860F3" w:rsidRDefault="009860F3" w:rsidP="009860F3">
      <w:r w:rsidRPr="00933E29">
        <w:rPr>
          <w:b/>
          <w:sz w:val="28"/>
          <w:szCs w:val="28"/>
        </w:rPr>
        <w:t>Supplementary Table S4.</w:t>
      </w:r>
      <w:r w:rsidRPr="009860F3">
        <w:rPr>
          <w:b/>
          <w:sz w:val="28"/>
          <w:szCs w:val="28"/>
        </w:rPr>
        <w:t xml:space="preserve"> Listing of some of the most novel or impactful findings from the HERITAGE Family Study from 1995 to 2021</w:t>
      </w:r>
      <w:r w:rsidRPr="009860F3">
        <w:t>.</w:t>
      </w:r>
    </w:p>
    <w:p w14:paraId="0F795939" w14:textId="77777777" w:rsidR="009860F3" w:rsidRPr="009860F3" w:rsidRDefault="009860F3" w:rsidP="009860F3"/>
    <w:tbl>
      <w:tblPr>
        <w:tblW w:w="14130" w:type="dxa"/>
        <w:tblLook w:val="04A0" w:firstRow="1" w:lastRow="0" w:firstColumn="1" w:lastColumn="0" w:noHBand="0" w:noVBand="1"/>
      </w:tblPr>
      <w:tblGrid>
        <w:gridCol w:w="3420"/>
        <w:gridCol w:w="1890"/>
        <w:gridCol w:w="6120"/>
        <w:gridCol w:w="90"/>
        <w:gridCol w:w="2610"/>
      </w:tblGrid>
      <w:tr w:rsidR="009860F3" w:rsidRPr="009860F3" w14:paraId="0D4480FC" w14:textId="77777777" w:rsidTr="00B10B02">
        <w:trPr>
          <w:trHeight w:val="285"/>
        </w:trPr>
        <w:tc>
          <w:tcPr>
            <w:tcW w:w="3420" w:type="dxa"/>
            <w:tcBorders>
              <w:top w:val="double" w:sz="4" w:space="0" w:color="auto"/>
              <w:left w:val="nil"/>
              <w:bottom w:val="single" w:sz="12" w:space="0" w:color="auto"/>
              <w:right w:val="nil"/>
            </w:tcBorders>
            <w:shd w:val="clear" w:color="auto" w:fill="auto"/>
            <w:noWrap/>
            <w:vAlign w:val="bottom"/>
            <w:hideMark/>
          </w:tcPr>
          <w:p w14:paraId="3D6087CB" w14:textId="77777777" w:rsidR="009860F3" w:rsidRPr="009860F3" w:rsidRDefault="009860F3" w:rsidP="009860F3">
            <w:pPr>
              <w:rPr>
                <w:b/>
                <w:bCs/>
              </w:rPr>
            </w:pPr>
            <w:r w:rsidRPr="009860F3">
              <w:rPr>
                <w:b/>
                <w:bCs/>
              </w:rPr>
              <w:t>Novel or Impactful Findings</w:t>
            </w:r>
          </w:p>
        </w:tc>
        <w:tc>
          <w:tcPr>
            <w:tcW w:w="1890" w:type="dxa"/>
            <w:tcBorders>
              <w:top w:val="double" w:sz="4" w:space="0" w:color="auto"/>
              <w:left w:val="nil"/>
              <w:bottom w:val="single" w:sz="12" w:space="0" w:color="auto"/>
              <w:right w:val="nil"/>
            </w:tcBorders>
            <w:shd w:val="clear" w:color="auto" w:fill="auto"/>
            <w:noWrap/>
            <w:vAlign w:val="bottom"/>
            <w:hideMark/>
          </w:tcPr>
          <w:p w14:paraId="3B465767" w14:textId="77777777" w:rsidR="009860F3" w:rsidRPr="009860F3" w:rsidRDefault="009860F3" w:rsidP="009860F3">
            <w:pPr>
              <w:rPr>
                <w:b/>
                <w:bCs/>
              </w:rPr>
            </w:pPr>
            <w:r w:rsidRPr="009860F3">
              <w:rPr>
                <w:b/>
                <w:bCs/>
              </w:rPr>
              <w:t>Trait(s)</w:t>
            </w:r>
          </w:p>
        </w:tc>
        <w:tc>
          <w:tcPr>
            <w:tcW w:w="6120" w:type="dxa"/>
            <w:tcBorders>
              <w:top w:val="double" w:sz="4" w:space="0" w:color="auto"/>
              <w:left w:val="nil"/>
              <w:bottom w:val="single" w:sz="12" w:space="0" w:color="auto"/>
              <w:right w:val="nil"/>
            </w:tcBorders>
            <w:shd w:val="clear" w:color="auto" w:fill="auto"/>
            <w:noWrap/>
            <w:vAlign w:val="bottom"/>
            <w:hideMark/>
          </w:tcPr>
          <w:p w14:paraId="1493F066" w14:textId="77777777" w:rsidR="009860F3" w:rsidRPr="009860F3" w:rsidRDefault="009860F3" w:rsidP="009860F3">
            <w:pPr>
              <w:rPr>
                <w:b/>
                <w:bCs/>
              </w:rPr>
            </w:pPr>
            <w:r w:rsidRPr="009860F3">
              <w:rPr>
                <w:b/>
                <w:bCs/>
              </w:rPr>
              <w:t>Details</w:t>
            </w:r>
          </w:p>
        </w:tc>
        <w:tc>
          <w:tcPr>
            <w:tcW w:w="2700" w:type="dxa"/>
            <w:gridSpan w:val="2"/>
            <w:tcBorders>
              <w:top w:val="double" w:sz="4" w:space="0" w:color="auto"/>
              <w:left w:val="nil"/>
              <w:bottom w:val="single" w:sz="12" w:space="0" w:color="auto"/>
              <w:right w:val="nil"/>
            </w:tcBorders>
            <w:shd w:val="clear" w:color="auto" w:fill="auto"/>
            <w:noWrap/>
            <w:vAlign w:val="bottom"/>
            <w:hideMark/>
          </w:tcPr>
          <w:p w14:paraId="0A7A34B4" w14:textId="77777777" w:rsidR="009860F3" w:rsidRPr="009860F3" w:rsidRDefault="009860F3" w:rsidP="009860F3">
            <w:pPr>
              <w:rPr>
                <w:b/>
                <w:bCs/>
              </w:rPr>
            </w:pPr>
            <w:r w:rsidRPr="009860F3">
              <w:rPr>
                <w:b/>
                <w:bCs/>
              </w:rPr>
              <w:t>Citation(s)</w:t>
            </w:r>
          </w:p>
        </w:tc>
      </w:tr>
      <w:tr w:rsidR="009860F3" w:rsidRPr="009860F3" w14:paraId="78F0805B" w14:textId="77777777" w:rsidTr="00B10B02">
        <w:trPr>
          <w:trHeight w:val="78"/>
        </w:trPr>
        <w:tc>
          <w:tcPr>
            <w:tcW w:w="14130" w:type="dxa"/>
            <w:gridSpan w:val="5"/>
            <w:tcBorders>
              <w:top w:val="single" w:sz="12" w:space="0" w:color="auto"/>
              <w:left w:val="nil"/>
              <w:right w:val="nil"/>
            </w:tcBorders>
            <w:shd w:val="clear" w:color="auto" w:fill="auto"/>
            <w:noWrap/>
            <w:hideMark/>
          </w:tcPr>
          <w:p w14:paraId="181501BD" w14:textId="77777777" w:rsidR="009860F3" w:rsidRPr="009860F3" w:rsidRDefault="009860F3" w:rsidP="009860F3">
            <w:r w:rsidRPr="009860F3">
              <w:rPr>
                <w:b/>
                <w:bCs/>
              </w:rPr>
              <w:t>Heterogeneity of Training Responses</w:t>
            </w:r>
          </w:p>
        </w:tc>
      </w:tr>
      <w:tr w:rsidR="009860F3" w:rsidRPr="009860F3" w14:paraId="42A9D588" w14:textId="77777777" w:rsidTr="00B10B02">
        <w:trPr>
          <w:trHeight w:val="153"/>
        </w:trPr>
        <w:tc>
          <w:tcPr>
            <w:tcW w:w="3420" w:type="dxa"/>
            <w:vMerge w:val="restart"/>
            <w:tcBorders>
              <w:top w:val="nil"/>
              <w:left w:val="nil"/>
              <w:bottom w:val="nil"/>
              <w:right w:val="nil"/>
            </w:tcBorders>
            <w:shd w:val="clear" w:color="auto" w:fill="auto"/>
            <w:hideMark/>
          </w:tcPr>
          <w:p w14:paraId="3D7914F3" w14:textId="77777777" w:rsidR="009860F3" w:rsidRPr="009860F3" w:rsidRDefault="009860F3" w:rsidP="009860F3"/>
          <w:p w14:paraId="69258BB6" w14:textId="77777777" w:rsidR="009860F3" w:rsidRPr="009860F3" w:rsidRDefault="009860F3" w:rsidP="009860F3">
            <w:r w:rsidRPr="009860F3">
              <w:t>Large inter-individual differences in phenotype responses to endurance training</w:t>
            </w:r>
          </w:p>
        </w:tc>
        <w:tc>
          <w:tcPr>
            <w:tcW w:w="1890" w:type="dxa"/>
            <w:tcBorders>
              <w:top w:val="nil"/>
              <w:left w:val="nil"/>
              <w:bottom w:val="nil"/>
              <w:right w:val="nil"/>
            </w:tcBorders>
            <w:shd w:val="clear" w:color="auto" w:fill="auto"/>
            <w:noWrap/>
            <w:hideMark/>
          </w:tcPr>
          <w:p w14:paraId="606DB25C" w14:textId="77777777" w:rsidR="009860F3" w:rsidRPr="009860F3" w:rsidRDefault="009860F3" w:rsidP="009860F3"/>
          <w:p w14:paraId="6B606D2E" w14:textId="77777777" w:rsidR="009860F3" w:rsidRPr="009860F3" w:rsidRDefault="009860F3" w:rsidP="009860F3">
            <w:r w:rsidRPr="009860F3">
              <w:t>VO</w:t>
            </w:r>
            <w:r w:rsidRPr="009860F3">
              <w:rPr>
                <w:vertAlign w:val="subscript"/>
              </w:rPr>
              <w:t>2</w:t>
            </w:r>
            <w:r w:rsidRPr="009860F3">
              <w:t>max</w:t>
            </w:r>
          </w:p>
        </w:tc>
        <w:tc>
          <w:tcPr>
            <w:tcW w:w="6120" w:type="dxa"/>
            <w:tcBorders>
              <w:top w:val="nil"/>
              <w:left w:val="nil"/>
              <w:bottom w:val="nil"/>
              <w:right w:val="nil"/>
            </w:tcBorders>
            <w:shd w:val="clear" w:color="auto" w:fill="auto"/>
            <w:noWrap/>
            <w:hideMark/>
          </w:tcPr>
          <w:p w14:paraId="6D495DEB" w14:textId="77777777" w:rsidR="009860F3" w:rsidRPr="009860F3" w:rsidRDefault="009860F3" w:rsidP="009860F3"/>
          <w:p w14:paraId="32A4E2E7" w14:textId="77777777" w:rsidR="009860F3" w:rsidRPr="009860F3" w:rsidRDefault="009860F3" w:rsidP="009860F3">
            <w:r w:rsidRPr="009860F3">
              <w:t>VO</w:t>
            </w:r>
            <w:r w:rsidRPr="009860F3">
              <w:rPr>
                <w:vertAlign w:val="subscript"/>
              </w:rPr>
              <w:t>2</w:t>
            </w:r>
            <w:r w:rsidRPr="009860F3">
              <w:t xml:space="preserve">max responses ranged from no gain to over 1 L/min [-5% to +48%] </w:t>
            </w:r>
          </w:p>
        </w:tc>
        <w:tc>
          <w:tcPr>
            <w:tcW w:w="2700" w:type="dxa"/>
            <w:gridSpan w:val="2"/>
            <w:tcBorders>
              <w:top w:val="nil"/>
              <w:left w:val="nil"/>
              <w:bottom w:val="nil"/>
              <w:right w:val="nil"/>
            </w:tcBorders>
            <w:shd w:val="clear" w:color="auto" w:fill="auto"/>
            <w:hideMark/>
          </w:tcPr>
          <w:p w14:paraId="7AA18C5C" w14:textId="77777777" w:rsidR="009860F3" w:rsidRPr="009860F3" w:rsidRDefault="009860F3" w:rsidP="009860F3"/>
          <w:p w14:paraId="22929A76" w14:textId="77777777" w:rsidR="009860F3" w:rsidRPr="009860F3" w:rsidRDefault="009860F3" w:rsidP="009860F3">
            <w:r w:rsidRPr="009860F3">
              <w:t xml:space="preserve">Bouchard and Rankinen 2001; </w:t>
            </w:r>
            <w:r w:rsidRPr="009860F3">
              <w:br/>
              <w:t xml:space="preserve">Skinner, </w:t>
            </w:r>
            <w:proofErr w:type="spellStart"/>
            <w:r w:rsidRPr="009860F3">
              <w:t>Jaskolski</w:t>
            </w:r>
            <w:proofErr w:type="spellEnd"/>
            <w:r w:rsidRPr="009860F3">
              <w:t xml:space="preserve"> et al. 2001</w:t>
            </w:r>
          </w:p>
          <w:p w14:paraId="6D3C7037" w14:textId="77777777" w:rsidR="009860F3" w:rsidRPr="009860F3" w:rsidRDefault="009860F3" w:rsidP="009860F3">
            <w:r w:rsidRPr="009860F3">
              <w:t>Boule, Weisnagel et al. 2005</w:t>
            </w:r>
          </w:p>
        </w:tc>
      </w:tr>
      <w:tr w:rsidR="009860F3" w:rsidRPr="009860F3" w14:paraId="345FAD09" w14:textId="77777777" w:rsidTr="00B10B02">
        <w:trPr>
          <w:gridAfter w:val="2"/>
          <w:wAfter w:w="2700" w:type="dxa"/>
          <w:trHeight w:val="45"/>
        </w:trPr>
        <w:tc>
          <w:tcPr>
            <w:tcW w:w="3420" w:type="dxa"/>
            <w:vMerge/>
            <w:tcBorders>
              <w:top w:val="nil"/>
              <w:left w:val="nil"/>
              <w:bottom w:val="nil"/>
              <w:right w:val="nil"/>
            </w:tcBorders>
            <w:vAlign w:val="center"/>
            <w:hideMark/>
          </w:tcPr>
          <w:p w14:paraId="08719D73" w14:textId="77777777" w:rsidR="009860F3" w:rsidRPr="009860F3" w:rsidRDefault="009860F3" w:rsidP="009860F3"/>
        </w:tc>
        <w:tc>
          <w:tcPr>
            <w:tcW w:w="1890" w:type="dxa"/>
            <w:tcBorders>
              <w:top w:val="nil"/>
              <w:left w:val="nil"/>
              <w:bottom w:val="nil"/>
              <w:right w:val="nil"/>
            </w:tcBorders>
            <w:shd w:val="clear" w:color="auto" w:fill="auto"/>
            <w:noWrap/>
            <w:hideMark/>
          </w:tcPr>
          <w:p w14:paraId="09B1EC7E" w14:textId="77777777" w:rsidR="009860F3" w:rsidRPr="009860F3" w:rsidRDefault="009860F3" w:rsidP="009860F3">
            <w:r w:rsidRPr="009860F3">
              <w:t>IVGTT traits</w:t>
            </w:r>
          </w:p>
        </w:tc>
        <w:tc>
          <w:tcPr>
            <w:tcW w:w="6120" w:type="dxa"/>
            <w:tcBorders>
              <w:top w:val="nil"/>
              <w:left w:val="nil"/>
              <w:bottom w:val="nil"/>
              <w:right w:val="nil"/>
            </w:tcBorders>
            <w:shd w:val="clear" w:color="auto" w:fill="auto"/>
            <w:noWrap/>
            <w:hideMark/>
          </w:tcPr>
          <w:p w14:paraId="09CA5B98" w14:textId="77777777" w:rsidR="009860F3" w:rsidRPr="009860F3" w:rsidRDefault="009860F3" w:rsidP="009860F3">
            <w:r w:rsidRPr="009860F3">
              <w:t>The proportion of subjects who had no change or decreases in IVGTT traits ranged from 42-55%</w:t>
            </w:r>
          </w:p>
          <w:p w14:paraId="33288413" w14:textId="77777777" w:rsidR="009860F3" w:rsidRPr="009860F3" w:rsidRDefault="009860F3" w:rsidP="009860F3"/>
        </w:tc>
      </w:tr>
      <w:tr w:rsidR="009860F3" w:rsidRPr="00807A75" w14:paraId="6C29D4C6" w14:textId="77777777" w:rsidTr="00B10B02">
        <w:trPr>
          <w:trHeight w:val="692"/>
        </w:trPr>
        <w:tc>
          <w:tcPr>
            <w:tcW w:w="3420" w:type="dxa"/>
            <w:tcBorders>
              <w:top w:val="dashed" w:sz="4" w:space="0" w:color="auto"/>
              <w:left w:val="nil"/>
              <w:bottom w:val="dashed" w:sz="4" w:space="0" w:color="auto"/>
              <w:right w:val="nil"/>
            </w:tcBorders>
            <w:shd w:val="clear" w:color="auto" w:fill="auto"/>
            <w:noWrap/>
            <w:hideMark/>
          </w:tcPr>
          <w:p w14:paraId="557E0DD5" w14:textId="77777777" w:rsidR="009860F3" w:rsidRPr="009860F3" w:rsidRDefault="009860F3" w:rsidP="009860F3">
            <w:r w:rsidRPr="009860F3">
              <w:t>No correlation between baseline VO</w:t>
            </w:r>
            <w:r w:rsidRPr="009860F3">
              <w:rPr>
                <w:vertAlign w:val="subscript"/>
              </w:rPr>
              <w:t>2</w:t>
            </w:r>
            <w:r w:rsidRPr="009860F3">
              <w:t>max and its changes with training</w:t>
            </w:r>
          </w:p>
        </w:tc>
        <w:tc>
          <w:tcPr>
            <w:tcW w:w="1890" w:type="dxa"/>
            <w:tcBorders>
              <w:top w:val="dashed" w:sz="4" w:space="0" w:color="auto"/>
              <w:left w:val="nil"/>
              <w:bottom w:val="dashed" w:sz="4" w:space="0" w:color="auto"/>
              <w:right w:val="nil"/>
            </w:tcBorders>
            <w:shd w:val="clear" w:color="auto" w:fill="auto"/>
            <w:noWrap/>
            <w:hideMark/>
          </w:tcPr>
          <w:p w14:paraId="5FE57CDE" w14:textId="77777777" w:rsidR="009860F3" w:rsidRPr="009860F3" w:rsidRDefault="009860F3" w:rsidP="009860F3">
            <w:r w:rsidRPr="009860F3">
              <w:t>VO</w:t>
            </w:r>
            <w:r w:rsidRPr="009860F3">
              <w:rPr>
                <w:vertAlign w:val="subscript"/>
              </w:rPr>
              <w:t>2</w:t>
            </w:r>
            <w:r w:rsidRPr="009860F3">
              <w:t>max</w:t>
            </w:r>
          </w:p>
        </w:tc>
        <w:tc>
          <w:tcPr>
            <w:tcW w:w="6120" w:type="dxa"/>
            <w:tcBorders>
              <w:top w:val="dashed" w:sz="4" w:space="0" w:color="auto"/>
              <w:left w:val="nil"/>
              <w:bottom w:val="dashed" w:sz="4" w:space="0" w:color="auto"/>
              <w:right w:val="nil"/>
            </w:tcBorders>
            <w:shd w:val="clear" w:color="auto" w:fill="auto"/>
            <w:noWrap/>
            <w:hideMark/>
          </w:tcPr>
          <w:p w14:paraId="01F43E59" w14:textId="77777777" w:rsidR="009860F3" w:rsidRPr="009860F3" w:rsidRDefault="009860F3" w:rsidP="009860F3">
            <w:r w:rsidRPr="009860F3">
              <w:t>The correlation between baseline and delta VO</w:t>
            </w:r>
            <w:r w:rsidRPr="009860F3">
              <w:rPr>
                <w:vertAlign w:val="subscript"/>
              </w:rPr>
              <w:t>2</w:t>
            </w:r>
            <w:r w:rsidRPr="009860F3">
              <w:t>max was 0.08, with baseline levels after adjustments explaining only 2% of the variance in delta VO</w:t>
            </w:r>
            <w:r w:rsidRPr="009860F3">
              <w:rPr>
                <w:vertAlign w:val="subscript"/>
              </w:rPr>
              <w:t>2</w:t>
            </w:r>
            <w:r w:rsidRPr="009860F3">
              <w:t xml:space="preserve">max </w:t>
            </w:r>
          </w:p>
          <w:p w14:paraId="12088CD0" w14:textId="77777777" w:rsidR="009860F3" w:rsidRPr="009860F3" w:rsidRDefault="009860F3" w:rsidP="009860F3"/>
        </w:tc>
        <w:tc>
          <w:tcPr>
            <w:tcW w:w="2700" w:type="dxa"/>
            <w:gridSpan w:val="2"/>
            <w:tcBorders>
              <w:top w:val="dashed" w:sz="4" w:space="0" w:color="auto"/>
              <w:left w:val="nil"/>
              <w:bottom w:val="dashed" w:sz="4" w:space="0" w:color="auto"/>
              <w:right w:val="nil"/>
            </w:tcBorders>
            <w:shd w:val="clear" w:color="auto" w:fill="auto"/>
            <w:noWrap/>
            <w:hideMark/>
          </w:tcPr>
          <w:p w14:paraId="6D0ECF0B" w14:textId="77777777" w:rsidR="009860F3" w:rsidRPr="009860F3" w:rsidRDefault="009860F3" w:rsidP="009860F3">
            <w:pPr>
              <w:rPr>
                <w:lang w:val="fr-CA"/>
              </w:rPr>
            </w:pPr>
            <w:r w:rsidRPr="009860F3">
              <w:rPr>
                <w:lang w:val="fr-CA"/>
              </w:rPr>
              <w:t xml:space="preserve">Skinner, </w:t>
            </w:r>
            <w:proofErr w:type="spellStart"/>
            <w:r w:rsidRPr="009860F3">
              <w:rPr>
                <w:lang w:val="fr-CA"/>
              </w:rPr>
              <w:t>Jaskolski</w:t>
            </w:r>
            <w:proofErr w:type="spellEnd"/>
            <w:r w:rsidRPr="009860F3">
              <w:rPr>
                <w:lang w:val="fr-CA"/>
              </w:rPr>
              <w:t xml:space="preserve"> et al. 2001; Sarzynski, Ghosh et al. 2017</w:t>
            </w:r>
          </w:p>
        </w:tc>
      </w:tr>
      <w:tr w:rsidR="009860F3" w:rsidRPr="009860F3" w14:paraId="230061F2" w14:textId="77777777" w:rsidTr="00B10B02">
        <w:trPr>
          <w:trHeight w:val="404"/>
        </w:trPr>
        <w:tc>
          <w:tcPr>
            <w:tcW w:w="3420" w:type="dxa"/>
            <w:vMerge w:val="restart"/>
            <w:tcBorders>
              <w:top w:val="dashed" w:sz="4" w:space="0" w:color="auto"/>
              <w:left w:val="nil"/>
              <w:bottom w:val="nil"/>
              <w:right w:val="nil"/>
            </w:tcBorders>
            <w:shd w:val="clear" w:color="auto" w:fill="auto"/>
            <w:vAlign w:val="center"/>
            <w:hideMark/>
          </w:tcPr>
          <w:p w14:paraId="1BD4B2D5" w14:textId="77777777" w:rsidR="009860F3" w:rsidRPr="009860F3" w:rsidRDefault="009860F3" w:rsidP="009860F3">
            <w:r w:rsidRPr="009860F3">
              <w:t>No aggregation of training responsiveness in individuals or subgroups</w:t>
            </w:r>
          </w:p>
        </w:tc>
        <w:tc>
          <w:tcPr>
            <w:tcW w:w="1890" w:type="dxa"/>
            <w:tcBorders>
              <w:top w:val="dashed" w:sz="4" w:space="0" w:color="auto"/>
              <w:left w:val="nil"/>
              <w:bottom w:val="nil"/>
              <w:right w:val="nil"/>
            </w:tcBorders>
            <w:shd w:val="clear" w:color="auto" w:fill="auto"/>
            <w:noWrap/>
            <w:hideMark/>
          </w:tcPr>
          <w:p w14:paraId="49DD5571" w14:textId="77777777" w:rsidR="009860F3" w:rsidRPr="009860F3" w:rsidRDefault="009860F3" w:rsidP="009860F3">
            <w:r w:rsidRPr="009860F3">
              <w:t>VO</w:t>
            </w:r>
            <w:r w:rsidRPr="009860F3">
              <w:rPr>
                <w:vertAlign w:val="subscript"/>
              </w:rPr>
              <w:t>2</w:t>
            </w:r>
            <w:r w:rsidRPr="009860F3">
              <w:t>max</w:t>
            </w:r>
          </w:p>
        </w:tc>
        <w:tc>
          <w:tcPr>
            <w:tcW w:w="6120" w:type="dxa"/>
            <w:tcBorders>
              <w:top w:val="dashed" w:sz="4" w:space="0" w:color="auto"/>
              <w:left w:val="nil"/>
              <w:bottom w:val="nil"/>
              <w:right w:val="nil"/>
            </w:tcBorders>
            <w:shd w:val="clear" w:color="auto" w:fill="auto"/>
            <w:noWrap/>
            <w:hideMark/>
          </w:tcPr>
          <w:p w14:paraId="4B23B581" w14:textId="77777777" w:rsidR="009860F3" w:rsidRPr="009860F3" w:rsidRDefault="009860F3" w:rsidP="009860F3">
            <w:r w:rsidRPr="009860F3">
              <w:t>There were low, average, and high VO</w:t>
            </w:r>
            <w:r w:rsidRPr="009860F3">
              <w:rPr>
                <w:vertAlign w:val="subscript"/>
              </w:rPr>
              <w:t>2</w:t>
            </w:r>
            <w:r w:rsidRPr="009860F3">
              <w:t>max responses across ages, both sexes, both ethnic groups, and levels of initial VO</w:t>
            </w:r>
            <w:r w:rsidRPr="009860F3">
              <w:rPr>
                <w:vertAlign w:val="subscript"/>
              </w:rPr>
              <w:t>2</w:t>
            </w:r>
            <w:r w:rsidRPr="009860F3">
              <w:t xml:space="preserve">max. </w:t>
            </w:r>
          </w:p>
        </w:tc>
        <w:tc>
          <w:tcPr>
            <w:tcW w:w="2700" w:type="dxa"/>
            <w:gridSpan w:val="2"/>
            <w:tcBorders>
              <w:top w:val="dashed" w:sz="4" w:space="0" w:color="auto"/>
              <w:left w:val="nil"/>
              <w:bottom w:val="nil"/>
              <w:right w:val="nil"/>
            </w:tcBorders>
            <w:shd w:val="clear" w:color="auto" w:fill="auto"/>
            <w:noWrap/>
            <w:hideMark/>
          </w:tcPr>
          <w:p w14:paraId="33F6ED75" w14:textId="77777777" w:rsidR="009860F3" w:rsidRPr="009860F3" w:rsidRDefault="009860F3" w:rsidP="009860F3">
            <w:r w:rsidRPr="009860F3">
              <w:t>Skinner, Jaskolski et al. 2001</w:t>
            </w:r>
          </w:p>
        </w:tc>
      </w:tr>
      <w:tr w:rsidR="009860F3" w:rsidRPr="009860F3" w14:paraId="33541F8E" w14:textId="77777777" w:rsidTr="00B10B02">
        <w:trPr>
          <w:trHeight w:val="270"/>
        </w:trPr>
        <w:tc>
          <w:tcPr>
            <w:tcW w:w="3420" w:type="dxa"/>
            <w:vMerge/>
            <w:tcBorders>
              <w:top w:val="nil"/>
              <w:left w:val="nil"/>
              <w:bottom w:val="dashed" w:sz="4" w:space="0" w:color="auto"/>
              <w:right w:val="nil"/>
            </w:tcBorders>
            <w:vAlign w:val="center"/>
            <w:hideMark/>
          </w:tcPr>
          <w:p w14:paraId="60BA3C7B" w14:textId="77777777" w:rsidR="009860F3" w:rsidRPr="009860F3" w:rsidRDefault="009860F3" w:rsidP="009860F3"/>
        </w:tc>
        <w:tc>
          <w:tcPr>
            <w:tcW w:w="1890" w:type="dxa"/>
            <w:tcBorders>
              <w:top w:val="nil"/>
              <w:left w:val="nil"/>
              <w:bottom w:val="dashed" w:sz="4" w:space="0" w:color="auto"/>
              <w:right w:val="nil"/>
            </w:tcBorders>
            <w:shd w:val="clear" w:color="auto" w:fill="auto"/>
            <w:noWrap/>
            <w:hideMark/>
          </w:tcPr>
          <w:p w14:paraId="63AF2408" w14:textId="77777777" w:rsidR="009860F3" w:rsidRPr="009860F3" w:rsidRDefault="009860F3" w:rsidP="009860F3">
            <w:r w:rsidRPr="009860F3">
              <w:t>VO</w:t>
            </w:r>
            <w:r w:rsidRPr="009860F3">
              <w:rPr>
                <w:vertAlign w:val="subscript"/>
              </w:rPr>
              <w:t>2</w:t>
            </w:r>
            <w:r w:rsidRPr="009860F3">
              <w:t xml:space="preserve">max, %fat, AVF, insulin, HDL-C, small LDL, </w:t>
            </w:r>
            <w:proofErr w:type="spellStart"/>
            <w:r w:rsidRPr="009860F3">
              <w:t>GlycA</w:t>
            </w:r>
            <w:proofErr w:type="spellEnd"/>
          </w:p>
        </w:tc>
        <w:tc>
          <w:tcPr>
            <w:tcW w:w="6120" w:type="dxa"/>
            <w:tcBorders>
              <w:top w:val="nil"/>
              <w:left w:val="nil"/>
              <w:bottom w:val="dashed" w:sz="4" w:space="0" w:color="auto"/>
              <w:right w:val="nil"/>
            </w:tcBorders>
            <w:shd w:val="clear" w:color="auto" w:fill="auto"/>
            <w:hideMark/>
          </w:tcPr>
          <w:p w14:paraId="51062F95" w14:textId="77777777" w:rsidR="009860F3" w:rsidRPr="009860F3" w:rsidRDefault="009860F3" w:rsidP="009860F3">
            <w:r w:rsidRPr="009860F3">
              <w:t>Almost half of the cohort had at least one high response and one low response across seven cardiometabolic traits.</w:t>
            </w:r>
            <w:r w:rsidRPr="009860F3">
              <w:br/>
              <w:t>There is a high degree of trait specificity in training responsiveness.</w:t>
            </w:r>
          </w:p>
          <w:p w14:paraId="755C3773" w14:textId="77777777" w:rsidR="009860F3" w:rsidRPr="009860F3" w:rsidRDefault="009860F3" w:rsidP="009860F3"/>
        </w:tc>
        <w:tc>
          <w:tcPr>
            <w:tcW w:w="2700" w:type="dxa"/>
            <w:gridSpan w:val="2"/>
            <w:tcBorders>
              <w:top w:val="nil"/>
              <w:left w:val="nil"/>
              <w:bottom w:val="dashed" w:sz="4" w:space="0" w:color="auto"/>
              <w:right w:val="nil"/>
            </w:tcBorders>
            <w:shd w:val="clear" w:color="auto" w:fill="auto"/>
            <w:noWrap/>
            <w:hideMark/>
          </w:tcPr>
          <w:p w14:paraId="6DC82C30" w14:textId="77777777" w:rsidR="009860F3" w:rsidRPr="009860F3" w:rsidRDefault="009860F3" w:rsidP="009860F3">
            <w:r w:rsidRPr="009860F3">
              <w:t>Barber BJSM in press</w:t>
            </w:r>
          </w:p>
        </w:tc>
      </w:tr>
      <w:tr w:rsidR="009860F3" w:rsidRPr="009860F3" w14:paraId="5F7DE334" w14:textId="77777777" w:rsidTr="00B10B02">
        <w:trPr>
          <w:trHeight w:val="341"/>
        </w:trPr>
        <w:tc>
          <w:tcPr>
            <w:tcW w:w="3420" w:type="dxa"/>
            <w:tcBorders>
              <w:top w:val="dashed" w:sz="4" w:space="0" w:color="auto"/>
              <w:left w:val="nil"/>
              <w:bottom w:val="double" w:sz="4" w:space="0" w:color="auto"/>
              <w:right w:val="nil"/>
            </w:tcBorders>
            <w:shd w:val="clear" w:color="auto" w:fill="auto"/>
            <w:noWrap/>
            <w:hideMark/>
          </w:tcPr>
          <w:p w14:paraId="3D4B56A3" w14:textId="77777777" w:rsidR="009860F3" w:rsidRPr="009860F3" w:rsidRDefault="009860F3" w:rsidP="009860F3">
            <w:r w:rsidRPr="009860F3">
              <w:t>Some unfavorable responses to endurance training</w:t>
            </w:r>
          </w:p>
        </w:tc>
        <w:tc>
          <w:tcPr>
            <w:tcW w:w="1890" w:type="dxa"/>
            <w:tcBorders>
              <w:top w:val="dashed" w:sz="4" w:space="0" w:color="auto"/>
              <w:left w:val="nil"/>
              <w:bottom w:val="double" w:sz="4" w:space="0" w:color="auto"/>
              <w:right w:val="nil"/>
            </w:tcBorders>
            <w:shd w:val="clear" w:color="auto" w:fill="auto"/>
            <w:hideMark/>
          </w:tcPr>
          <w:p w14:paraId="0E479312" w14:textId="77777777" w:rsidR="009860F3" w:rsidRPr="009860F3" w:rsidRDefault="009860F3" w:rsidP="009860F3">
            <w:r w:rsidRPr="009860F3">
              <w:t>fasting insulin;</w:t>
            </w:r>
            <w:r w:rsidRPr="009860F3">
              <w:br/>
              <w:t>HDL-C; TG; SBP</w:t>
            </w:r>
          </w:p>
        </w:tc>
        <w:tc>
          <w:tcPr>
            <w:tcW w:w="6120" w:type="dxa"/>
            <w:tcBorders>
              <w:top w:val="dashed" w:sz="4" w:space="0" w:color="auto"/>
              <w:left w:val="nil"/>
              <w:bottom w:val="double" w:sz="4" w:space="0" w:color="auto"/>
              <w:right w:val="nil"/>
            </w:tcBorders>
            <w:shd w:val="clear" w:color="auto" w:fill="auto"/>
            <w:hideMark/>
          </w:tcPr>
          <w:p w14:paraId="6AE1C392" w14:textId="77777777" w:rsidR="009860F3" w:rsidRPr="009860F3" w:rsidRDefault="009860F3" w:rsidP="009860F3">
            <w:r w:rsidRPr="009860F3">
              <w:t>Prevalence of potentially "adverse" response in HERITAGE ranged from 6 to 9% for the four traits.</w:t>
            </w:r>
          </w:p>
          <w:p w14:paraId="7218B46B" w14:textId="77777777" w:rsidR="009860F3" w:rsidRPr="009860F3" w:rsidRDefault="009860F3" w:rsidP="009860F3"/>
        </w:tc>
        <w:tc>
          <w:tcPr>
            <w:tcW w:w="2700" w:type="dxa"/>
            <w:gridSpan w:val="2"/>
            <w:tcBorders>
              <w:top w:val="dashed" w:sz="4" w:space="0" w:color="auto"/>
              <w:left w:val="nil"/>
              <w:bottom w:val="double" w:sz="4" w:space="0" w:color="auto"/>
              <w:right w:val="nil"/>
            </w:tcBorders>
            <w:shd w:val="clear" w:color="auto" w:fill="auto"/>
            <w:noWrap/>
            <w:hideMark/>
          </w:tcPr>
          <w:p w14:paraId="38CE5ACB" w14:textId="77777777" w:rsidR="009860F3" w:rsidRPr="009860F3" w:rsidRDefault="009860F3" w:rsidP="009860F3">
            <w:r w:rsidRPr="009860F3">
              <w:t xml:space="preserve">Bouchard </w:t>
            </w:r>
            <w:proofErr w:type="spellStart"/>
            <w:r w:rsidRPr="009860F3">
              <w:t>Plos</w:t>
            </w:r>
            <w:proofErr w:type="spellEnd"/>
            <w:r w:rsidRPr="009860F3">
              <w:t xml:space="preserve"> One 2012</w:t>
            </w:r>
          </w:p>
        </w:tc>
      </w:tr>
      <w:tr w:rsidR="009860F3" w:rsidRPr="009860F3" w14:paraId="349D0A74" w14:textId="77777777" w:rsidTr="00B10B02">
        <w:trPr>
          <w:trHeight w:val="96"/>
        </w:trPr>
        <w:tc>
          <w:tcPr>
            <w:tcW w:w="14130" w:type="dxa"/>
            <w:gridSpan w:val="5"/>
            <w:tcBorders>
              <w:top w:val="double" w:sz="4" w:space="0" w:color="auto"/>
              <w:left w:val="nil"/>
              <w:right w:val="nil"/>
            </w:tcBorders>
            <w:shd w:val="clear" w:color="auto" w:fill="auto"/>
            <w:noWrap/>
            <w:hideMark/>
          </w:tcPr>
          <w:p w14:paraId="7B822A56" w14:textId="77777777" w:rsidR="009860F3" w:rsidRPr="009860F3" w:rsidRDefault="009860F3" w:rsidP="009860F3">
            <w:pPr>
              <w:rPr>
                <w:b/>
                <w:bCs/>
              </w:rPr>
            </w:pPr>
            <w:r w:rsidRPr="009860F3">
              <w:rPr>
                <w:b/>
                <w:bCs/>
              </w:rPr>
              <w:t xml:space="preserve">Familial Aggregation of Baseline Phenotype Levels </w:t>
            </w:r>
          </w:p>
          <w:p w14:paraId="4B9F2D63" w14:textId="77777777" w:rsidR="009860F3" w:rsidRPr="009860F3" w:rsidRDefault="009860F3" w:rsidP="009860F3"/>
        </w:tc>
      </w:tr>
      <w:tr w:rsidR="009860F3" w:rsidRPr="009860F3" w14:paraId="78E2549C" w14:textId="77777777" w:rsidTr="00B10B02">
        <w:trPr>
          <w:trHeight w:val="96"/>
        </w:trPr>
        <w:tc>
          <w:tcPr>
            <w:tcW w:w="3420" w:type="dxa"/>
            <w:shd w:val="clear" w:color="auto" w:fill="auto"/>
            <w:noWrap/>
          </w:tcPr>
          <w:p w14:paraId="07A6D5AB" w14:textId="77777777" w:rsidR="009860F3" w:rsidRPr="009860F3" w:rsidRDefault="009860F3" w:rsidP="009860F3">
            <w:pPr>
              <w:rPr>
                <w:bCs/>
              </w:rPr>
            </w:pPr>
            <w:r w:rsidRPr="009860F3">
              <w:rPr>
                <w:bCs/>
              </w:rPr>
              <w:t>Within-subject variability</w:t>
            </w:r>
          </w:p>
        </w:tc>
        <w:tc>
          <w:tcPr>
            <w:tcW w:w="1890" w:type="dxa"/>
            <w:shd w:val="clear" w:color="auto" w:fill="auto"/>
          </w:tcPr>
          <w:p w14:paraId="265FA636" w14:textId="77777777" w:rsidR="009860F3" w:rsidRPr="009860F3" w:rsidRDefault="009860F3" w:rsidP="009860F3">
            <w:pPr>
              <w:rPr>
                <w:bCs/>
              </w:rPr>
            </w:pPr>
            <w:r w:rsidRPr="009860F3">
              <w:rPr>
                <w:bCs/>
              </w:rPr>
              <w:t>VO</w:t>
            </w:r>
            <w:r w:rsidRPr="009860F3">
              <w:rPr>
                <w:bCs/>
                <w:vertAlign w:val="subscript"/>
              </w:rPr>
              <w:t>2</w:t>
            </w:r>
            <w:r w:rsidRPr="009860F3">
              <w:rPr>
                <w:bCs/>
              </w:rPr>
              <w:t>max</w:t>
            </w:r>
          </w:p>
        </w:tc>
        <w:tc>
          <w:tcPr>
            <w:tcW w:w="6120" w:type="dxa"/>
            <w:shd w:val="clear" w:color="auto" w:fill="auto"/>
          </w:tcPr>
          <w:p w14:paraId="3E783C16" w14:textId="77777777" w:rsidR="009860F3" w:rsidRPr="009860F3" w:rsidRDefault="009860F3" w:rsidP="009860F3">
            <w:pPr>
              <w:rPr>
                <w:bCs/>
              </w:rPr>
            </w:pPr>
            <w:r w:rsidRPr="009860F3">
              <w:rPr>
                <w:bCs/>
              </w:rPr>
              <w:t>Within-subject standard deviation from measures repeated days and weeks apart range from 108 to 137 mL O</w:t>
            </w:r>
            <w:r w:rsidRPr="009860F3">
              <w:rPr>
                <w:bCs/>
                <w:vertAlign w:val="subscript"/>
              </w:rPr>
              <w:t>2</w:t>
            </w:r>
            <w:r w:rsidRPr="009860F3">
              <w:rPr>
                <w:bCs/>
              </w:rPr>
              <w:t>/min with CV of 4.1 to 5.0%</w:t>
            </w:r>
          </w:p>
          <w:p w14:paraId="25A5E2FF" w14:textId="77777777" w:rsidR="009860F3" w:rsidRPr="009860F3" w:rsidRDefault="009860F3" w:rsidP="009860F3">
            <w:pPr>
              <w:rPr>
                <w:b/>
                <w:bCs/>
              </w:rPr>
            </w:pPr>
          </w:p>
        </w:tc>
        <w:tc>
          <w:tcPr>
            <w:tcW w:w="2700" w:type="dxa"/>
            <w:gridSpan w:val="2"/>
            <w:shd w:val="clear" w:color="auto" w:fill="auto"/>
          </w:tcPr>
          <w:p w14:paraId="680223A8" w14:textId="77777777" w:rsidR="009860F3" w:rsidRPr="009860F3" w:rsidRDefault="009860F3" w:rsidP="009860F3">
            <w:pPr>
              <w:rPr>
                <w:bCs/>
              </w:rPr>
            </w:pPr>
            <w:r w:rsidRPr="009860F3">
              <w:rPr>
                <w:bCs/>
              </w:rPr>
              <w:t xml:space="preserve">Wilmore, Stanforth et al, 1998; Skinner, Wilmore et al, 1999; </w:t>
            </w:r>
            <w:proofErr w:type="spellStart"/>
            <w:r w:rsidRPr="009860F3">
              <w:rPr>
                <w:bCs/>
              </w:rPr>
              <w:t>Shephard</w:t>
            </w:r>
            <w:proofErr w:type="spellEnd"/>
            <w:r w:rsidRPr="009860F3">
              <w:rPr>
                <w:bCs/>
              </w:rPr>
              <w:t>, Rankinen et al, 2004; Sarzynski, Ghosh et al, 2017; plus unpublished data.</w:t>
            </w:r>
          </w:p>
          <w:p w14:paraId="351EC7C3" w14:textId="77777777" w:rsidR="009860F3" w:rsidRPr="009860F3" w:rsidRDefault="009860F3" w:rsidP="009860F3">
            <w:pPr>
              <w:rPr>
                <w:b/>
                <w:bCs/>
              </w:rPr>
            </w:pPr>
          </w:p>
        </w:tc>
      </w:tr>
      <w:tr w:rsidR="009860F3" w:rsidRPr="009860F3" w14:paraId="134392EC" w14:textId="77777777" w:rsidTr="00B10B02">
        <w:trPr>
          <w:trHeight w:val="441"/>
        </w:trPr>
        <w:tc>
          <w:tcPr>
            <w:tcW w:w="3420" w:type="dxa"/>
            <w:tcBorders>
              <w:left w:val="nil"/>
              <w:bottom w:val="dashed" w:sz="4" w:space="0" w:color="auto"/>
              <w:right w:val="nil"/>
            </w:tcBorders>
            <w:shd w:val="clear" w:color="auto" w:fill="auto"/>
            <w:noWrap/>
            <w:hideMark/>
          </w:tcPr>
          <w:p w14:paraId="1DD4DD89" w14:textId="77777777" w:rsidR="009860F3" w:rsidRPr="009860F3" w:rsidRDefault="009860F3" w:rsidP="009860F3">
            <w:r w:rsidRPr="009860F3">
              <w:t>Significant familial resemblance for intrinsic VO</w:t>
            </w:r>
            <w:r w:rsidRPr="009860F3">
              <w:rPr>
                <w:vertAlign w:val="subscript"/>
              </w:rPr>
              <w:t>2</w:t>
            </w:r>
            <w:r w:rsidRPr="009860F3">
              <w:t>max</w:t>
            </w:r>
          </w:p>
        </w:tc>
        <w:tc>
          <w:tcPr>
            <w:tcW w:w="1890" w:type="dxa"/>
            <w:tcBorders>
              <w:left w:val="nil"/>
              <w:bottom w:val="dashed" w:sz="4" w:space="0" w:color="auto"/>
              <w:right w:val="nil"/>
            </w:tcBorders>
            <w:shd w:val="clear" w:color="auto" w:fill="auto"/>
            <w:noWrap/>
            <w:hideMark/>
          </w:tcPr>
          <w:p w14:paraId="0A4383CD" w14:textId="77777777" w:rsidR="009860F3" w:rsidRPr="009860F3" w:rsidRDefault="009860F3" w:rsidP="009860F3">
            <w:r w:rsidRPr="009860F3">
              <w:t>VO</w:t>
            </w:r>
            <w:r w:rsidRPr="009860F3">
              <w:rPr>
                <w:vertAlign w:val="subscript"/>
              </w:rPr>
              <w:t>2</w:t>
            </w:r>
            <w:r w:rsidRPr="009860F3">
              <w:t>max</w:t>
            </w:r>
          </w:p>
        </w:tc>
        <w:tc>
          <w:tcPr>
            <w:tcW w:w="6120" w:type="dxa"/>
            <w:tcBorders>
              <w:left w:val="nil"/>
              <w:bottom w:val="dashed" w:sz="4" w:space="0" w:color="auto"/>
              <w:right w:val="nil"/>
            </w:tcBorders>
            <w:shd w:val="clear" w:color="auto" w:fill="auto"/>
            <w:noWrap/>
            <w:hideMark/>
          </w:tcPr>
          <w:p w14:paraId="5B23F755" w14:textId="77777777" w:rsidR="009860F3" w:rsidRPr="009860F3" w:rsidRDefault="009860F3" w:rsidP="009860F3">
            <w:r w:rsidRPr="009860F3">
              <w:t>2.7 times more variance between families than within families. Heritability of intrinsic VO</w:t>
            </w:r>
            <w:r w:rsidRPr="009860F3">
              <w:rPr>
                <w:vertAlign w:val="subscript"/>
              </w:rPr>
              <w:t>2</w:t>
            </w:r>
            <w:r w:rsidRPr="009860F3">
              <w:t xml:space="preserve">max was 51%, with significant maternal heritability (29%) </w:t>
            </w:r>
          </w:p>
          <w:p w14:paraId="0DD46A00" w14:textId="77777777" w:rsidR="009860F3" w:rsidRPr="009860F3" w:rsidRDefault="009860F3" w:rsidP="009860F3"/>
        </w:tc>
        <w:tc>
          <w:tcPr>
            <w:tcW w:w="2700" w:type="dxa"/>
            <w:gridSpan w:val="2"/>
            <w:tcBorders>
              <w:left w:val="nil"/>
              <w:bottom w:val="dashed" w:sz="4" w:space="0" w:color="auto"/>
              <w:right w:val="nil"/>
            </w:tcBorders>
            <w:shd w:val="clear" w:color="auto" w:fill="auto"/>
            <w:noWrap/>
            <w:hideMark/>
          </w:tcPr>
          <w:p w14:paraId="28F3279E" w14:textId="77777777" w:rsidR="009860F3" w:rsidRPr="009860F3" w:rsidRDefault="009860F3" w:rsidP="009860F3">
            <w:r w:rsidRPr="009860F3">
              <w:t xml:space="preserve">Bouchard, </w:t>
            </w:r>
            <w:proofErr w:type="spellStart"/>
            <w:r w:rsidRPr="009860F3">
              <w:t>Daw</w:t>
            </w:r>
            <w:proofErr w:type="spellEnd"/>
            <w:r w:rsidRPr="009860F3">
              <w:t xml:space="preserve"> et al. 1998</w:t>
            </w:r>
          </w:p>
        </w:tc>
      </w:tr>
      <w:tr w:rsidR="009860F3" w:rsidRPr="009860F3" w14:paraId="14ACAF72" w14:textId="77777777" w:rsidTr="00B10B02">
        <w:trPr>
          <w:trHeight w:val="45"/>
        </w:trPr>
        <w:tc>
          <w:tcPr>
            <w:tcW w:w="3420" w:type="dxa"/>
            <w:tcBorders>
              <w:top w:val="dashed" w:sz="4" w:space="0" w:color="auto"/>
              <w:left w:val="nil"/>
              <w:bottom w:val="dashed" w:sz="4" w:space="0" w:color="auto"/>
              <w:right w:val="nil"/>
            </w:tcBorders>
            <w:shd w:val="clear" w:color="auto" w:fill="auto"/>
            <w:noWrap/>
            <w:hideMark/>
          </w:tcPr>
          <w:p w14:paraId="226815E4" w14:textId="77777777" w:rsidR="009860F3" w:rsidRPr="009860F3" w:rsidRDefault="009860F3" w:rsidP="009860F3">
            <w:r w:rsidRPr="009860F3">
              <w:t>Significant familial aggregation for intrinsic submaximal VO</w:t>
            </w:r>
            <w:r w:rsidRPr="009860F3">
              <w:rPr>
                <w:vertAlign w:val="subscript"/>
              </w:rPr>
              <w:t>2</w:t>
            </w:r>
          </w:p>
        </w:tc>
        <w:tc>
          <w:tcPr>
            <w:tcW w:w="1890" w:type="dxa"/>
            <w:tcBorders>
              <w:top w:val="dashed" w:sz="4" w:space="0" w:color="auto"/>
              <w:left w:val="nil"/>
              <w:bottom w:val="dashed" w:sz="4" w:space="0" w:color="auto"/>
              <w:right w:val="nil"/>
            </w:tcBorders>
            <w:shd w:val="clear" w:color="auto" w:fill="auto"/>
            <w:noWrap/>
            <w:hideMark/>
          </w:tcPr>
          <w:p w14:paraId="0E1CA179" w14:textId="77777777" w:rsidR="009860F3" w:rsidRPr="009860F3" w:rsidRDefault="009860F3" w:rsidP="009860F3">
            <w:r w:rsidRPr="009860F3">
              <w:t>VO</w:t>
            </w:r>
            <w:r w:rsidRPr="009860F3">
              <w:rPr>
                <w:vertAlign w:val="subscript"/>
              </w:rPr>
              <w:t xml:space="preserve">2 </w:t>
            </w:r>
            <w:r w:rsidRPr="009860F3">
              <w:t>at 50W, 60%, 80%</w:t>
            </w:r>
          </w:p>
        </w:tc>
        <w:tc>
          <w:tcPr>
            <w:tcW w:w="6120" w:type="dxa"/>
            <w:tcBorders>
              <w:top w:val="dashed" w:sz="4" w:space="0" w:color="auto"/>
              <w:left w:val="nil"/>
              <w:bottom w:val="dashed" w:sz="4" w:space="0" w:color="auto"/>
              <w:right w:val="nil"/>
            </w:tcBorders>
            <w:shd w:val="clear" w:color="auto" w:fill="auto"/>
            <w:noWrap/>
            <w:hideMark/>
          </w:tcPr>
          <w:p w14:paraId="7B6B6A08" w14:textId="77777777" w:rsidR="009860F3" w:rsidRPr="009860F3" w:rsidRDefault="009860F3" w:rsidP="009860F3">
            <w:r w:rsidRPr="009860F3">
              <w:t>Maximal heritability estimates ranged from 48-70% and 29-48% for maternal heritability</w:t>
            </w:r>
          </w:p>
          <w:p w14:paraId="62CFB542" w14:textId="77777777" w:rsidR="009860F3" w:rsidRPr="009860F3" w:rsidRDefault="009860F3" w:rsidP="009860F3"/>
          <w:p w14:paraId="556984A9" w14:textId="77777777" w:rsidR="009860F3" w:rsidRPr="009860F3" w:rsidRDefault="009860F3" w:rsidP="009860F3"/>
        </w:tc>
        <w:tc>
          <w:tcPr>
            <w:tcW w:w="2700" w:type="dxa"/>
            <w:gridSpan w:val="2"/>
            <w:tcBorders>
              <w:top w:val="dashed" w:sz="4" w:space="0" w:color="auto"/>
              <w:left w:val="nil"/>
              <w:bottom w:val="dashed" w:sz="4" w:space="0" w:color="auto"/>
              <w:right w:val="nil"/>
            </w:tcBorders>
            <w:shd w:val="clear" w:color="auto" w:fill="auto"/>
            <w:noWrap/>
            <w:hideMark/>
          </w:tcPr>
          <w:p w14:paraId="4C131F83" w14:textId="77777777" w:rsidR="009860F3" w:rsidRPr="009860F3" w:rsidRDefault="009860F3" w:rsidP="009860F3">
            <w:r w:rsidRPr="009860F3">
              <w:lastRenderedPageBreak/>
              <w:t>Perusse, Gagnon et al. 2001</w:t>
            </w:r>
          </w:p>
        </w:tc>
      </w:tr>
      <w:tr w:rsidR="009860F3" w:rsidRPr="009860F3" w14:paraId="0BA0A5D0" w14:textId="77777777" w:rsidTr="00B10B02">
        <w:trPr>
          <w:trHeight w:val="297"/>
        </w:trPr>
        <w:tc>
          <w:tcPr>
            <w:tcW w:w="3420" w:type="dxa"/>
            <w:tcBorders>
              <w:top w:val="dashed" w:sz="4" w:space="0" w:color="auto"/>
              <w:left w:val="nil"/>
              <w:bottom w:val="dashed" w:sz="4" w:space="0" w:color="auto"/>
              <w:right w:val="nil"/>
            </w:tcBorders>
            <w:shd w:val="clear" w:color="auto" w:fill="auto"/>
            <w:noWrap/>
            <w:hideMark/>
          </w:tcPr>
          <w:p w14:paraId="3FD36D80" w14:textId="77777777" w:rsidR="009860F3" w:rsidRPr="009860F3" w:rsidRDefault="009860F3" w:rsidP="009860F3">
            <w:r w:rsidRPr="009860F3">
              <w:t>Significant familial aggregation for intrinsic submaximal Q &amp; SV</w:t>
            </w:r>
          </w:p>
        </w:tc>
        <w:tc>
          <w:tcPr>
            <w:tcW w:w="1890" w:type="dxa"/>
            <w:tcBorders>
              <w:top w:val="dashed" w:sz="4" w:space="0" w:color="auto"/>
              <w:left w:val="nil"/>
              <w:bottom w:val="dashed" w:sz="4" w:space="0" w:color="auto"/>
              <w:right w:val="nil"/>
            </w:tcBorders>
            <w:shd w:val="clear" w:color="auto" w:fill="auto"/>
            <w:noWrap/>
            <w:hideMark/>
          </w:tcPr>
          <w:p w14:paraId="2D1C8D1C" w14:textId="77777777" w:rsidR="009860F3" w:rsidRPr="009860F3" w:rsidRDefault="009860F3" w:rsidP="009860F3">
            <w:r w:rsidRPr="009860F3">
              <w:t>SV &amp; Q at 50W and 60% VO</w:t>
            </w:r>
            <w:r w:rsidRPr="009860F3">
              <w:rPr>
                <w:vertAlign w:val="subscript"/>
              </w:rPr>
              <w:t>2</w:t>
            </w:r>
            <w:r w:rsidRPr="009860F3">
              <w:t>max</w:t>
            </w:r>
          </w:p>
        </w:tc>
        <w:tc>
          <w:tcPr>
            <w:tcW w:w="6120" w:type="dxa"/>
            <w:tcBorders>
              <w:top w:val="dashed" w:sz="4" w:space="0" w:color="auto"/>
              <w:left w:val="nil"/>
              <w:bottom w:val="dashed" w:sz="4" w:space="0" w:color="auto"/>
              <w:right w:val="nil"/>
            </w:tcBorders>
            <w:shd w:val="clear" w:color="auto" w:fill="auto"/>
            <w:noWrap/>
            <w:hideMark/>
          </w:tcPr>
          <w:p w14:paraId="3B5E3B32" w14:textId="77777777" w:rsidR="009860F3" w:rsidRPr="009860F3" w:rsidRDefault="009860F3" w:rsidP="009860F3">
            <w:r w:rsidRPr="009860F3">
              <w:t>Maximal heritability estimates of 46% for SV and Q at 60% VO</w:t>
            </w:r>
            <w:r w:rsidRPr="009860F3">
              <w:rPr>
                <w:vertAlign w:val="subscript"/>
              </w:rPr>
              <w:t>2</w:t>
            </w:r>
            <w:r w:rsidRPr="009860F3">
              <w:t>max and 41% &amp; 42% at 50W</w:t>
            </w:r>
          </w:p>
          <w:p w14:paraId="2911C6B5" w14:textId="77777777" w:rsidR="009860F3" w:rsidRPr="009860F3" w:rsidRDefault="009860F3" w:rsidP="009860F3"/>
          <w:p w14:paraId="2A00C38E" w14:textId="77777777" w:rsidR="009860F3" w:rsidRPr="009860F3" w:rsidRDefault="009860F3" w:rsidP="009860F3"/>
        </w:tc>
        <w:tc>
          <w:tcPr>
            <w:tcW w:w="2700" w:type="dxa"/>
            <w:gridSpan w:val="2"/>
            <w:tcBorders>
              <w:top w:val="dashed" w:sz="4" w:space="0" w:color="auto"/>
              <w:left w:val="nil"/>
              <w:bottom w:val="dashed" w:sz="4" w:space="0" w:color="auto"/>
              <w:right w:val="nil"/>
            </w:tcBorders>
            <w:shd w:val="clear" w:color="auto" w:fill="auto"/>
            <w:noWrap/>
            <w:hideMark/>
          </w:tcPr>
          <w:p w14:paraId="7A5AE218" w14:textId="77777777" w:rsidR="009860F3" w:rsidRPr="009860F3" w:rsidRDefault="009860F3" w:rsidP="009860F3">
            <w:r w:rsidRPr="009860F3">
              <w:t>An, Rice et al. 2000</w:t>
            </w:r>
          </w:p>
        </w:tc>
      </w:tr>
      <w:tr w:rsidR="009860F3" w:rsidRPr="009860F3" w14:paraId="4150E643" w14:textId="77777777" w:rsidTr="00B10B02">
        <w:trPr>
          <w:trHeight w:val="45"/>
        </w:trPr>
        <w:tc>
          <w:tcPr>
            <w:tcW w:w="3420" w:type="dxa"/>
            <w:tcBorders>
              <w:top w:val="dashed" w:sz="4" w:space="0" w:color="auto"/>
              <w:left w:val="nil"/>
              <w:bottom w:val="dashed" w:sz="4" w:space="0" w:color="auto"/>
              <w:right w:val="nil"/>
            </w:tcBorders>
            <w:shd w:val="clear" w:color="auto" w:fill="auto"/>
            <w:noWrap/>
            <w:hideMark/>
          </w:tcPr>
          <w:p w14:paraId="2D05D00A" w14:textId="77777777" w:rsidR="009860F3" w:rsidRPr="009860F3" w:rsidRDefault="009860F3" w:rsidP="009860F3">
            <w:r w:rsidRPr="009860F3">
              <w:t>Significant familial aggregation for visceral fat</w:t>
            </w:r>
          </w:p>
          <w:p w14:paraId="530AE14E" w14:textId="77777777" w:rsidR="009860F3" w:rsidRPr="009860F3" w:rsidRDefault="009860F3" w:rsidP="009860F3"/>
        </w:tc>
        <w:tc>
          <w:tcPr>
            <w:tcW w:w="1890" w:type="dxa"/>
            <w:tcBorders>
              <w:top w:val="dashed" w:sz="4" w:space="0" w:color="auto"/>
              <w:left w:val="nil"/>
              <w:bottom w:val="dashed" w:sz="4" w:space="0" w:color="auto"/>
              <w:right w:val="nil"/>
            </w:tcBorders>
            <w:shd w:val="clear" w:color="auto" w:fill="auto"/>
            <w:noWrap/>
            <w:hideMark/>
          </w:tcPr>
          <w:p w14:paraId="637246B9" w14:textId="77777777" w:rsidR="009860F3" w:rsidRPr="009860F3" w:rsidRDefault="009860F3" w:rsidP="009860F3">
            <w:r w:rsidRPr="009860F3">
              <w:t>AVF</w:t>
            </w:r>
          </w:p>
        </w:tc>
        <w:tc>
          <w:tcPr>
            <w:tcW w:w="6120" w:type="dxa"/>
            <w:tcBorders>
              <w:top w:val="dashed" w:sz="4" w:space="0" w:color="auto"/>
              <w:left w:val="nil"/>
              <w:bottom w:val="dashed" w:sz="4" w:space="0" w:color="auto"/>
              <w:right w:val="nil"/>
            </w:tcBorders>
            <w:shd w:val="clear" w:color="auto" w:fill="auto"/>
            <w:noWrap/>
            <w:hideMark/>
          </w:tcPr>
          <w:p w14:paraId="32101BCC" w14:textId="77777777" w:rsidR="009860F3" w:rsidRPr="009860F3" w:rsidRDefault="009860F3" w:rsidP="009860F3">
            <w:r w:rsidRPr="009860F3">
              <w:t xml:space="preserve">Heritability of 47-48%, independent of total body fat </w:t>
            </w:r>
          </w:p>
        </w:tc>
        <w:tc>
          <w:tcPr>
            <w:tcW w:w="2700" w:type="dxa"/>
            <w:gridSpan w:val="2"/>
            <w:tcBorders>
              <w:top w:val="dashed" w:sz="4" w:space="0" w:color="auto"/>
              <w:left w:val="nil"/>
              <w:bottom w:val="dashed" w:sz="4" w:space="0" w:color="auto"/>
              <w:right w:val="nil"/>
            </w:tcBorders>
            <w:shd w:val="clear" w:color="auto" w:fill="auto"/>
            <w:noWrap/>
            <w:hideMark/>
          </w:tcPr>
          <w:p w14:paraId="2F072CDD" w14:textId="77777777" w:rsidR="009860F3" w:rsidRPr="009860F3" w:rsidRDefault="009860F3" w:rsidP="009860F3">
            <w:r w:rsidRPr="009860F3">
              <w:t>Rice, Despres et al. 1997</w:t>
            </w:r>
          </w:p>
        </w:tc>
      </w:tr>
      <w:tr w:rsidR="009860F3" w:rsidRPr="009860F3" w14:paraId="0471FCD0" w14:textId="77777777" w:rsidTr="00B10B02">
        <w:trPr>
          <w:trHeight w:val="629"/>
        </w:trPr>
        <w:tc>
          <w:tcPr>
            <w:tcW w:w="3420" w:type="dxa"/>
            <w:tcBorders>
              <w:top w:val="dashed" w:sz="4" w:space="0" w:color="auto"/>
              <w:left w:val="nil"/>
              <w:bottom w:val="dashed" w:sz="4" w:space="0" w:color="auto"/>
              <w:right w:val="nil"/>
            </w:tcBorders>
            <w:shd w:val="clear" w:color="auto" w:fill="auto"/>
            <w:noWrap/>
            <w:hideMark/>
          </w:tcPr>
          <w:p w14:paraId="579E7939" w14:textId="77777777" w:rsidR="009860F3" w:rsidRPr="009860F3" w:rsidRDefault="009860F3" w:rsidP="009860F3">
            <w:r w:rsidRPr="009860F3">
              <w:t>Higher heritability of resting BP in Black subjects</w:t>
            </w:r>
          </w:p>
        </w:tc>
        <w:tc>
          <w:tcPr>
            <w:tcW w:w="1890" w:type="dxa"/>
            <w:tcBorders>
              <w:top w:val="dashed" w:sz="4" w:space="0" w:color="auto"/>
              <w:left w:val="nil"/>
              <w:bottom w:val="dashed" w:sz="4" w:space="0" w:color="auto"/>
              <w:right w:val="nil"/>
            </w:tcBorders>
            <w:shd w:val="clear" w:color="auto" w:fill="auto"/>
            <w:noWrap/>
            <w:hideMark/>
          </w:tcPr>
          <w:p w14:paraId="759D5439" w14:textId="77777777" w:rsidR="009860F3" w:rsidRPr="009860F3" w:rsidRDefault="009860F3" w:rsidP="009860F3">
            <w:r w:rsidRPr="009860F3">
              <w:t>Resting SBP &amp; DBP</w:t>
            </w:r>
          </w:p>
        </w:tc>
        <w:tc>
          <w:tcPr>
            <w:tcW w:w="6120" w:type="dxa"/>
            <w:tcBorders>
              <w:top w:val="dashed" w:sz="4" w:space="0" w:color="auto"/>
              <w:left w:val="nil"/>
              <w:bottom w:val="dashed" w:sz="4" w:space="0" w:color="auto"/>
              <w:right w:val="nil"/>
            </w:tcBorders>
            <w:shd w:val="clear" w:color="auto" w:fill="auto"/>
            <w:noWrap/>
            <w:hideMark/>
          </w:tcPr>
          <w:p w14:paraId="2FB50AB7" w14:textId="77777777" w:rsidR="009860F3" w:rsidRPr="009860F3" w:rsidRDefault="009860F3" w:rsidP="009860F3">
            <w:r w:rsidRPr="009860F3">
              <w:t xml:space="preserve">Heritability of SBP &amp; DBP were 68% and 56% in Black subjects vs 43% &amp; 24% in White subjects. </w:t>
            </w:r>
          </w:p>
        </w:tc>
        <w:tc>
          <w:tcPr>
            <w:tcW w:w="2700" w:type="dxa"/>
            <w:gridSpan w:val="2"/>
            <w:tcBorders>
              <w:top w:val="dashed" w:sz="4" w:space="0" w:color="auto"/>
              <w:left w:val="nil"/>
              <w:bottom w:val="dashed" w:sz="4" w:space="0" w:color="auto"/>
              <w:right w:val="nil"/>
            </w:tcBorders>
            <w:shd w:val="clear" w:color="auto" w:fill="auto"/>
            <w:noWrap/>
            <w:hideMark/>
          </w:tcPr>
          <w:p w14:paraId="4F68D9A2" w14:textId="77777777" w:rsidR="009860F3" w:rsidRPr="009860F3" w:rsidRDefault="009860F3" w:rsidP="009860F3">
            <w:r w:rsidRPr="009860F3">
              <w:t>Gu 1998</w:t>
            </w:r>
          </w:p>
        </w:tc>
      </w:tr>
      <w:tr w:rsidR="009860F3" w:rsidRPr="00807A75" w14:paraId="1041E4F3" w14:textId="77777777" w:rsidTr="00B10B02">
        <w:trPr>
          <w:trHeight w:val="566"/>
        </w:trPr>
        <w:tc>
          <w:tcPr>
            <w:tcW w:w="3420" w:type="dxa"/>
            <w:tcBorders>
              <w:top w:val="dashed" w:sz="4" w:space="0" w:color="auto"/>
              <w:left w:val="nil"/>
              <w:bottom w:val="dashed" w:sz="4" w:space="0" w:color="auto"/>
              <w:right w:val="nil"/>
            </w:tcBorders>
            <w:shd w:val="clear" w:color="auto" w:fill="auto"/>
            <w:noWrap/>
            <w:hideMark/>
          </w:tcPr>
          <w:p w14:paraId="23FC6CB0" w14:textId="77777777" w:rsidR="009860F3" w:rsidRPr="009860F3" w:rsidRDefault="009860F3" w:rsidP="009860F3">
            <w:r w:rsidRPr="009860F3">
              <w:t xml:space="preserve">Significant familial aggregation for muscle enzyme activities </w:t>
            </w:r>
          </w:p>
        </w:tc>
        <w:tc>
          <w:tcPr>
            <w:tcW w:w="1890" w:type="dxa"/>
            <w:tcBorders>
              <w:top w:val="dashed" w:sz="4" w:space="0" w:color="auto"/>
              <w:left w:val="nil"/>
              <w:bottom w:val="dashed" w:sz="4" w:space="0" w:color="auto"/>
              <w:right w:val="nil"/>
            </w:tcBorders>
            <w:shd w:val="clear" w:color="auto" w:fill="auto"/>
            <w:noWrap/>
            <w:hideMark/>
          </w:tcPr>
          <w:p w14:paraId="25E26D76" w14:textId="77777777" w:rsidR="009860F3" w:rsidRPr="009860F3" w:rsidRDefault="009860F3" w:rsidP="009860F3">
            <w:r w:rsidRPr="009860F3">
              <w:t>CK, PHOS, HK, PFK, GAPDH, LPL, CPT, HADH, CS, COX</w:t>
            </w:r>
          </w:p>
          <w:p w14:paraId="7A8E1351" w14:textId="77777777" w:rsidR="009860F3" w:rsidRPr="009860F3" w:rsidRDefault="009860F3" w:rsidP="009860F3"/>
        </w:tc>
        <w:tc>
          <w:tcPr>
            <w:tcW w:w="6120" w:type="dxa"/>
            <w:tcBorders>
              <w:top w:val="dashed" w:sz="4" w:space="0" w:color="auto"/>
              <w:left w:val="nil"/>
              <w:bottom w:val="dashed" w:sz="4" w:space="0" w:color="auto"/>
              <w:right w:val="nil"/>
            </w:tcBorders>
            <w:shd w:val="clear" w:color="auto" w:fill="auto"/>
            <w:noWrap/>
            <w:hideMark/>
          </w:tcPr>
          <w:p w14:paraId="37880742" w14:textId="77777777" w:rsidR="009860F3" w:rsidRPr="009860F3" w:rsidRDefault="009860F3" w:rsidP="009860F3">
            <w:r w:rsidRPr="009860F3">
              <w:t xml:space="preserve">Strong familial aggregation for activities of baseline muscle enzymes related to </w:t>
            </w:r>
            <w:proofErr w:type="spellStart"/>
            <w:r w:rsidRPr="009860F3">
              <w:t>PCr</w:t>
            </w:r>
            <w:proofErr w:type="spellEnd"/>
            <w:r w:rsidRPr="009860F3">
              <w:t>, glycolytic, and oxidative metabolism.</w:t>
            </w:r>
          </w:p>
        </w:tc>
        <w:tc>
          <w:tcPr>
            <w:tcW w:w="2700" w:type="dxa"/>
            <w:gridSpan w:val="2"/>
            <w:tcBorders>
              <w:top w:val="dashed" w:sz="4" w:space="0" w:color="auto"/>
              <w:left w:val="nil"/>
              <w:bottom w:val="dashed" w:sz="4" w:space="0" w:color="auto"/>
              <w:right w:val="nil"/>
            </w:tcBorders>
            <w:shd w:val="clear" w:color="auto" w:fill="auto"/>
            <w:noWrap/>
            <w:hideMark/>
          </w:tcPr>
          <w:p w14:paraId="788B3A20" w14:textId="77777777" w:rsidR="009860F3" w:rsidRPr="009860F3" w:rsidRDefault="009860F3" w:rsidP="009860F3">
            <w:pPr>
              <w:rPr>
                <w:lang w:val="fr-CA"/>
              </w:rPr>
            </w:pPr>
            <w:r w:rsidRPr="009860F3">
              <w:rPr>
                <w:lang w:val="fr-CA"/>
              </w:rPr>
              <w:t>Rico-Sanz, Rankinen et al. 2003; Rankinen, Bouchard et al. 2005</w:t>
            </w:r>
          </w:p>
        </w:tc>
      </w:tr>
      <w:tr w:rsidR="009860F3" w:rsidRPr="00807A75" w14:paraId="4E8A851F" w14:textId="77777777" w:rsidTr="00B10B02">
        <w:trPr>
          <w:trHeight w:val="855"/>
        </w:trPr>
        <w:tc>
          <w:tcPr>
            <w:tcW w:w="3420" w:type="dxa"/>
            <w:tcBorders>
              <w:top w:val="dashed" w:sz="4" w:space="0" w:color="auto"/>
              <w:left w:val="nil"/>
              <w:bottom w:val="double" w:sz="4" w:space="0" w:color="auto"/>
              <w:right w:val="nil"/>
            </w:tcBorders>
            <w:shd w:val="clear" w:color="auto" w:fill="auto"/>
            <w:noWrap/>
            <w:hideMark/>
          </w:tcPr>
          <w:p w14:paraId="4AF8F38D" w14:textId="77777777" w:rsidR="009860F3" w:rsidRPr="009860F3" w:rsidRDefault="009860F3" w:rsidP="009860F3">
            <w:r w:rsidRPr="009860F3">
              <w:t>Significant familial aggregation for markers of oxidative stress</w:t>
            </w:r>
          </w:p>
        </w:tc>
        <w:tc>
          <w:tcPr>
            <w:tcW w:w="1890" w:type="dxa"/>
            <w:tcBorders>
              <w:top w:val="dashed" w:sz="4" w:space="0" w:color="auto"/>
              <w:left w:val="nil"/>
              <w:bottom w:val="double" w:sz="4" w:space="0" w:color="auto"/>
              <w:right w:val="nil"/>
            </w:tcBorders>
            <w:shd w:val="clear" w:color="auto" w:fill="auto"/>
            <w:noWrap/>
            <w:hideMark/>
          </w:tcPr>
          <w:p w14:paraId="4BA447AE" w14:textId="77777777" w:rsidR="009860F3" w:rsidRPr="009860F3" w:rsidRDefault="009860F3" w:rsidP="009860F3">
            <w:r w:rsidRPr="009860F3">
              <w:t>LDL-ox, C50-AAPH, TBARS, glutathione</w:t>
            </w:r>
          </w:p>
        </w:tc>
        <w:tc>
          <w:tcPr>
            <w:tcW w:w="6120" w:type="dxa"/>
            <w:tcBorders>
              <w:top w:val="dashed" w:sz="4" w:space="0" w:color="auto"/>
              <w:left w:val="nil"/>
              <w:bottom w:val="double" w:sz="4" w:space="0" w:color="auto"/>
              <w:right w:val="nil"/>
            </w:tcBorders>
            <w:shd w:val="clear" w:color="auto" w:fill="auto"/>
            <w:noWrap/>
            <w:hideMark/>
          </w:tcPr>
          <w:p w14:paraId="785EC7C8" w14:textId="77777777" w:rsidR="009860F3" w:rsidRPr="009860F3" w:rsidRDefault="009860F3" w:rsidP="009860F3">
            <w:r w:rsidRPr="009860F3">
              <w:t>Heritability for oxidative stress traits ranged from 31% to 44%.</w:t>
            </w:r>
          </w:p>
        </w:tc>
        <w:tc>
          <w:tcPr>
            <w:tcW w:w="2700" w:type="dxa"/>
            <w:gridSpan w:val="2"/>
            <w:tcBorders>
              <w:top w:val="dashed" w:sz="4" w:space="0" w:color="auto"/>
              <w:left w:val="nil"/>
              <w:bottom w:val="double" w:sz="4" w:space="0" w:color="auto"/>
              <w:right w:val="nil"/>
            </w:tcBorders>
            <w:shd w:val="clear" w:color="auto" w:fill="auto"/>
            <w:noWrap/>
            <w:hideMark/>
          </w:tcPr>
          <w:p w14:paraId="6723413C" w14:textId="77777777" w:rsidR="009860F3" w:rsidRPr="009860F3" w:rsidRDefault="009860F3" w:rsidP="009860F3">
            <w:pPr>
              <w:rPr>
                <w:lang w:val="fr-CA"/>
              </w:rPr>
            </w:pPr>
            <w:r w:rsidRPr="009860F3">
              <w:rPr>
                <w:lang w:val="fr-CA"/>
              </w:rPr>
              <w:t>Blache, Lussier-</w:t>
            </w:r>
            <w:proofErr w:type="spellStart"/>
            <w:r w:rsidRPr="009860F3">
              <w:rPr>
                <w:lang w:val="fr-CA"/>
              </w:rPr>
              <w:t>Cacan</w:t>
            </w:r>
            <w:proofErr w:type="spellEnd"/>
            <w:r w:rsidRPr="009860F3">
              <w:rPr>
                <w:lang w:val="fr-CA"/>
              </w:rPr>
              <w:t xml:space="preserve"> et al. 2007</w:t>
            </w:r>
          </w:p>
        </w:tc>
      </w:tr>
      <w:tr w:rsidR="009860F3" w:rsidRPr="009860F3" w14:paraId="25EEC765" w14:textId="77777777" w:rsidTr="00B10B02">
        <w:trPr>
          <w:trHeight w:val="231"/>
        </w:trPr>
        <w:tc>
          <w:tcPr>
            <w:tcW w:w="14130" w:type="dxa"/>
            <w:gridSpan w:val="5"/>
            <w:tcBorders>
              <w:top w:val="double" w:sz="4" w:space="0" w:color="auto"/>
              <w:left w:val="nil"/>
              <w:right w:val="nil"/>
            </w:tcBorders>
            <w:shd w:val="clear" w:color="auto" w:fill="auto"/>
            <w:noWrap/>
            <w:hideMark/>
          </w:tcPr>
          <w:p w14:paraId="3321C670" w14:textId="77777777" w:rsidR="009860F3" w:rsidRPr="009860F3" w:rsidRDefault="009860F3" w:rsidP="009860F3">
            <w:pPr>
              <w:rPr>
                <w:b/>
                <w:bCs/>
              </w:rPr>
            </w:pPr>
            <w:r w:rsidRPr="009860F3">
              <w:rPr>
                <w:b/>
                <w:bCs/>
              </w:rPr>
              <w:t>Familial Aggregation of Training Response</w:t>
            </w:r>
          </w:p>
          <w:p w14:paraId="31C677CD" w14:textId="77777777" w:rsidR="009860F3" w:rsidRPr="009860F3" w:rsidRDefault="009860F3" w:rsidP="009860F3"/>
        </w:tc>
      </w:tr>
      <w:tr w:rsidR="009860F3" w:rsidRPr="009860F3" w14:paraId="561EC8EE" w14:textId="77777777" w:rsidTr="00B10B02">
        <w:trPr>
          <w:trHeight w:val="441"/>
        </w:trPr>
        <w:tc>
          <w:tcPr>
            <w:tcW w:w="3420" w:type="dxa"/>
            <w:tcBorders>
              <w:top w:val="nil"/>
              <w:left w:val="nil"/>
              <w:bottom w:val="dashed" w:sz="4" w:space="0" w:color="auto"/>
              <w:right w:val="nil"/>
            </w:tcBorders>
            <w:shd w:val="clear" w:color="auto" w:fill="auto"/>
            <w:noWrap/>
            <w:hideMark/>
          </w:tcPr>
          <w:p w14:paraId="546431F3" w14:textId="77777777" w:rsidR="009860F3" w:rsidRPr="009860F3" w:rsidRDefault="009860F3" w:rsidP="009860F3">
            <w:r w:rsidRPr="009860F3">
              <w:t>Significant familial aggregation for VO</w:t>
            </w:r>
            <w:r w:rsidRPr="009860F3">
              <w:rPr>
                <w:vertAlign w:val="subscript"/>
              </w:rPr>
              <w:t>2</w:t>
            </w:r>
            <w:r w:rsidRPr="009860F3">
              <w:t>max training response</w:t>
            </w:r>
          </w:p>
          <w:p w14:paraId="22DD2353" w14:textId="77777777" w:rsidR="009860F3" w:rsidRPr="009860F3" w:rsidRDefault="009860F3" w:rsidP="009860F3"/>
        </w:tc>
        <w:tc>
          <w:tcPr>
            <w:tcW w:w="1890" w:type="dxa"/>
            <w:tcBorders>
              <w:top w:val="nil"/>
              <w:left w:val="nil"/>
              <w:bottom w:val="dashed" w:sz="4" w:space="0" w:color="auto"/>
              <w:right w:val="nil"/>
            </w:tcBorders>
            <w:shd w:val="clear" w:color="auto" w:fill="auto"/>
            <w:noWrap/>
            <w:hideMark/>
          </w:tcPr>
          <w:p w14:paraId="18A0FE26" w14:textId="77777777" w:rsidR="009860F3" w:rsidRPr="009860F3" w:rsidRDefault="009860F3" w:rsidP="009860F3">
            <w:r w:rsidRPr="009860F3">
              <w:t>VO</w:t>
            </w:r>
            <w:r w:rsidRPr="009860F3">
              <w:rPr>
                <w:vertAlign w:val="subscript"/>
              </w:rPr>
              <w:t>2</w:t>
            </w:r>
            <w:r w:rsidRPr="009860F3">
              <w:t>max</w:t>
            </w:r>
          </w:p>
        </w:tc>
        <w:tc>
          <w:tcPr>
            <w:tcW w:w="6120" w:type="dxa"/>
            <w:tcBorders>
              <w:top w:val="nil"/>
              <w:left w:val="nil"/>
              <w:bottom w:val="dashed" w:sz="4" w:space="0" w:color="auto"/>
              <w:right w:val="nil"/>
            </w:tcBorders>
            <w:shd w:val="clear" w:color="auto" w:fill="auto"/>
            <w:noWrap/>
            <w:hideMark/>
          </w:tcPr>
          <w:p w14:paraId="7342A6DB" w14:textId="77777777" w:rsidR="009860F3" w:rsidRPr="009860F3" w:rsidRDefault="009860F3" w:rsidP="009860F3">
            <w:r w:rsidRPr="009860F3">
              <w:t xml:space="preserve">Heritability was 47%, with maternal inheritance accounting for 28% </w:t>
            </w:r>
          </w:p>
        </w:tc>
        <w:tc>
          <w:tcPr>
            <w:tcW w:w="2700" w:type="dxa"/>
            <w:gridSpan w:val="2"/>
            <w:tcBorders>
              <w:top w:val="nil"/>
              <w:left w:val="nil"/>
              <w:bottom w:val="dashed" w:sz="4" w:space="0" w:color="auto"/>
              <w:right w:val="nil"/>
            </w:tcBorders>
            <w:shd w:val="clear" w:color="auto" w:fill="auto"/>
            <w:noWrap/>
            <w:hideMark/>
          </w:tcPr>
          <w:p w14:paraId="5F082275" w14:textId="77777777" w:rsidR="009860F3" w:rsidRPr="009860F3" w:rsidRDefault="009860F3" w:rsidP="009860F3">
            <w:r w:rsidRPr="009860F3">
              <w:t>Bouchard, An et al. 1999</w:t>
            </w:r>
          </w:p>
        </w:tc>
      </w:tr>
      <w:tr w:rsidR="009860F3" w:rsidRPr="009860F3" w14:paraId="507D56FD" w14:textId="77777777" w:rsidTr="00B10B02">
        <w:trPr>
          <w:trHeight w:val="570"/>
        </w:trPr>
        <w:tc>
          <w:tcPr>
            <w:tcW w:w="3420" w:type="dxa"/>
            <w:tcBorders>
              <w:top w:val="dashed" w:sz="4" w:space="0" w:color="auto"/>
              <w:left w:val="nil"/>
              <w:bottom w:val="dashed" w:sz="4" w:space="0" w:color="auto"/>
              <w:right w:val="nil"/>
            </w:tcBorders>
            <w:shd w:val="clear" w:color="auto" w:fill="auto"/>
            <w:noWrap/>
            <w:hideMark/>
          </w:tcPr>
          <w:p w14:paraId="760F37E9" w14:textId="77777777" w:rsidR="009860F3" w:rsidRPr="009860F3" w:rsidRDefault="009860F3" w:rsidP="009860F3">
            <w:r w:rsidRPr="009860F3">
              <w:lastRenderedPageBreak/>
              <w:t>Significant familial aggregation for submaximal VO</w:t>
            </w:r>
            <w:r w:rsidRPr="009860F3">
              <w:rPr>
                <w:vertAlign w:val="subscript"/>
              </w:rPr>
              <w:t xml:space="preserve">2 </w:t>
            </w:r>
            <w:r w:rsidRPr="009860F3">
              <w:t>training response</w:t>
            </w:r>
          </w:p>
          <w:p w14:paraId="40E0E399" w14:textId="77777777" w:rsidR="009860F3" w:rsidRPr="009860F3" w:rsidRDefault="009860F3" w:rsidP="009860F3"/>
        </w:tc>
        <w:tc>
          <w:tcPr>
            <w:tcW w:w="1890" w:type="dxa"/>
            <w:tcBorders>
              <w:top w:val="dashed" w:sz="4" w:space="0" w:color="auto"/>
              <w:left w:val="nil"/>
              <w:bottom w:val="dashed" w:sz="4" w:space="0" w:color="auto"/>
              <w:right w:val="nil"/>
            </w:tcBorders>
            <w:shd w:val="clear" w:color="auto" w:fill="auto"/>
            <w:noWrap/>
            <w:hideMark/>
          </w:tcPr>
          <w:p w14:paraId="0E884B76" w14:textId="77777777" w:rsidR="009860F3" w:rsidRPr="009860F3" w:rsidRDefault="009860F3" w:rsidP="009860F3">
            <w:r w:rsidRPr="009860F3">
              <w:t>VO</w:t>
            </w:r>
            <w:r w:rsidRPr="009860F3">
              <w:rPr>
                <w:vertAlign w:val="subscript"/>
              </w:rPr>
              <w:t>2</w:t>
            </w:r>
            <w:r w:rsidRPr="009860F3">
              <w:t xml:space="preserve"> at 50W, 60%, 80%</w:t>
            </w:r>
          </w:p>
        </w:tc>
        <w:tc>
          <w:tcPr>
            <w:tcW w:w="6120" w:type="dxa"/>
            <w:tcBorders>
              <w:top w:val="dashed" w:sz="4" w:space="0" w:color="auto"/>
              <w:left w:val="nil"/>
              <w:bottom w:val="dashed" w:sz="4" w:space="0" w:color="auto"/>
              <w:right w:val="nil"/>
            </w:tcBorders>
            <w:shd w:val="clear" w:color="auto" w:fill="auto"/>
            <w:noWrap/>
            <w:hideMark/>
          </w:tcPr>
          <w:p w14:paraId="1DC3B068" w14:textId="77777777" w:rsidR="009860F3" w:rsidRPr="009860F3" w:rsidRDefault="009860F3" w:rsidP="009860F3">
            <w:r w:rsidRPr="009860F3">
              <w:t>Heritability values ranged from 23% to 57% for the training response of submaximal measures of VO</w:t>
            </w:r>
            <w:r w:rsidRPr="009860F3">
              <w:rPr>
                <w:vertAlign w:val="subscript"/>
              </w:rPr>
              <w:t>2</w:t>
            </w:r>
          </w:p>
        </w:tc>
        <w:tc>
          <w:tcPr>
            <w:tcW w:w="2700" w:type="dxa"/>
            <w:gridSpan w:val="2"/>
            <w:tcBorders>
              <w:top w:val="dashed" w:sz="4" w:space="0" w:color="auto"/>
              <w:left w:val="nil"/>
              <w:bottom w:val="dashed" w:sz="4" w:space="0" w:color="auto"/>
              <w:right w:val="nil"/>
            </w:tcBorders>
            <w:shd w:val="clear" w:color="auto" w:fill="auto"/>
            <w:noWrap/>
            <w:hideMark/>
          </w:tcPr>
          <w:p w14:paraId="775344A5" w14:textId="77777777" w:rsidR="009860F3" w:rsidRPr="009860F3" w:rsidRDefault="009860F3" w:rsidP="009860F3">
            <w:r w:rsidRPr="009860F3">
              <w:t>Perusse, Gagnon et al. 2001</w:t>
            </w:r>
          </w:p>
        </w:tc>
      </w:tr>
      <w:tr w:rsidR="009860F3" w:rsidRPr="009860F3" w14:paraId="1C697A3E" w14:textId="77777777" w:rsidTr="00B10B02">
        <w:trPr>
          <w:trHeight w:val="620"/>
        </w:trPr>
        <w:tc>
          <w:tcPr>
            <w:tcW w:w="3420" w:type="dxa"/>
            <w:tcBorders>
              <w:top w:val="dashed" w:sz="4" w:space="0" w:color="auto"/>
              <w:left w:val="nil"/>
              <w:bottom w:val="dashed" w:sz="4" w:space="0" w:color="auto"/>
              <w:right w:val="nil"/>
            </w:tcBorders>
            <w:shd w:val="clear" w:color="auto" w:fill="auto"/>
            <w:noWrap/>
            <w:hideMark/>
          </w:tcPr>
          <w:p w14:paraId="737F1B39" w14:textId="77777777" w:rsidR="009860F3" w:rsidRPr="009860F3" w:rsidRDefault="009860F3" w:rsidP="009860F3">
            <w:r w:rsidRPr="009860F3">
              <w:t>Significant familial aggregation of submaximal exercise BP and HR training responses</w:t>
            </w:r>
          </w:p>
          <w:p w14:paraId="6E444873" w14:textId="77777777" w:rsidR="009860F3" w:rsidRPr="009860F3" w:rsidRDefault="009860F3" w:rsidP="009860F3"/>
        </w:tc>
        <w:tc>
          <w:tcPr>
            <w:tcW w:w="1890" w:type="dxa"/>
            <w:tcBorders>
              <w:top w:val="dashed" w:sz="4" w:space="0" w:color="auto"/>
              <w:left w:val="nil"/>
              <w:bottom w:val="dashed" w:sz="4" w:space="0" w:color="auto"/>
              <w:right w:val="nil"/>
            </w:tcBorders>
            <w:shd w:val="clear" w:color="auto" w:fill="auto"/>
            <w:noWrap/>
            <w:hideMark/>
          </w:tcPr>
          <w:p w14:paraId="4C9C4F99" w14:textId="77777777" w:rsidR="009860F3" w:rsidRPr="009860F3" w:rsidRDefault="009860F3" w:rsidP="009860F3">
            <w:r w:rsidRPr="009860F3">
              <w:t>HR50, HR60%, SBP50</w:t>
            </w:r>
          </w:p>
        </w:tc>
        <w:tc>
          <w:tcPr>
            <w:tcW w:w="6120" w:type="dxa"/>
            <w:tcBorders>
              <w:top w:val="dashed" w:sz="4" w:space="0" w:color="auto"/>
              <w:left w:val="nil"/>
              <w:bottom w:val="dashed" w:sz="4" w:space="0" w:color="auto"/>
              <w:right w:val="nil"/>
            </w:tcBorders>
            <w:shd w:val="clear" w:color="auto" w:fill="auto"/>
            <w:noWrap/>
            <w:hideMark/>
          </w:tcPr>
          <w:p w14:paraId="23A6891C" w14:textId="77777777" w:rsidR="009860F3" w:rsidRPr="009860F3" w:rsidRDefault="009860F3" w:rsidP="009860F3">
            <w:r w:rsidRPr="009860F3">
              <w:t xml:space="preserve">Heritability for HR50, HR60%, SBP50 responses were 34%, 29%, </w:t>
            </w:r>
            <w:proofErr w:type="gramStart"/>
            <w:r w:rsidRPr="009860F3">
              <w:t>22</w:t>
            </w:r>
            <w:proofErr w:type="gramEnd"/>
            <w:r w:rsidRPr="009860F3">
              <w:t>%. Heritability for DBP traits and all HR and BP traits were lower in Black subjects</w:t>
            </w:r>
          </w:p>
        </w:tc>
        <w:tc>
          <w:tcPr>
            <w:tcW w:w="2700" w:type="dxa"/>
            <w:gridSpan w:val="2"/>
            <w:tcBorders>
              <w:top w:val="dashed" w:sz="4" w:space="0" w:color="auto"/>
              <w:left w:val="nil"/>
              <w:bottom w:val="dashed" w:sz="4" w:space="0" w:color="auto"/>
              <w:right w:val="nil"/>
            </w:tcBorders>
            <w:shd w:val="clear" w:color="auto" w:fill="auto"/>
            <w:noWrap/>
            <w:hideMark/>
          </w:tcPr>
          <w:p w14:paraId="46E6B98F" w14:textId="77777777" w:rsidR="009860F3" w:rsidRPr="009860F3" w:rsidRDefault="009860F3" w:rsidP="009860F3">
            <w:r w:rsidRPr="009860F3">
              <w:t>An, Perusse 2003</w:t>
            </w:r>
          </w:p>
        </w:tc>
      </w:tr>
      <w:tr w:rsidR="009860F3" w:rsidRPr="009860F3" w14:paraId="7841A680" w14:textId="77777777" w:rsidTr="00B10B02">
        <w:trPr>
          <w:trHeight w:val="413"/>
        </w:trPr>
        <w:tc>
          <w:tcPr>
            <w:tcW w:w="3420" w:type="dxa"/>
            <w:tcBorders>
              <w:top w:val="dashed" w:sz="4" w:space="0" w:color="auto"/>
              <w:left w:val="nil"/>
              <w:bottom w:val="dashed" w:sz="4" w:space="0" w:color="auto"/>
              <w:right w:val="nil"/>
            </w:tcBorders>
            <w:shd w:val="clear" w:color="auto" w:fill="auto"/>
            <w:noWrap/>
            <w:hideMark/>
          </w:tcPr>
          <w:p w14:paraId="15836774" w14:textId="77777777" w:rsidR="009860F3" w:rsidRPr="009860F3" w:rsidRDefault="009860F3" w:rsidP="009860F3">
            <w:r w:rsidRPr="009860F3">
              <w:t>Significant familial aggregation for submaximal Q &amp; SV training responses</w:t>
            </w:r>
          </w:p>
          <w:p w14:paraId="6D249931" w14:textId="77777777" w:rsidR="009860F3" w:rsidRPr="009860F3" w:rsidRDefault="009860F3" w:rsidP="009860F3"/>
        </w:tc>
        <w:tc>
          <w:tcPr>
            <w:tcW w:w="1890" w:type="dxa"/>
            <w:tcBorders>
              <w:top w:val="dashed" w:sz="4" w:space="0" w:color="auto"/>
              <w:left w:val="nil"/>
              <w:bottom w:val="dashed" w:sz="4" w:space="0" w:color="auto"/>
              <w:right w:val="nil"/>
            </w:tcBorders>
            <w:shd w:val="clear" w:color="auto" w:fill="auto"/>
            <w:noWrap/>
            <w:hideMark/>
          </w:tcPr>
          <w:p w14:paraId="3015D4A7" w14:textId="77777777" w:rsidR="009860F3" w:rsidRPr="009860F3" w:rsidRDefault="009860F3" w:rsidP="009860F3">
            <w:r w:rsidRPr="009860F3">
              <w:t>SV &amp; Q at 50W and 60% VO</w:t>
            </w:r>
            <w:r w:rsidRPr="009860F3">
              <w:rPr>
                <w:vertAlign w:val="subscript"/>
              </w:rPr>
              <w:t>2</w:t>
            </w:r>
            <w:r w:rsidRPr="009860F3">
              <w:t>max</w:t>
            </w:r>
          </w:p>
        </w:tc>
        <w:tc>
          <w:tcPr>
            <w:tcW w:w="6120" w:type="dxa"/>
            <w:tcBorders>
              <w:top w:val="dashed" w:sz="4" w:space="0" w:color="auto"/>
              <w:left w:val="nil"/>
              <w:bottom w:val="dashed" w:sz="4" w:space="0" w:color="auto"/>
              <w:right w:val="nil"/>
            </w:tcBorders>
            <w:shd w:val="clear" w:color="auto" w:fill="auto"/>
            <w:noWrap/>
            <w:hideMark/>
          </w:tcPr>
          <w:p w14:paraId="508BDB37" w14:textId="77777777" w:rsidR="009860F3" w:rsidRPr="009860F3" w:rsidRDefault="009860F3" w:rsidP="009860F3">
            <w:r w:rsidRPr="009860F3">
              <w:t>Heritability ranging from 24 to 38% for SV and Q at 50W and 60% VO</w:t>
            </w:r>
            <w:r w:rsidRPr="009860F3">
              <w:rPr>
                <w:vertAlign w:val="subscript"/>
              </w:rPr>
              <w:t>2</w:t>
            </w:r>
            <w:r w:rsidRPr="009860F3">
              <w:t>max</w:t>
            </w:r>
          </w:p>
        </w:tc>
        <w:tc>
          <w:tcPr>
            <w:tcW w:w="2700" w:type="dxa"/>
            <w:gridSpan w:val="2"/>
            <w:tcBorders>
              <w:top w:val="dashed" w:sz="4" w:space="0" w:color="auto"/>
              <w:left w:val="nil"/>
              <w:bottom w:val="dashed" w:sz="4" w:space="0" w:color="auto"/>
              <w:right w:val="nil"/>
            </w:tcBorders>
            <w:shd w:val="clear" w:color="auto" w:fill="auto"/>
            <w:noWrap/>
            <w:hideMark/>
          </w:tcPr>
          <w:p w14:paraId="2065B0F0" w14:textId="77777777" w:rsidR="009860F3" w:rsidRPr="009860F3" w:rsidRDefault="009860F3" w:rsidP="009860F3">
            <w:r w:rsidRPr="009860F3">
              <w:t>An, Rice et al. 2000</w:t>
            </w:r>
          </w:p>
        </w:tc>
      </w:tr>
      <w:tr w:rsidR="009860F3" w:rsidRPr="009860F3" w14:paraId="5D958EE7" w14:textId="77777777" w:rsidTr="00B10B02">
        <w:trPr>
          <w:trHeight w:val="728"/>
        </w:trPr>
        <w:tc>
          <w:tcPr>
            <w:tcW w:w="3420" w:type="dxa"/>
            <w:tcBorders>
              <w:top w:val="dashed" w:sz="4" w:space="0" w:color="auto"/>
              <w:left w:val="nil"/>
              <w:bottom w:val="dashed" w:sz="4" w:space="0" w:color="auto"/>
              <w:right w:val="nil"/>
            </w:tcBorders>
            <w:shd w:val="clear" w:color="auto" w:fill="auto"/>
            <w:noWrap/>
            <w:hideMark/>
          </w:tcPr>
          <w:p w14:paraId="099D6900" w14:textId="77777777" w:rsidR="009860F3" w:rsidRPr="009860F3" w:rsidRDefault="009860F3" w:rsidP="009860F3">
            <w:r w:rsidRPr="009860F3">
              <w:t>Significant familial aggregation of inter-individual variation in plasma lipid responsiveness to training</w:t>
            </w:r>
          </w:p>
        </w:tc>
        <w:tc>
          <w:tcPr>
            <w:tcW w:w="1890" w:type="dxa"/>
            <w:tcBorders>
              <w:top w:val="dashed" w:sz="4" w:space="0" w:color="auto"/>
              <w:left w:val="nil"/>
              <w:bottom w:val="dashed" w:sz="4" w:space="0" w:color="auto"/>
              <w:right w:val="nil"/>
            </w:tcBorders>
            <w:shd w:val="clear" w:color="auto" w:fill="auto"/>
            <w:noWrap/>
            <w:hideMark/>
          </w:tcPr>
          <w:p w14:paraId="76D1D912" w14:textId="77777777" w:rsidR="009860F3" w:rsidRPr="009860F3" w:rsidRDefault="009860F3" w:rsidP="009860F3">
            <w:r w:rsidRPr="009860F3">
              <w:t xml:space="preserve">TC, TG, LDL-C, </w:t>
            </w:r>
            <w:proofErr w:type="spellStart"/>
            <w:r w:rsidRPr="009860F3">
              <w:t>apoB</w:t>
            </w:r>
            <w:proofErr w:type="spellEnd"/>
            <w:r w:rsidRPr="009860F3">
              <w:t xml:space="preserve">, HDL-C, HDL2-C, HDL3-C, </w:t>
            </w:r>
            <w:proofErr w:type="spellStart"/>
            <w:r w:rsidRPr="009860F3">
              <w:t>apoA</w:t>
            </w:r>
            <w:proofErr w:type="spellEnd"/>
            <w:r w:rsidRPr="009860F3">
              <w:t>-I</w:t>
            </w:r>
          </w:p>
        </w:tc>
        <w:tc>
          <w:tcPr>
            <w:tcW w:w="6120" w:type="dxa"/>
            <w:tcBorders>
              <w:top w:val="dashed" w:sz="4" w:space="0" w:color="auto"/>
              <w:left w:val="nil"/>
              <w:bottom w:val="dashed" w:sz="4" w:space="0" w:color="auto"/>
              <w:right w:val="nil"/>
            </w:tcBorders>
            <w:shd w:val="clear" w:color="auto" w:fill="auto"/>
            <w:noWrap/>
            <w:hideMark/>
          </w:tcPr>
          <w:p w14:paraId="6B8190F5" w14:textId="77777777" w:rsidR="009860F3" w:rsidRPr="009860F3" w:rsidRDefault="009860F3" w:rsidP="009860F3">
            <w:r w:rsidRPr="009860F3">
              <w:t xml:space="preserve">Heritability ranged from 25% to 38% for lipid response traits. Exceptions were for heritability levels near 60% for changes in </w:t>
            </w:r>
            <w:proofErr w:type="spellStart"/>
            <w:r w:rsidRPr="009860F3">
              <w:t>apoB</w:t>
            </w:r>
            <w:proofErr w:type="spellEnd"/>
            <w:r w:rsidRPr="009860F3">
              <w:t xml:space="preserve"> in Blacks and HDL2-C in Whites and a lack of heritability for change in LDL-C in Black subjects</w:t>
            </w:r>
          </w:p>
          <w:p w14:paraId="64A2E5F0" w14:textId="77777777" w:rsidR="009860F3" w:rsidRPr="009860F3" w:rsidRDefault="009860F3" w:rsidP="009860F3"/>
        </w:tc>
        <w:tc>
          <w:tcPr>
            <w:tcW w:w="2700" w:type="dxa"/>
            <w:gridSpan w:val="2"/>
            <w:tcBorders>
              <w:top w:val="dashed" w:sz="4" w:space="0" w:color="auto"/>
              <w:left w:val="nil"/>
              <w:bottom w:val="dashed" w:sz="4" w:space="0" w:color="auto"/>
              <w:right w:val="nil"/>
            </w:tcBorders>
            <w:shd w:val="clear" w:color="auto" w:fill="auto"/>
            <w:noWrap/>
            <w:hideMark/>
          </w:tcPr>
          <w:p w14:paraId="585C076C" w14:textId="77777777" w:rsidR="009860F3" w:rsidRPr="009860F3" w:rsidRDefault="009860F3" w:rsidP="009860F3">
            <w:r w:rsidRPr="009860F3">
              <w:t>Rice, Despres et al. 2002</w:t>
            </w:r>
          </w:p>
        </w:tc>
      </w:tr>
      <w:tr w:rsidR="009860F3" w:rsidRPr="00807A75" w14:paraId="3D052372" w14:textId="77777777" w:rsidTr="00B10B02">
        <w:trPr>
          <w:trHeight w:val="548"/>
        </w:trPr>
        <w:tc>
          <w:tcPr>
            <w:tcW w:w="3420" w:type="dxa"/>
            <w:tcBorders>
              <w:top w:val="dashed" w:sz="4" w:space="0" w:color="auto"/>
              <w:left w:val="nil"/>
              <w:bottom w:val="dashed" w:sz="4" w:space="0" w:color="auto"/>
              <w:right w:val="nil"/>
            </w:tcBorders>
            <w:shd w:val="clear" w:color="auto" w:fill="auto"/>
            <w:noWrap/>
            <w:hideMark/>
          </w:tcPr>
          <w:p w14:paraId="4D98177F" w14:textId="77777777" w:rsidR="009860F3" w:rsidRPr="009860F3" w:rsidRDefault="009860F3" w:rsidP="009860F3">
            <w:r w:rsidRPr="009860F3">
              <w:t>Significant familial aggregation for training response of markers of oxidative stress</w:t>
            </w:r>
          </w:p>
          <w:p w14:paraId="5ECA4C56" w14:textId="77777777" w:rsidR="009860F3" w:rsidRPr="009860F3" w:rsidRDefault="009860F3" w:rsidP="009860F3"/>
        </w:tc>
        <w:tc>
          <w:tcPr>
            <w:tcW w:w="1890" w:type="dxa"/>
            <w:tcBorders>
              <w:top w:val="dashed" w:sz="4" w:space="0" w:color="auto"/>
              <w:left w:val="nil"/>
              <w:bottom w:val="dashed" w:sz="4" w:space="0" w:color="auto"/>
              <w:right w:val="nil"/>
            </w:tcBorders>
            <w:shd w:val="clear" w:color="auto" w:fill="auto"/>
            <w:noWrap/>
            <w:hideMark/>
          </w:tcPr>
          <w:p w14:paraId="11DF59FC" w14:textId="77777777" w:rsidR="009860F3" w:rsidRPr="009860F3" w:rsidRDefault="009860F3" w:rsidP="009860F3">
            <w:r w:rsidRPr="009860F3">
              <w:t>LDL-ox, C50-AAPH, TBARS, glutathione</w:t>
            </w:r>
          </w:p>
        </w:tc>
        <w:tc>
          <w:tcPr>
            <w:tcW w:w="6120" w:type="dxa"/>
            <w:tcBorders>
              <w:top w:val="dashed" w:sz="4" w:space="0" w:color="auto"/>
              <w:left w:val="nil"/>
              <w:bottom w:val="dashed" w:sz="4" w:space="0" w:color="auto"/>
              <w:right w:val="nil"/>
            </w:tcBorders>
            <w:shd w:val="clear" w:color="auto" w:fill="auto"/>
            <w:noWrap/>
            <w:hideMark/>
          </w:tcPr>
          <w:p w14:paraId="408BCAC0" w14:textId="77777777" w:rsidR="009860F3" w:rsidRPr="009860F3" w:rsidRDefault="009860F3" w:rsidP="009860F3">
            <w:r w:rsidRPr="009860F3">
              <w:t>Heritability for oxidative stress training response traits ranged from 35% to 84%</w:t>
            </w:r>
          </w:p>
        </w:tc>
        <w:tc>
          <w:tcPr>
            <w:tcW w:w="2700" w:type="dxa"/>
            <w:gridSpan w:val="2"/>
            <w:tcBorders>
              <w:top w:val="dashed" w:sz="4" w:space="0" w:color="auto"/>
              <w:left w:val="nil"/>
              <w:bottom w:val="dashed" w:sz="4" w:space="0" w:color="auto"/>
              <w:right w:val="nil"/>
            </w:tcBorders>
            <w:shd w:val="clear" w:color="auto" w:fill="auto"/>
            <w:noWrap/>
            <w:hideMark/>
          </w:tcPr>
          <w:p w14:paraId="4DEDF60D" w14:textId="77777777" w:rsidR="009860F3" w:rsidRPr="009860F3" w:rsidRDefault="009860F3" w:rsidP="009860F3">
            <w:pPr>
              <w:rPr>
                <w:lang w:val="fr-CA"/>
              </w:rPr>
            </w:pPr>
            <w:r w:rsidRPr="009860F3">
              <w:rPr>
                <w:lang w:val="fr-CA"/>
              </w:rPr>
              <w:t>Blache, Lussier-</w:t>
            </w:r>
            <w:proofErr w:type="spellStart"/>
            <w:r w:rsidRPr="009860F3">
              <w:rPr>
                <w:lang w:val="fr-CA"/>
              </w:rPr>
              <w:t>Cacan</w:t>
            </w:r>
            <w:proofErr w:type="spellEnd"/>
            <w:r w:rsidRPr="009860F3">
              <w:rPr>
                <w:lang w:val="fr-CA"/>
              </w:rPr>
              <w:t xml:space="preserve"> et al. 2007</w:t>
            </w:r>
          </w:p>
        </w:tc>
      </w:tr>
      <w:tr w:rsidR="009860F3" w:rsidRPr="00807A75" w14:paraId="0405E1A3" w14:textId="77777777" w:rsidTr="00B10B02">
        <w:trPr>
          <w:trHeight w:val="620"/>
        </w:trPr>
        <w:tc>
          <w:tcPr>
            <w:tcW w:w="3420" w:type="dxa"/>
            <w:tcBorders>
              <w:top w:val="dashed" w:sz="4" w:space="0" w:color="auto"/>
              <w:left w:val="nil"/>
              <w:bottom w:val="double" w:sz="4" w:space="0" w:color="auto"/>
              <w:right w:val="nil"/>
            </w:tcBorders>
            <w:shd w:val="clear" w:color="auto" w:fill="auto"/>
            <w:noWrap/>
            <w:hideMark/>
          </w:tcPr>
          <w:p w14:paraId="092D9446" w14:textId="77777777" w:rsidR="009860F3" w:rsidRPr="009860F3" w:rsidRDefault="009860F3" w:rsidP="009860F3">
            <w:r w:rsidRPr="009860F3">
              <w:t xml:space="preserve">Significant familial aggregation for training response of muscle enzyme activities </w:t>
            </w:r>
          </w:p>
          <w:p w14:paraId="349DFC53" w14:textId="77777777" w:rsidR="009860F3" w:rsidRPr="009860F3" w:rsidRDefault="009860F3" w:rsidP="009860F3"/>
        </w:tc>
        <w:tc>
          <w:tcPr>
            <w:tcW w:w="1890" w:type="dxa"/>
            <w:tcBorders>
              <w:top w:val="dashed" w:sz="4" w:space="0" w:color="auto"/>
              <w:left w:val="nil"/>
              <w:bottom w:val="double" w:sz="4" w:space="0" w:color="auto"/>
              <w:right w:val="nil"/>
            </w:tcBorders>
            <w:shd w:val="clear" w:color="auto" w:fill="auto"/>
            <w:noWrap/>
            <w:hideMark/>
          </w:tcPr>
          <w:p w14:paraId="2BE5CD27" w14:textId="77777777" w:rsidR="009860F3" w:rsidRPr="009860F3" w:rsidRDefault="009860F3" w:rsidP="009860F3">
            <w:r w:rsidRPr="009860F3">
              <w:t>CK, PHOS, HK, PFK, GAPDH, CPT, HADH, CS, COX</w:t>
            </w:r>
          </w:p>
        </w:tc>
        <w:tc>
          <w:tcPr>
            <w:tcW w:w="6120" w:type="dxa"/>
            <w:tcBorders>
              <w:top w:val="dashed" w:sz="4" w:space="0" w:color="auto"/>
              <w:left w:val="nil"/>
              <w:bottom w:val="double" w:sz="4" w:space="0" w:color="auto"/>
              <w:right w:val="nil"/>
            </w:tcBorders>
            <w:shd w:val="clear" w:color="auto" w:fill="auto"/>
            <w:noWrap/>
            <w:hideMark/>
          </w:tcPr>
          <w:p w14:paraId="29FC1235" w14:textId="77777777" w:rsidR="009860F3" w:rsidRPr="009860F3" w:rsidRDefault="009860F3" w:rsidP="009860F3">
            <w:r w:rsidRPr="009860F3">
              <w:t xml:space="preserve">Strong familial aggregation found for training response of muscle enzymes related to </w:t>
            </w:r>
            <w:proofErr w:type="spellStart"/>
            <w:r w:rsidRPr="009860F3">
              <w:t>PCr</w:t>
            </w:r>
            <w:proofErr w:type="spellEnd"/>
            <w:r w:rsidRPr="009860F3">
              <w:t>, glycolytic, and oxidative metabolism</w:t>
            </w:r>
          </w:p>
        </w:tc>
        <w:tc>
          <w:tcPr>
            <w:tcW w:w="2700" w:type="dxa"/>
            <w:gridSpan w:val="2"/>
            <w:tcBorders>
              <w:top w:val="dashed" w:sz="4" w:space="0" w:color="auto"/>
              <w:left w:val="nil"/>
              <w:bottom w:val="double" w:sz="4" w:space="0" w:color="auto"/>
              <w:right w:val="nil"/>
            </w:tcBorders>
            <w:shd w:val="clear" w:color="auto" w:fill="auto"/>
            <w:noWrap/>
            <w:hideMark/>
          </w:tcPr>
          <w:p w14:paraId="46534835" w14:textId="77777777" w:rsidR="009860F3" w:rsidRPr="009860F3" w:rsidRDefault="009860F3" w:rsidP="009860F3">
            <w:pPr>
              <w:rPr>
                <w:lang w:val="fr-CA"/>
              </w:rPr>
            </w:pPr>
            <w:r w:rsidRPr="009860F3">
              <w:rPr>
                <w:lang w:val="fr-CA"/>
              </w:rPr>
              <w:t>Rico-Sanz, Rankinen et al. 2003; Rankinen, Bouchard et al. 2005</w:t>
            </w:r>
          </w:p>
        </w:tc>
      </w:tr>
      <w:tr w:rsidR="009860F3" w:rsidRPr="009860F3" w14:paraId="0C88BBD4" w14:textId="77777777" w:rsidTr="00B10B02">
        <w:trPr>
          <w:trHeight w:val="33"/>
        </w:trPr>
        <w:tc>
          <w:tcPr>
            <w:tcW w:w="11430" w:type="dxa"/>
            <w:gridSpan w:val="3"/>
            <w:tcBorders>
              <w:top w:val="double" w:sz="4" w:space="0" w:color="auto"/>
              <w:left w:val="nil"/>
              <w:right w:val="nil"/>
            </w:tcBorders>
            <w:shd w:val="clear" w:color="auto" w:fill="auto"/>
            <w:noWrap/>
            <w:hideMark/>
          </w:tcPr>
          <w:p w14:paraId="70ADEF85" w14:textId="77777777" w:rsidR="009860F3" w:rsidRPr="009860F3" w:rsidRDefault="009860F3" w:rsidP="009860F3">
            <w:r w:rsidRPr="009860F3">
              <w:rPr>
                <w:b/>
                <w:bCs/>
              </w:rPr>
              <w:lastRenderedPageBreak/>
              <w:t>Ethnic and sex differences in responses to training</w:t>
            </w:r>
          </w:p>
        </w:tc>
        <w:tc>
          <w:tcPr>
            <w:tcW w:w="2700" w:type="dxa"/>
            <w:gridSpan w:val="2"/>
            <w:tcBorders>
              <w:top w:val="double" w:sz="4" w:space="0" w:color="auto"/>
              <w:left w:val="nil"/>
              <w:right w:val="nil"/>
            </w:tcBorders>
            <w:shd w:val="clear" w:color="auto" w:fill="auto"/>
            <w:noWrap/>
            <w:vAlign w:val="bottom"/>
            <w:hideMark/>
          </w:tcPr>
          <w:p w14:paraId="5BCAC231" w14:textId="77777777" w:rsidR="009860F3" w:rsidRPr="009860F3" w:rsidRDefault="009860F3" w:rsidP="009860F3"/>
        </w:tc>
      </w:tr>
      <w:tr w:rsidR="009860F3" w:rsidRPr="009860F3" w14:paraId="4E58CA99" w14:textId="77777777" w:rsidTr="00B10B02">
        <w:trPr>
          <w:trHeight w:val="693"/>
        </w:trPr>
        <w:tc>
          <w:tcPr>
            <w:tcW w:w="3420" w:type="dxa"/>
            <w:vMerge w:val="restart"/>
            <w:tcBorders>
              <w:top w:val="nil"/>
              <w:left w:val="nil"/>
              <w:bottom w:val="dashed" w:sz="4" w:space="0" w:color="auto"/>
              <w:right w:val="nil"/>
            </w:tcBorders>
            <w:shd w:val="clear" w:color="auto" w:fill="auto"/>
            <w:hideMark/>
          </w:tcPr>
          <w:p w14:paraId="749A6850" w14:textId="77777777" w:rsidR="009860F3" w:rsidRPr="009860F3" w:rsidRDefault="009860F3" w:rsidP="009860F3"/>
          <w:p w14:paraId="62A0BD05" w14:textId="77777777" w:rsidR="009860F3" w:rsidRPr="009860F3" w:rsidRDefault="009860F3" w:rsidP="009860F3">
            <w:r w:rsidRPr="009860F3">
              <w:t xml:space="preserve">Training responses of </w:t>
            </w:r>
            <w:proofErr w:type="spellStart"/>
            <w:r w:rsidRPr="009860F3">
              <w:t>submaxmial</w:t>
            </w:r>
            <w:proofErr w:type="spellEnd"/>
            <w:r w:rsidRPr="009860F3">
              <w:t xml:space="preserve"> exercise measures of hemodynamic </w:t>
            </w:r>
            <w:r w:rsidRPr="009860F3">
              <w:br/>
              <w:t>traits differed by sex and ethnic groups</w:t>
            </w:r>
          </w:p>
        </w:tc>
        <w:tc>
          <w:tcPr>
            <w:tcW w:w="1890" w:type="dxa"/>
            <w:tcBorders>
              <w:top w:val="nil"/>
              <w:left w:val="nil"/>
              <w:right w:val="nil"/>
            </w:tcBorders>
            <w:shd w:val="clear" w:color="auto" w:fill="auto"/>
            <w:noWrap/>
            <w:hideMark/>
          </w:tcPr>
          <w:p w14:paraId="4B8061AD" w14:textId="77777777" w:rsidR="009860F3" w:rsidRPr="009860F3" w:rsidRDefault="009860F3" w:rsidP="009860F3"/>
          <w:p w14:paraId="1730032A" w14:textId="77777777" w:rsidR="009860F3" w:rsidRPr="009860F3" w:rsidRDefault="009860F3" w:rsidP="009860F3">
            <w:r w:rsidRPr="009860F3">
              <w:t>HR, SBP, DBP at 50W</w:t>
            </w:r>
          </w:p>
        </w:tc>
        <w:tc>
          <w:tcPr>
            <w:tcW w:w="6120" w:type="dxa"/>
            <w:tcBorders>
              <w:top w:val="nil"/>
              <w:left w:val="nil"/>
              <w:right w:val="nil"/>
            </w:tcBorders>
            <w:shd w:val="clear" w:color="auto" w:fill="auto"/>
            <w:noWrap/>
            <w:hideMark/>
          </w:tcPr>
          <w:p w14:paraId="27F62984" w14:textId="77777777" w:rsidR="009860F3" w:rsidRPr="009860F3" w:rsidRDefault="009860F3" w:rsidP="009860F3"/>
          <w:p w14:paraId="29A37CD4" w14:textId="77777777" w:rsidR="009860F3" w:rsidRPr="009860F3" w:rsidRDefault="009860F3" w:rsidP="009860F3">
            <w:r w:rsidRPr="009860F3">
              <w:t>Submaximal HR, SBP, DBP decreased with training, with greater reductions in women compared to men and in Black and older subjects compared to White and younger subjects.</w:t>
            </w:r>
          </w:p>
        </w:tc>
        <w:tc>
          <w:tcPr>
            <w:tcW w:w="2700" w:type="dxa"/>
            <w:gridSpan w:val="2"/>
            <w:tcBorders>
              <w:top w:val="nil"/>
              <w:left w:val="nil"/>
              <w:right w:val="nil"/>
            </w:tcBorders>
            <w:shd w:val="clear" w:color="auto" w:fill="auto"/>
            <w:noWrap/>
            <w:hideMark/>
          </w:tcPr>
          <w:p w14:paraId="7FF89C9D" w14:textId="77777777" w:rsidR="009860F3" w:rsidRPr="009860F3" w:rsidRDefault="009860F3" w:rsidP="009860F3"/>
          <w:p w14:paraId="7F9D3DCC" w14:textId="77777777" w:rsidR="009860F3" w:rsidRPr="009860F3" w:rsidRDefault="009860F3" w:rsidP="009860F3">
            <w:r w:rsidRPr="009860F3">
              <w:t>Wilmore, Stanforth 2001 pp 10-116</w:t>
            </w:r>
          </w:p>
        </w:tc>
      </w:tr>
      <w:tr w:rsidR="009860F3" w:rsidRPr="009860F3" w14:paraId="582DB579" w14:textId="77777777" w:rsidTr="00B10B02">
        <w:trPr>
          <w:trHeight w:val="530"/>
        </w:trPr>
        <w:tc>
          <w:tcPr>
            <w:tcW w:w="3420" w:type="dxa"/>
            <w:vMerge/>
            <w:tcBorders>
              <w:left w:val="nil"/>
              <w:bottom w:val="dashed" w:sz="4" w:space="0" w:color="auto"/>
              <w:right w:val="nil"/>
            </w:tcBorders>
            <w:hideMark/>
          </w:tcPr>
          <w:p w14:paraId="3F61236D" w14:textId="77777777" w:rsidR="009860F3" w:rsidRPr="009860F3" w:rsidRDefault="009860F3" w:rsidP="009860F3"/>
        </w:tc>
        <w:tc>
          <w:tcPr>
            <w:tcW w:w="1890" w:type="dxa"/>
            <w:tcBorders>
              <w:left w:val="nil"/>
              <w:bottom w:val="dashed" w:sz="4" w:space="0" w:color="auto"/>
              <w:right w:val="nil"/>
            </w:tcBorders>
            <w:shd w:val="clear" w:color="auto" w:fill="auto"/>
            <w:noWrap/>
            <w:hideMark/>
          </w:tcPr>
          <w:p w14:paraId="0C98F041" w14:textId="77777777" w:rsidR="009860F3" w:rsidRPr="009860F3" w:rsidRDefault="009860F3" w:rsidP="009860F3">
            <w:r w:rsidRPr="009860F3">
              <w:t>a-vO</w:t>
            </w:r>
            <w:r w:rsidRPr="009860F3">
              <w:rPr>
                <w:vertAlign w:val="subscript"/>
              </w:rPr>
              <w:t>2</w:t>
            </w:r>
            <w:r w:rsidRPr="009860F3">
              <w:t xml:space="preserve"> diff, SV, Q, and VO</w:t>
            </w:r>
            <w:r w:rsidRPr="009860F3">
              <w:rPr>
                <w:vertAlign w:val="subscript"/>
              </w:rPr>
              <w:t>2</w:t>
            </w:r>
            <w:r w:rsidRPr="009860F3">
              <w:t xml:space="preserve"> at 50W</w:t>
            </w:r>
          </w:p>
        </w:tc>
        <w:tc>
          <w:tcPr>
            <w:tcW w:w="6120" w:type="dxa"/>
            <w:tcBorders>
              <w:left w:val="nil"/>
              <w:bottom w:val="dashed" w:sz="4" w:space="0" w:color="auto"/>
              <w:right w:val="nil"/>
            </w:tcBorders>
            <w:shd w:val="clear" w:color="auto" w:fill="auto"/>
            <w:noWrap/>
            <w:hideMark/>
          </w:tcPr>
          <w:p w14:paraId="6245B76A" w14:textId="77777777" w:rsidR="009860F3" w:rsidRPr="009860F3" w:rsidRDefault="009860F3" w:rsidP="009860F3">
            <w:r w:rsidRPr="009860F3">
              <w:t>Black men did not increase a-vO2 diff at 50W. Thus, on average Black men had greater increases in SV50 and smaller decreases in Q50 compared with White men to achieve similar VO250.</w:t>
            </w:r>
          </w:p>
          <w:p w14:paraId="279A5A7D" w14:textId="77777777" w:rsidR="009860F3" w:rsidRPr="009860F3" w:rsidRDefault="009860F3" w:rsidP="009860F3"/>
        </w:tc>
        <w:tc>
          <w:tcPr>
            <w:tcW w:w="2700" w:type="dxa"/>
            <w:gridSpan w:val="2"/>
            <w:tcBorders>
              <w:left w:val="nil"/>
              <w:bottom w:val="dashed" w:sz="4" w:space="0" w:color="auto"/>
              <w:right w:val="nil"/>
            </w:tcBorders>
            <w:shd w:val="clear" w:color="auto" w:fill="auto"/>
            <w:noWrap/>
            <w:hideMark/>
          </w:tcPr>
          <w:p w14:paraId="678E4659" w14:textId="77777777" w:rsidR="009860F3" w:rsidRPr="009860F3" w:rsidRDefault="009860F3" w:rsidP="009860F3">
            <w:r w:rsidRPr="009860F3">
              <w:t>Wilmore, Stanforth 2001 MSSE pp 99-106</w:t>
            </w:r>
          </w:p>
        </w:tc>
      </w:tr>
      <w:tr w:rsidR="009860F3" w:rsidRPr="009860F3" w14:paraId="1BDCAA95" w14:textId="77777777" w:rsidTr="00B10B02">
        <w:trPr>
          <w:trHeight w:val="557"/>
        </w:trPr>
        <w:tc>
          <w:tcPr>
            <w:tcW w:w="3420" w:type="dxa"/>
            <w:tcBorders>
              <w:top w:val="dashed" w:sz="4" w:space="0" w:color="auto"/>
              <w:left w:val="nil"/>
              <w:bottom w:val="dashed" w:sz="4" w:space="0" w:color="auto"/>
              <w:right w:val="nil"/>
            </w:tcBorders>
            <w:shd w:val="clear" w:color="auto" w:fill="auto"/>
            <w:noWrap/>
            <w:hideMark/>
          </w:tcPr>
          <w:p w14:paraId="6C97C76F" w14:textId="77777777" w:rsidR="009860F3" w:rsidRPr="009860F3" w:rsidRDefault="009860F3" w:rsidP="009860F3">
            <w:r w:rsidRPr="009860F3">
              <w:t>Significant sex interactions for insulin sensitivity response to training</w:t>
            </w:r>
          </w:p>
          <w:p w14:paraId="15CADD6B" w14:textId="77777777" w:rsidR="009860F3" w:rsidRPr="009860F3" w:rsidRDefault="009860F3" w:rsidP="009860F3"/>
        </w:tc>
        <w:tc>
          <w:tcPr>
            <w:tcW w:w="1890" w:type="dxa"/>
            <w:tcBorders>
              <w:top w:val="dashed" w:sz="4" w:space="0" w:color="auto"/>
              <w:left w:val="nil"/>
              <w:bottom w:val="dashed" w:sz="4" w:space="0" w:color="auto"/>
              <w:right w:val="nil"/>
            </w:tcBorders>
            <w:shd w:val="clear" w:color="auto" w:fill="auto"/>
            <w:noWrap/>
            <w:hideMark/>
          </w:tcPr>
          <w:p w14:paraId="229D2186" w14:textId="77777777" w:rsidR="009860F3" w:rsidRPr="009860F3" w:rsidRDefault="009860F3" w:rsidP="009860F3">
            <w:r w:rsidRPr="009860F3">
              <w:t>Si</w:t>
            </w:r>
          </w:p>
        </w:tc>
        <w:tc>
          <w:tcPr>
            <w:tcW w:w="6120" w:type="dxa"/>
            <w:tcBorders>
              <w:top w:val="dashed" w:sz="4" w:space="0" w:color="auto"/>
              <w:left w:val="nil"/>
              <w:bottom w:val="dashed" w:sz="4" w:space="0" w:color="auto"/>
              <w:right w:val="nil"/>
            </w:tcBorders>
            <w:shd w:val="clear" w:color="auto" w:fill="auto"/>
            <w:noWrap/>
            <w:hideMark/>
          </w:tcPr>
          <w:p w14:paraId="011BC862" w14:textId="77777777" w:rsidR="009860F3" w:rsidRPr="009860F3" w:rsidRDefault="009860F3" w:rsidP="009860F3">
            <w:r w:rsidRPr="009860F3">
              <w:t>Insulin sensitivity increased by 10% in the total cohort, with the increase larger in men than women (16% vs 5%).</w:t>
            </w:r>
          </w:p>
        </w:tc>
        <w:tc>
          <w:tcPr>
            <w:tcW w:w="2700" w:type="dxa"/>
            <w:gridSpan w:val="2"/>
            <w:tcBorders>
              <w:top w:val="dashed" w:sz="4" w:space="0" w:color="auto"/>
              <w:left w:val="nil"/>
              <w:bottom w:val="dashed" w:sz="4" w:space="0" w:color="auto"/>
              <w:right w:val="nil"/>
            </w:tcBorders>
            <w:shd w:val="clear" w:color="auto" w:fill="auto"/>
            <w:noWrap/>
            <w:hideMark/>
          </w:tcPr>
          <w:p w14:paraId="21E2FBA5" w14:textId="77777777" w:rsidR="009860F3" w:rsidRPr="009860F3" w:rsidRDefault="009860F3" w:rsidP="009860F3">
            <w:r w:rsidRPr="009860F3">
              <w:t>Boule, Weisnagel et al. 2005</w:t>
            </w:r>
          </w:p>
        </w:tc>
      </w:tr>
      <w:tr w:rsidR="009860F3" w:rsidRPr="009860F3" w14:paraId="4B451577" w14:textId="77777777" w:rsidTr="00B10B02">
        <w:trPr>
          <w:trHeight w:val="809"/>
        </w:trPr>
        <w:tc>
          <w:tcPr>
            <w:tcW w:w="3420" w:type="dxa"/>
            <w:vMerge w:val="restart"/>
            <w:tcBorders>
              <w:top w:val="dashed" w:sz="4" w:space="0" w:color="auto"/>
              <w:left w:val="nil"/>
              <w:bottom w:val="dashed" w:sz="4" w:space="0" w:color="auto"/>
              <w:right w:val="nil"/>
            </w:tcBorders>
            <w:shd w:val="clear" w:color="auto" w:fill="auto"/>
            <w:vAlign w:val="center"/>
            <w:hideMark/>
          </w:tcPr>
          <w:p w14:paraId="7B88D999" w14:textId="77777777" w:rsidR="009860F3" w:rsidRPr="009860F3" w:rsidRDefault="009860F3" w:rsidP="009860F3">
            <w:r w:rsidRPr="009860F3">
              <w:t>Significant ethnic and sex differences in lipid, lipoprotein, and lipase activity responses to training</w:t>
            </w:r>
          </w:p>
        </w:tc>
        <w:tc>
          <w:tcPr>
            <w:tcW w:w="1890" w:type="dxa"/>
            <w:tcBorders>
              <w:top w:val="dashed" w:sz="4" w:space="0" w:color="auto"/>
              <w:left w:val="nil"/>
              <w:right w:val="nil"/>
            </w:tcBorders>
            <w:shd w:val="clear" w:color="auto" w:fill="auto"/>
            <w:noWrap/>
            <w:hideMark/>
          </w:tcPr>
          <w:p w14:paraId="4C10C55E" w14:textId="77777777" w:rsidR="009860F3" w:rsidRPr="009860F3" w:rsidRDefault="009860F3" w:rsidP="009860F3">
            <w:proofErr w:type="spellStart"/>
            <w:r w:rsidRPr="009860F3">
              <w:t>ApoA</w:t>
            </w:r>
            <w:proofErr w:type="spellEnd"/>
            <w:r w:rsidRPr="009860F3">
              <w:t>-I, HDL2-C</w:t>
            </w:r>
          </w:p>
        </w:tc>
        <w:tc>
          <w:tcPr>
            <w:tcW w:w="6120" w:type="dxa"/>
            <w:tcBorders>
              <w:top w:val="dashed" w:sz="4" w:space="0" w:color="auto"/>
              <w:left w:val="nil"/>
              <w:right w:val="nil"/>
            </w:tcBorders>
            <w:shd w:val="clear" w:color="auto" w:fill="auto"/>
            <w:noWrap/>
            <w:hideMark/>
          </w:tcPr>
          <w:p w14:paraId="3A709645" w14:textId="77777777" w:rsidR="009860F3" w:rsidRPr="009860F3" w:rsidRDefault="009860F3" w:rsidP="009860F3">
            <w:proofErr w:type="spellStart"/>
            <w:r w:rsidRPr="009860F3">
              <w:t>ApoA</w:t>
            </w:r>
            <w:proofErr w:type="spellEnd"/>
            <w:r w:rsidRPr="009860F3">
              <w:t>-I increased more in women than men, in Black than White subjects, and in offspring than in parents. Black subjects experienced greater increases in HDL2-C compared to White subjects.</w:t>
            </w:r>
          </w:p>
        </w:tc>
        <w:tc>
          <w:tcPr>
            <w:tcW w:w="2700" w:type="dxa"/>
            <w:gridSpan w:val="2"/>
            <w:tcBorders>
              <w:top w:val="dashed" w:sz="4" w:space="0" w:color="auto"/>
              <w:left w:val="nil"/>
              <w:right w:val="nil"/>
            </w:tcBorders>
            <w:shd w:val="clear" w:color="auto" w:fill="auto"/>
            <w:noWrap/>
            <w:hideMark/>
          </w:tcPr>
          <w:p w14:paraId="0C4196DB" w14:textId="77777777" w:rsidR="009860F3" w:rsidRPr="009860F3" w:rsidRDefault="009860F3" w:rsidP="009860F3">
            <w:r w:rsidRPr="009860F3">
              <w:t>Leon, Rice et al. 2000</w:t>
            </w:r>
          </w:p>
        </w:tc>
      </w:tr>
      <w:tr w:rsidR="009860F3" w:rsidRPr="009860F3" w14:paraId="1DA54A20" w14:textId="77777777" w:rsidTr="00B10B02">
        <w:trPr>
          <w:trHeight w:val="285"/>
        </w:trPr>
        <w:tc>
          <w:tcPr>
            <w:tcW w:w="3420" w:type="dxa"/>
            <w:vMerge/>
            <w:tcBorders>
              <w:top w:val="dashed" w:sz="4" w:space="0" w:color="auto"/>
              <w:left w:val="nil"/>
              <w:bottom w:val="double" w:sz="4" w:space="0" w:color="auto"/>
              <w:right w:val="nil"/>
            </w:tcBorders>
            <w:hideMark/>
          </w:tcPr>
          <w:p w14:paraId="34556221" w14:textId="77777777" w:rsidR="009860F3" w:rsidRPr="009860F3" w:rsidRDefault="009860F3" w:rsidP="009860F3"/>
        </w:tc>
        <w:tc>
          <w:tcPr>
            <w:tcW w:w="1890" w:type="dxa"/>
            <w:tcBorders>
              <w:left w:val="nil"/>
              <w:bottom w:val="double" w:sz="4" w:space="0" w:color="auto"/>
              <w:right w:val="nil"/>
            </w:tcBorders>
            <w:shd w:val="clear" w:color="auto" w:fill="auto"/>
            <w:noWrap/>
            <w:hideMark/>
          </w:tcPr>
          <w:p w14:paraId="4AA2550B" w14:textId="77777777" w:rsidR="009860F3" w:rsidRPr="009860F3" w:rsidRDefault="009860F3" w:rsidP="009860F3">
            <w:r w:rsidRPr="009860F3">
              <w:t>LPL activity</w:t>
            </w:r>
          </w:p>
        </w:tc>
        <w:tc>
          <w:tcPr>
            <w:tcW w:w="6120" w:type="dxa"/>
            <w:tcBorders>
              <w:left w:val="nil"/>
              <w:bottom w:val="double" w:sz="4" w:space="0" w:color="auto"/>
              <w:right w:val="nil"/>
            </w:tcBorders>
            <w:shd w:val="clear" w:color="auto" w:fill="auto"/>
            <w:noWrap/>
            <w:hideMark/>
          </w:tcPr>
          <w:p w14:paraId="50A564A8" w14:textId="77777777" w:rsidR="009860F3" w:rsidRPr="009860F3" w:rsidRDefault="009860F3" w:rsidP="009860F3">
            <w:r w:rsidRPr="009860F3">
              <w:t>LPL activity increased in all subgroups except Black men.</w:t>
            </w:r>
          </w:p>
          <w:p w14:paraId="74135CD1" w14:textId="77777777" w:rsidR="009860F3" w:rsidRPr="009860F3" w:rsidRDefault="009860F3" w:rsidP="009860F3"/>
        </w:tc>
        <w:tc>
          <w:tcPr>
            <w:tcW w:w="2700" w:type="dxa"/>
            <w:gridSpan w:val="2"/>
            <w:tcBorders>
              <w:left w:val="nil"/>
              <w:bottom w:val="double" w:sz="4" w:space="0" w:color="auto"/>
              <w:right w:val="nil"/>
            </w:tcBorders>
            <w:shd w:val="clear" w:color="auto" w:fill="auto"/>
            <w:noWrap/>
            <w:hideMark/>
          </w:tcPr>
          <w:p w14:paraId="25DCAB53" w14:textId="77777777" w:rsidR="009860F3" w:rsidRPr="009860F3" w:rsidRDefault="009860F3" w:rsidP="009860F3">
            <w:r w:rsidRPr="009860F3">
              <w:t>Bergeron, Couillard et al. 2001</w:t>
            </w:r>
          </w:p>
        </w:tc>
      </w:tr>
      <w:tr w:rsidR="009860F3" w:rsidRPr="009860F3" w14:paraId="54D9696A" w14:textId="77777777" w:rsidTr="00B10B02">
        <w:trPr>
          <w:trHeight w:val="285"/>
        </w:trPr>
        <w:tc>
          <w:tcPr>
            <w:tcW w:w="3420" w:type="dxa"/>
            <w:tcBorders>
              <w:top w:val="double" w:sz="4" w:space="0" w:color="auto"/>
              <w:left w:val="nil"/>
              <w:bottom w:val="nil"/>
              <w:right w:val="nil"/>
            </w:tcBorders>
            <w:shd w:val="clear" w:color="auto" w:fill="auto"/>
            <w:noWrap/>
            <w:hideMark/>
          </w:tcPr>
          <w:p w14:paraId="69195F3A" w14:textId="77777777" w:rsidR="009860F3" w:rsidRPr="009860F3" w:rsidRDefault="009860F3" w:rsidP="009860F3">
            <w:pPr>
              <w:rPr>
                <w:b/>
                <w:bCs/>
              </w:rPr>
            </w:pPr>
            <w:r w:rsidRPr="009860F3">
              <w:rPr>
                <w:b/>
                <w:bCs/>
              </w:rPr>
              <w:t>Response of other traits to training</w:t>
            </w:r>
          </w:p>
          <w:p w14:paraId="0D67175B" w14:textId="77777777" w:rsidR="009860F3" w:rsidRPr="009860F3" w:rsidRDefault="009860F3" w:rsidP="009860F3">
            <w:pPr>
              <w:rPr>
                <w:b/>
                <w:bCs/>
              </w:rPr>
            </w:pPr>
          </w:p>
        </w:tc>
        <w:tc>
          <w:tcPr>
            <w:tcW w:w="1890" w:type="dxa"/>
            <w:tcBorders>
              <w:top w:val="double" w:sz="4" w:space="0" w:color="auto"/>
              <w:left w:val="nil"/>
              <w:bottom w:val="nil"/>
              <w:right w:val="nil"/>
            </w:tcBorders>
            <w:shd w:val="clear" w:color="auto" w:fill="auto"/>
            <w:noWrap/>
            <w:vAlign w:val="bottom"/>
            <w:hideMark/>
          </w:tcPr>
          <w:p w14:paraId="46F7A505" w14:textId="77777777" w:rsidR="009860F3" w:rsidRPr="009860F3" w:rsidRDefault="009860F3" w:rsidP="009860F3">
            <w:pPr>
              <w:rPr>
                <w:b/>
                <w:bCs/>
              </w:rPr>
            </w:pPr>
          </w:p>
        </w:tc>
        <w:tc>
          <w:tcPr>
            <w:tcW w:w="6120" w:type="dxa"/>
            <w:tcBorders>
              <w:top w:val="double" w:sz="4" w:space="0" w:color="auto"/>
              <w:left w:val="nil"/>
              <w:bottom w:val="nil"/>
              <w:right w:val="nil"/>
            </w:tcBorders>
            <w:shd w:val="clear" w:color="auto" w:fill="auto"/>
            <w:noWrap/>
            <w:vAlign w:val="bottom"/>
            <w:hideMark/>
          </w:tcPr>
          <w:p w14:paraId="25829C0A" w14:textId="77777777" w:rsidR="009860F3" w:rsidRPr="009860F3" w:rsidRDefault="009860F3" w:rsidP="009860F3"/>
        </w:tc>
        <w:tc>
          <w:tcPr>
            <w:tcW w:w="2700" w:type="dxa"/>
            <w:gridSpan w:val="2"/>
            <w:tcBorders>
              <w:top w:val="double" w:sz="4" w:space="0" w:color="auto"/>
              <w:left w:val="nil"/>
              <w:bottom w:val="nil"/>
              <w:right w:val="nil"/>
            </w:tcBorders>
            <w:shd w:val="clear" w:color="auto" w:fill="auto"/>
            <w:noWrap/>
            <w:vAlign w:val="bottom"/>
            <w:hideMark/>
          </w:tcPr>
          <w:p w14:paraId="1EA902B4" w14:textId="77777777" w:rsidR="009860F3" w:rsidRPr="009860F3" w:rsidRDefault="009860F3" w:rsidP="009860F3"/>
        </w:tc>
      </w:tr>
      <w:tr w:rsidR="009860F3" w:rsidRPr="00807A75" w14:paraId="4ABCD90C" w14:textId="77777777" w:rsidTr="00B10B02">
        <w:trPr>
          <w:trHeight w:val="1008"/>
        </w:trPr>
        <w:tc>
          <w:tcPr>
            <w:tcW w:w="3420" w:type="dxa"/>
            <w:tcBorders>
              <w:top w:val="nil"/>
              <w:left w:val="nil"/>
              <w:bottom w:val="nil"/>
              <w:right w:val="nil"/>
            </w:tcBorders>
            <w:shd w:val="clear" w:color="auto" w:fill="auto"/>
            <w:noWrap/>
            <w:hideMark/>
          </w:tcPr>
          <w:p w14:paraId="33ADDFED" w14:textId="77777777" w:rsidR="009860F3" w:rsidRPr="009860F3" w:rsidRDefault="009860F3" w:rsidP="009860F3">
            <w:r w:rsidRPr="009860F3">
              <w:t xml:space="preserve">Little influence of endurance training on markers of oxidative stress </w:t>
            </w:r>
          </w:p>
        </w:tc>
        <w:tc>
          <w:tcPr>
            <w:tcW w:w="1890" w:type="dxa"/>
            <w:tcBorders>
              <w:top w:val="nil"/>
              <w:left w:val="nil"/>
              <w:bottom w:val="nil"/>
              <w:right w:val="nil"/>
            </w:tcBorders>
            <w:shd w:val="clear" w:color="auto" w:fill="auto"/>
            <w:noWrap/>
            <w:hideMark/>
          </w:tcPr>
          <w:p w14:paraId="30744776" w14:textId="77777777" w:rsidR="009860F3" w:rsidRPr="009860F3" w:rsidRDefault="009860F3" w:rsidP="009860F3">
            <w:r w:rsidRPr="009860F3">
              <w:t xml:space="preserve">LDL-ox, C50-AAPH, TBARS, </w:t>
            </w:r>
            <w:r w:rsidRPr="009860F3">
              <w:lastRenderedPageBreak/>
              <w:t>antioxidants, and aminothiols</w:t>
            </w:r>
          </w:p>
        </w:tc>
        <w:tc>
          <w:tcPr>
            <w:tcW w:w="6120" w:type="dxa"/>
            <w:tcBorders>
              <w:top w:val="nil"/>
              <w:left w:val="nil"/>
              <w:bottom w:val="nil"/>
              <w:right w:val="nil"/>
            </w:tcBorders>
            <w:shd w:val="clear" w:color="auto" w:fill="auto"/>
            <w:noWrap/>
            <w:hideMark/>
          </w:tcPr>
          <w:p w14:paraId="77E654D4" w14:textId="77777777" w:rsidR="009860F3" w:rsidRPr="009860F3" w:rsidRDefault="009860F3" w:rsidP="009860F3">
            <w:r w:rsidRPr="009860F3">
              <w:lastRenderedPageBreak/>
              <w:t xml:space="preserve">Only erythrocyte resistance to hemolysis significantly changed with training, which interacted with smoking status (smokers did </w:t>
            </w:r>
            <w:r w:rsidRPr="009860F3">
              <w:lastRenderedPageBreak/>
              <w:t>not experience beneficial effects of training on erythrocytes), and was significant in women only.</w:t>
            </w:r>
          </w:p>
          <w:p w14:paraId="5A51367C" w14:textId="77777777" w:rsidR="009860F3" w:rsidRPr="009860F3" w:rsidRDefault="009860F3" w:rsidP="009860F3"/>
        </w:tc>
        <w:tc>
          <w:tcPr>
            <w:tcW w:w="2700" w:type="dxa"/>
            <w:gridSpan w:val="2"/>
            <w:tcBorders>
              <w:top w:val="nil"/>
              <w:left w:val="nil"/>
              <w:bottom w:val="nil"/>
              <w:right w:val="nil"/>
            </w:tcBorders>
            <w:shd w:val="clear" w:color="auto" w:fill="auto"/>
            <w:noWrap/>
            <w:hideMark/>
          </w:tcPr>
          <w:p w14:paraId="78A41B6B" w14:textId="77777777" w:rsidR="009860F3" w:rsidRPr="009860F3" w:rsidRDefault="009860F3" w:rsidP="009860F3">
            <w:pPr>
              <w:rPr>
                <w:lang w:val="fr-CA"/>
              </w:rPr>
            </w:pPr>
            <w:r w:rsidRPr="009860F3">
              <w:rPr>
                <w:lang w:val="fr-CA"/>
              </w:rPr>
              <w:lastRenderedPageBreak/>
              <w:t>Blache, Lussier-</w:t>
            </w:r>
            <w:proofErr w:type="spellStart"/>
            <w:r w:rsidRPr="009860F3">
              <w:rPr>
                <w:lang w:val="fr-CA"/>
              </w:rPr>
              <w:t>Cacan</w:t>
            </w:r>
            <w:proofErr w:type="spellEnd"/>
            <w:r w:rsidRPr="009860F3">
              <w:rPr>
                <w:lang w:val="fr-CA"/>
              </w:rPr>
              <w:t xml:space="preserve"> et al. 2007</w:t>
            </w:r>
          </w:p>
        </w:tc>
      </w:tr>
      <w:tr w:rsidR="009860F3" w:rsidRPr="009860F3" w14:paraId="0DC0541D" w14:textId="77777777" w:rsidTr="00B10B02">
        <w:trPr>
          <w:trHeight w:val="540"/>
        </w:trPr>
        <w:tc>
          <w:tcPr>
            <w:tcW w:w="3420" w:type="dxa"/>
            <w:tcBorders>
              <w:top w:val="nil"/>
              <w:left w:val="nil"/>
              <w:right w:val="nil"/>
            </w:tcBorders>
            <w:shd w:val="clear" w:color="auto" w:fill="auto"/>
            <w:noWrap/>
            <w:hideMark/>
          </w:tcPr>
          <w:p w14:paraId="49DF80E5" w14:textId="77777777" w:rsidR="009860F3" w:rsidRPr="009860F3" w:rsidRDefault="009860F3" w:rsidP="009860F3">
            <w:r w:rsidRPr="009860F3">
              <w:t xml:space="preserve">No change in RMR with </w:t>
            </w:r>
            <w:proofErr w:type="gramStart"/>
            <w:r w:rsidRPr="009860F3">
              <w:t>training .</w:t>
            </w:r>
            <w:proofErr w:type="gramEnd"/>
          </w:p>
        </w:tc>
        <w:tc>
          <w:tcPr>
            <w:tcW w:w="1890" w:type="dxa"/>
            <w:tcBorders>
              <w:top w:val="nil"/>
              <w:left w:val="nil"/>
              <w:right w:val="nil"/>
            </w:tcBorders>
            <w:shd w:val="clear" w:color="auto" w:fill="auto"/>
            <w:noWrap/>
            <w:hideMark/>
          </w:tcPr>
          <w:p w14:paraId="1E609B5F" w14:textId="77777777" w:rsidR="009860F3" w:rsidRPr="009860F3" w:rsidRDefault="009860F3" w:rsidP="009860F3">
            <w:r w:rsidRPr="009860F3">
              <w:t>RMR via indirect calorimetry</w:t>
            </w:r>
          </w:p>
        </w:tc>
        <w:tc>
          <w:tcPr>
            <w:tcW w:w="6120" w:type="dxa"/>
            <w:tcBorders>
              <w:top w:val="nil"/>
              <w:left w:val="nil"/>
              <w:right w:val="nil"/>
            </w:tcBorders>
            <w:shd w:val="clear" w:color="auto" w:fill="auto"/>
            <w:noWrap/>
            <w:hideMark/>
          </w:tcPr>
          <w:p w14:paraId="7B355E9B" w14:textId="77777777" w:rsidR="009860F3" w:rsidRPr="009860F3" w:rsidRDefault="009860F3" w:rsidP="009860F3">
            <w:r w:rsidRPr="009860F3">
              <w:t xml:space="preserve">Sample size (N=77) was larger than previous studies. No change in RMR at 24 or 72 </w:t>
            </w:r>
            <w:proofErr w:type="spellStart"/>
            <w:r w:rsidRPr="009860F3">
              <w:t>hrs</w:t>
            </w:r>
            <w:proofErr w:type="spellEnd"/>
            <w:r w:rsidRPr="009860F3">
              <w:t xml:space="preserve"> post-training.</w:t>
            </w:r>
          </w:p>
          <w:p w14:paraId="497B4B02" w14:textId="77777777" w:rsidR="009860F3" w:rsidRPr="009860F3" w:rsidRDefault="009860F3" w:rsidP="009860F3"/>
        </w:tc>
        <w:tc>
          <w:tcPr>
            <w:tcW w:w="2700" w:type="dxa"/>
            <w:gridSpan w:val="2"/>
            <w:tcBorders>
              <w:top w:val="nil"/>
              <w:left w:val="nil"/>
              <w:right w:val="nil"/>
            </w:tcBorders>
            <w:shd w:val="clear" w:color="auto" w:fill="auto"/>
            <w:noWrap/>
            <w:hideMark/>
          </w:tcPr>
          <w:p w14:paraId="19F95861" w14:textId="77777777" w:rsidR="009860F3" w:rsidRPr="009860F3" w:rsidRDefault="009860F3" w:rsidP="009860F3">
            <w:r w:rsidRPr="009860F3">
              <w:t>Wilmore, Stanforth et al. 1998</w:t>
            </w:r>
          </w:p>
        </w:tc>
      </w:tr>
      <w:tr w:rsidR="009860F3" w:rsidRPr="009860F3" w14:paraId="09C78818" w14:textId="77777777" w:rsidTr="00B10B02">
        <w:trPr>
          <w:trHeight w:val="900"/>
        </w:trPr>
        <w:tc>
          <w:tcPr>
            <w:tcW w:w="3420" w:type="dxa"/>
            <w:tcBorders>
              <w:top w:val="nil"/>
              <w:left w:val="nil"/>
              <w:bottom w:val="double" w:sz="4" w:space="0" w:color="auto"/>
              <w:right w:val="nil"/>
            </w:tcBorders>
            <w:shd w:val="clear" w:color="auto" w:fill="auto"/>
            <w:noWrap/>
            <w:hideMark/>
          </w:tcPr>
          <w:p w14:paraId="26678BF7" w14:textId="77777777" w:rsidR="009860F3" w:rsidRPr="009860F3" w:rsidRDefault="009860F3" w:rsidP="009860F3">
            <w:r w:rsidRPr="009860F3">
              <w:t>Favorable changes in clinically relevant lipoprotein subfractions in response to training</w:t>
            </w:r>
          </w:p>
        </w:tc>
        <w:tc>
          <w:tcPr>
            <w:tcW w:w="1890" w:type="dxa"/>
            <w:tcBorders>
              <w:top w:val="nil"/>
              <w:left w:val="nil"/>
              <w:bottom w:val="double" w:sz="4" w:space="0" w:color="auto"/>
              <w:right w:val="nil"/>
            </w:tcBorders>
            <w:shd w:val="clear" w:color="auto" w:fill="auto"/>
            <w:noWrap/>
            <w:hideMark/>
          </w:tcPr>
          <w:p w14:paraId="6D715BBE" w14:textId="77777777" w:rsidR="009860F3" w:rsidRPr="009860F3" w:rsidRDefault="009860F3" w:rsidP="009860F3">
            <w:r w:rsidRPr="009860F3">
              <w:t>NMR-based lipoprotein subfractions</w:t>
            </w:r>
          </w:p>
        </w:tc>
        <w:tc>
          <w:tcPr>
            <w:tcW w:w="6120" w:type="dxa"/>
            <w:tcBorders>
              <w:top w:val="nil"/>
              <w:left w:val="nil"/>
              <w:bottom w:val="double" w:sz="4" w:space="0" w:color="auto"/>
              <w:right w:val="nil"/>
            </w:tcBorders>
            <w:shd w:val="clear" w:color="auto" w:fill="auto"/>
            <w:noWrap/>
            <w:hideMark/>
          </w:tcPr>
          <w:p w14:paraId="30D98022" w14:textId="77777777" w:rsidR="009860F3" w:rsidRPr="009860F3" w:rsidRDefault="009860F3" w:rsidP="009860F3">
            <w:r w:rsidRPr="009860F3">
              <w:t>Large HDL-P and LDL-P increased, while small LDL-P and all VLDL subfractions and VLDL-P size decreased with training. These findings were not captured with traditional lipid profiling (i.e., TG and LDL-C did not change in total sample).</w:t>
            </w:r>
          </w:p>
        </w:tc>
        <w:tc>
          <w:tcPr>
            <w:tcW w:w="2700" w:type="dxa"/>
            <w:gridSpan w:val="2"/>
            <w:tcBorders>
              <w:top w:val="nil"/>
              <w:left w:val="nil"/>
              <w:bottom w:val="double" w:sz="4" w:space="0" w:color="auto"/>
              <w:right w:val="nil"/>
            </w:tcBorders>
            <w:shd w:val="clear" w:color="auto" w:fill="auto"/>
            <w:noWrap/>
            <w:hideMark/>
          </w:tcPr>
          <w:p w14:paraId="231578C9" w14:textId="77777777" w:rsidR="009860F3" w:rsidRPr="009860F3" w:rsidRDefault="009860F3" w:rsidP="009860F3">
            <w:r w:rsidRPr="009860F3">
              <w:t>Sarzynski, Burton et al. 2015</w:t>
            </w:r>
          </w:p>
        </w:tc>
      </w:tr>
      <w:tr w:rsidR="009860F3" w:rsidRPr="009860F3" w14:paraId="23B2482D" w14:textId="77777777" w:rsidTr="00B10B02">
        <w:trPr>
          <w:trHeight w:val="285"/>
        </w:trPr>
        <w:tc>
          <w:tcPr>
            <w:tcW w:w="14130" w:type="dxa"/>
            <w:gridSpan w:val="5"/>
            <w:tcBorders>
              <w:top w:val="nil"/>
              <w:left w:val="nil"/>
              <w:right w:val="nil"/>
            </w:tcBorders>
            <w:shd w:val="clear" w:color="auto" w:fill="auto"/>
            <w:noWrap/>
            <w:hideMark/>
          </w:tcPr>
          <w:p w14:paraId="46BCC8BA" w14:textId="77777777" w:rsidR="009860F3" w:rsidRPr="009860F3" w:rsidRDefault="009860F3" w:rsidP="009860F3">
            <w:pPr>
              <w:rPr>
                <w:b/>
                <w:bCs/>
              </w:rPr>
            </w:pPr>
            <w:r w:rsidRPr="009860F3">
              <w:rPr>
                <w:b/>
                <w:bCs/>
              </w:rPr>
              <w:t>Genome-wide linkage studies of baseline and response phenotypes</w:t>
            </w:r>
          </w:p>
          <w:p w14:paraId="536D5066" w14:textId="77777777" w:rsidR="009860F3" w:rsidRPr="009860F3" w:rsidRDefault="009860F3" w:rsidP="009860F3">
            <w:r w:rsidRPr="009860F3">
              <w:rPr>
                <w:b/>
                <w:bCs/>
              </w:rPr>
              <w:t xml:space="preserve"> </w:t>
            </w:r>
          </w:p>
        </w:tc>
      </w:tr>
      <w:tr w:rsidR="009860F3" w:rsidRPr="009860F3" w14:paraId="54CD7870" w14:textId="77777777" w:rsidTr="00B10B02">
        <w:trPr>
          <w:trHeight w:val="855"/>
        </w:trPr>
        <w:tc>
          <w:tcPr>
            <w:tcW w:w="3420" w:type="dxa"/>
            <w:tcBorders>
              <w:top w:val="nil"/>
              <w:left w:val="nil"/>
              <w:bottom w:val="dashed" w:sz="4" w:space="0" w:color="auto"/>
              <w:right w:val="nil"/>
            </w:tcBorders>
            <w:shd w:val="clear" w:color="auto" w:fill="auto"/>
            <w:noWrap/>
            <w:hideMark/>
          </w:tcPr>
          <w:p w14:paraId="0987A823" w14:textId="77777777" w:rsidR="009860F3" w:rsidRPr="009860F3" w:rsidRDefault="009860F3" w:rsidP="009860F3">
            <w:r w:rsidRPr="009860F3">
              <w:t>Identification of QTLs for baseline VO</w:t>
            </w:r>
            <w:r w:rsidRPr="009860F3">
              <w:rPr>
                <w:vertAlign w:val="subscript"/>
              </w:rPr>
              <w:t>2</w:t>
            </w:r>
            <w:r w:rsidRPr="009860F3">
              <w:t>max and for VO</w:t>
            </w:r>
            <w:r w:rsidRPr="009860F3">
              <w:rPr>
                <w:vertAlign w:val="subscript"/>
              </w:rPr>
              <w:t>2</w:t>
            </w:r>
            <w:r w:rsidRPr="009860F3">
              <w:t xml:space="preserve">max response </w:t>
            </w:r>
          </w:p>
        </w:tc>
        <w:tc>
          <w:tcPr>
            <w:tcW w:w="1890" w:type="dxa"/>
            <w:tcBorders>
              <w:top w:val="nil"/>
              <w:left w:val="nil"/>
              <w:bottom w:val="dashed" w:sz="4" w:space="0" w:color="auto"/>
              <w:right w:val="nil"/>
            </w:tcBorders>
            <w:shd w:val="clear" w:color="auto" w:fill="auto"/>
            <w:noWrap/>
            <w:hideMark/>
          </w:tcPr>
          <w:p w14:paraId="344A0CA0" w14:textId="77777777" w:rsidR="009860F3" w:rsidRPr="009860F3" w:rsidRDefault="009860F3" w:rsidP="009860F3">
            <w:r w:rsidRPr="009860F3">
              <w:t>VO</w:t>
            </w:r>
            <w:r w:rsidRPr="009860F3">
              <w:rPr>
                <w:vertAlign w:val="subscript"/>
              </w:rPr>
              <w:t>2</w:t>
            </w:r>
            <w:r w:rsidRPr="009860F3">
              <w:t>max</w:t>
            </w:r>
          </w:p>
        </w:tc>
        <w:tc>
          <w:tcPr>
            <w:tcW w:w="6120" w:type="dxa"/>
            <w:tcBorders>
              <w:top w:val="nil"/>
              <w:left w:val="nil"/>
              <w:bottom w:val="dashed" w:sz="4" w:space="0" w:color="auto"/>
              <w:right w:val="nil"/>
            </w:tcBorders>
            <w:shd w:val="clear" w:color="auto" w:fill="auto"/>
            <w:noWrap/>
            <w:hideMark/>
          </w:tcPr>
          <w:p w14:paraId="17D31BA9" w14:textId="77777777" w:rsidR="009860F3" w:rsidRPr="009860F3" w:rsidRDefault="009860F3" w:rsidP="009860F3">
            <w:r w:rsidRPr="009860F3">
              <w:t>QTLs on 4q, 8q, 11p, and 14q reported for baseline VO</w:t>
            </w:r>
            <w:r w:rsidRPr="009860F3">
              <w:rPr>
                <w:vertAlign w:val="subscript"/>
              </w:rPr>
              <w:t>2</w:t>
            </w:r>
            <w:r w:rsidRPr="009860F3">
              <w:t>max. QTLs on 1p, 2p, 4q, 6p, and 11p identified for change in VO</w:t>
            </w:r>
            <w:r w:rsidRPr="009860F3">
              <w:rPr>
                <w:vertAlign w:val="subscript"/>
              </w:rPr>
              <w:t>2</w:t>
            </w:r>
            <w:r w:rsidRPr="009860F3">
              <w:t>max.</w:t>
            </w:r>
          </w:p>
        </w:tc>
        <w:tc>
          <w:tcPr>
            <w:tcW w:w="2700" w:type="dxa"/>
            <w:gridSpan w:val="2"/>
            <w:tcBorders>
              <w:top w:val="nil"/>
              <w:left w:val="nil"/>
              <w:bottom w:val="dashed" w:sz="4" w:space="0" w:color="auto"/>
              <w:right w:val="nil"/>
            </w:tcBorders>
            <w:shd w:val="clear" w:color="auto" w:fill="auto"/>
            <w:noWrap/>
            <w:hideMark/>
          </w:tcPr>
          <w:p w14:paraId="18D8EB74" w14:textId="77777777" w:rsidR="009860F3" w:rsidRPr="009860F3" w:rsidRDefault="009860F3" w:rsidP="009860F3">
            <w:r w:rsidRPr="009860F3">
              <w:t>Bouchard, Rankinen et al. 2000</w:t>
            </w:r>
          </w:p>
        </w:tc>
      </w:tr>
      <w:tr w:rsidR="009860F3" w:rsidRPr="00807A75" w14:paraId="65DC138D" w14:textId="77777777" w:rsidTr="00B10B02">
        <w:trPr>
          <w:trHeight w:val="674"/>
        </w:trPr>
        <w:tc>
          <w:tcPr>
            <w:tcW w:w="3420" w:type="dxa"/>
            <w:tcBorders>
              <w:top w:val="dashed" w:sz="4" w:space="0" w:color="auto"/>
              <w:left w:val="nil"/>
              <w:bottom w:val="double" w:sz="4" w:space="0" w:color="auto"/>
              <w:right w:val="nil"/>
            </w:tcBorders>
            <w:shd w:val="clear" w:color="auto" w:fill="auto"/>
            <w:noWrap/>
            <w:hideMark/>
          </w:tcPr>
          <w:p w14:paraId="69923C79" w14:textId="77777777" w:rsidR="009860F3" w:rsidRPr="009860F3" w:rsidRDefault="009860F3" w:rsidP="009860F3">
            <w:r w:rsidRPr="009860F3">
              <w:t>Dense mapping of four QTLs identified strong candidate genes for submaximal exercise capacity and hemodynamic responses to training</w:t>
            </w:r>
          </w:p>
        </w:tc>
        <w:tc>
          <w:tcPr>
            <w:tcW w:w="1890" w:type="dxa"/>
            <w:tcBorders>
              <w:top w:val="dashed" w:sz="4" w:space="0" w:color="auto"/>
              <w:left w:val="nil"/>
              <w:bottom w:val="double" w:sz="4" w:space="0" w:color="auto"/>
              <w:right w:val="nil"/>
            </w:tcBorders>
            <w:shd w:val="clear" w:color="auto" w:fill="auto"/>
            <w:noWrap/>
            <w:hideMark/>
          </w:tcPr>
          <w:p w14:paraId="2A26DB5B" w14:textId="77777777" w:rsidR="009860F3" w:rsidRPr="009860F3" w:rsidRDefault="009860F3" w:rsidP="009860F3">
            <w:r w:rsidRPr="009860F3">
              <w:t>SV50, HR50</w:t>
            </w:r>
          </w:p>
        </w:tc>
        <w:tc>
          <w:tcPr>
            <w:tcW w:w="6120" w:type="dxa"/>
            <w:tcBorders>
              <w:top w:val="dashed" w:sz="4" w:space="0" w:color="auto"/>
              <w:left w:val="nil"/>
              <w:bottom w:val="double" w:sz="4" w:space="0" w:color="auto"/>
              <w:right w:val="nil"/>
            </w:tcBorders>
            <w:shd w:val="clear" w:color="auto" w:fill="auto"/>
            <w:noWrap/>
            <w:hideMark/>
          </w:tcPr>
          <w:p w14:paraId="2FB9ED07" w14:textId="77777777" w:rsidR="009860F3" w:rsidRPr="009860F3" w:rsidRDefault="009860F3" w:rsidP="009860F3">
            <w:r w:rsidRPr="009860F3">
              <w:t xml:space="preserve">Titin, kinesin family member 5B, cAMP responsive element binding protein 1, </w:t>
            </w:r>
            <w:r w:rsidRPr="009860F3">
              <w:rPr>
                <w:i/>
              </w:rPr>
              <w:t>MIPEP</w:t>
            </w:r>
            <w:r w:rsidRPr="009860F3">
              <w:t xml:space="preserve"> and </w:t>
            </w:r>
            <w:r w:rsidRPr="009860F3">
              <w:rPr>
                <w:i/>
              </w:rPr>
              <w:t xml:space="preserve">SGCG </w:t>
            </w:r>
            <w:r w:rsidRPr="009860F3">
              <w:t>genes identified as strong candidates for changes in submaximal SV and HR and submaximal exercise capacity.</w:t>
            </w:r>
          </w:p>
        </w:tc>
        <w:tc>
          <w:tcPr>
            <w:tcW w:w="2700" w:type="dxa"/>
            <w:gridSpan w:val="2"/>
            <w:tcBorders>
              <w:top w:val="dashed" w:sz="4" w:space="0" w:color="auto"/>
              <w:left w:val="nil"/>
              <w:bottom w:val="double" w:sz="4" w:space="0" w:color="auto"/>
              <w:right w:val="nil"/>
            </w:tcBorders>
            <w:shd w:val="clear" w:color="auto" w:fill="auto"/>
            <w:noWrap/>
            <w:hideMark/>
          </w:tcPr>
          <w:p w14:paraId="0AC6FD83" w14:textId="77777777" w:rsidR="009860F3" w:rsidRPr="009860F3" w:rsidRDefault="009860F3" w:rsidP="009860F3">
            <w:pPr>
              <w:rPr>
                <w:lang w:val="fr-CA"/>
              </w:rPr>
            </w:pPr>
            <w:r w:rsidRPr="009860F3">
              <w:rPr>
                <w:lang w:val="fr-CA"/>
              </w:rPr>
              <w:t xml:space="preserve">Rankinen, Rice et al. 2003; </w:t>
            </w:r>
            <w:proofErr w:type="spellStart"/>
            <w:r w:rsidRPr="009860F3">
              <w:rPr>
                <w:lang w:val="fr-CA"/>
              </w:rPr>
              <w:t>Argyropoulos</w:t>
            </w:r>
            <w:proofErr w:type="spellEnd"/>
            <w:r w:rsidRPr="009860F3">
              <w:rPr>
                <w:lang w:val="fr-CA"/>
              </w:rPr>
              <w:t xml:space="preserve">, </w:t>
            </w:r>
            <w:proofErr w:type="spellStart"/>
            <w:r w:rsidRPr="009860F3">
              <w:rPr>
                <w:lang w:val="fr-CA"/>
              </w:rPr>
              <w:t>Stutz</w:t>
            </w:r>
            <w:proofErr w:type="spellEnd"/>
            <w:r w:rsidRPr="009860F3">
              <w:rPr>
                <w:lang w:val="fr-CA"/>
              </w:rPr>
              <w:t xml:space="preserve"> et al. 2009; Rankinen, </w:t>
            </w:r>
            <w:proofErr w:type="spellStart"/>
            <w:r w:rsidRPr="009860F3">
              <w:rPr>
                <w:lang w:val="fr-CA"/>
              </w:rPr>
              <w:t>Argyropoulos</w:t>
            </w:r>
            <w:proofErr w:type="spellEnd"/>
            <w:r w:rsidRPr="009860F3">
              <w:rPr>
                <w:lang w:val="fr-CA"/>
              </w:rPr>
              <w:t xml:space="preserve"> et al. 2010; Rice, Sarzynski et al, 2012</w:t>
            </w:r>
          </w:p>
          <w:p w14:paraId="0EF84783" w14:textId="77777777" w:rsidR="009860F3" w:rsidRPr="009860F3" w:rsidRDefault="009860F3" w:rsidP="009860F3">
            <w:pPr>
              <w:rPr>
                <w:lang w:val="fr-CA"/>
              </w:rPr>
            </w:pPr>
          </w:p>
        </w:tc>
      </w:tr>
      <w:tr w:rsidR="009860F3" w:rsidRPr="009860F3" w14:paraId="338A7B5E" w14:textId="77777777" w:rsidTr="00B10B02">
        <w:trPr>
          <w:trHeight w:val="285"/>
        </w:trPr>
        <w:tc>
          <w:tcPr>
            <w:tcW w:w="5310" w:type="dxa"/>
            <w:gridSpan w:val="2"/>
            <w:tcBorders>
              <w:top w:val="double" w:sz="4" w:space="0" w:color="auto"/>
              <w:left w:val="nil"/>
              <w:bottom w:val="nil"/>
              <w:right w:val="nil"/>
            </w:tcBorders>
            <w:shd w:val="clear" w:color="auto" w:fill="auto"/>
            <w:noWrap/>
            <w:hideMark/>
          </w:tcPr>
          <w:p w14:paraId="46E6F372" w14:textId="77777777" w:rsidR="009860F3" w:rsidRPr="009860F3" w:rsidRDefault="009860F3" w:rsidP="009860F3">
            <w:pPr>
              <w:rPr>
                <w:b/>
                <w:bCs/>
              </w:rPr>
            </w:pPr>
            <w:r w:rsidRPr="009860F3">
              <w:rPr>
                <w:b/>
                <w:bCs/>
              </w:rPr>
              <w:t>First GWAS of exercise response traits</w:t>
            </w:r>
          </w:p>
          <w:p w14:paraId="2516337C" w14:textId="77777777" w:rsidR="009860F3" w:rsidRPr="009860F3" w:rsidRDefault="009860F3" w:rsidP="009860F3">
            <w:pPr>
              <w:rPr>
                <w:b/>
                <w:bCs/>
              </w:rPr>
            </w:pPr>
          </w:p>
        </w:tc>
        <w:tc>
          <w:tcPr>
            <w:tcW w:w="6120" w:type="dxa"/>
            <w:tcBorders>
              <w:top w:val="double" w:sz="4" w:space="0" w:color="auto"/>
              <w:left w:val="nil"/>
              <w:bottom w:val="nil"/>
              <w:right w:val="nil"/>
            </w:tcBorders>
            <w:shd w:val="clear" w:color="auto" w:fill="auto"/>
            <w:noWrap/>
            <w:hideMark/>
          </w:tcPr>
          <w:p w14:paraId="5FC1D212" w14:textId="77777777" w:rsidR="009860F3" w:rsidRPr="009860F3" w:rsidRDefault="009860F3" w:rsidP="009860F3"/>
        </w:tc>
        <w:tc>
          <w:tcPr>
            <w:tcW w:w="2700" w:type="dxa"/>
            <w:gridSpan w:val="2"/>
            <w:tcBorders>
              <w:top w:val="double" w:sz="4" w:space="0" w:color="auto"/>
              <w:left w:val="nil"/>
              <w:bottom w:val="nil"/>
              <w:right w:val="nil"/>
            </w:tcBorders>
            <w:shd w:val="clear" w:color="auto" w:fill="auto"/>
            <w:noWrap/>
            <w:hideMark/>
          </w:tcPr>
          <w:p w14:paraId="29A4D4F5" w14:textId="77777777" w:rsidR="009860F3" w:rsidRPr="009860F3" w:rsidRDefault="009860F3" w:rsidP="009860F3"/>
        </w:tc>
      </w:tr>
      <w:tr w:rsidR="009860F3" w:rsidRPr="009860F3" w14:paraId="49F3DCF9" w14:textId="77777777" w:rsidTr="00B10B02">
        <w:trPr>
          <w:trHeight w:val="549"/>
        </w:trPr>
        <w:tc>
          <w:tcPr>
            <w:tcW w:w="3420" w:type="dxa"/>
            <w:tcBorders>
              <w:top w:val="nil"/>
              <w:left w:val="nil"/>
              <w:right w:val="nil"/>
            </w:tcBorders>
            <w:shd w:val="clear" w:color="auto" w:fill="auto"/>
            <w:noWrap/>
            <w:hideMark/>
          </w:tcPr>
          <w:p w14:paraId="62ABA01C" w14:textId="77777777" w:rsidR="009860F3" w:rsidRPr="009860F3" w:rsidRDefault="009860F3" w:rsidP="009860F3">
            <w:r w:rsidRPr="009860F3">
              <w:t>GWAS of VO</w:t>
            </w:r>
            <w:r w:rsidRPr="009860F3">
              <w:rPr>
                <w:vertAlign w:val="subscript"/>
              </w:rPr>
              <w:t>2</w:t>
            </w:r>
            <w:r w:rsidRPr="009860F3">
              <w:t>max response to endurance training</w:t>
            </w:r>
          </w:p>
        </w:tc>
        <w:tc>
          <w:tcPr>
            <w:tcW w:w="1890" w:type="dxa"/>
            <w:tcBorders>
              <w:top w:val="nil"/>
              <w:left w:val="nil"/>
              <w:right w:val="nil"/>
            </w:tcBorders>
            <w:shd w:val="clear" w:color="auto" w:fill="auto"/>
            <w:noWrap/>
            <w:hideMark/>
          </w:tcPr>
          <w:p w14:paraId="6D2A3FA4" w14:textId="77777777" w:rsidR="009860F3" w:rsidRPr="009860F3" w:rsidRDefault="009860F3" w:rsidP="009860F3">
            <w:r w:rsidRPr="009860F3">
              <w:t>VO</w:t>
            </w:r>
            <w:r w:rsidRPr="009860F3">
              <w:rPr>
                <w:vertAlign w:val="subscript"/>
              </w:rPr>
              <w:t>2</w:t>
            </w:r>
            <w:r w:rsidRPr="009860F3">
              <w:t>max</w:t>
            </w:r>
          </w:p>
        </w:tc>
        <w:tc>
          <w:tcPr>
            <w:tcW w:w="6120" w:type="dxa"/>
            <w:tcBorders>
              <w:top w:val="nil"/>
              <w:left w:val="nil"/>
              <w:right w:val="nil"/>
            </w:tcBorders>
            <w:shd w:val="clear" w:color="auto" w:fill="auto"/>
            <w:hideMark/>
          </w:tcPr>
          <w:p w14:paraId="08D85EE2" w14:textId="77777777" w:rsidR="009860F3" w:rsidRPr="009860F3" w:rsidRDefault="009860F3" w:rsidP="009860F3">
            <w:r w:rsidRPr="009860F3">
              <w:t>39 SNPs were associated at p&lt;1.5x10-4, with a panel of 21 SNPs accounting for 49% of the variance in VO</w:t>
            </w:r>
            <w:r w:rsidRPr="009860F3">
              <w:rPr>
                <w:vertAlign w:val="subscript"/>
              </w:rPr>
              <w:t>2</w:t>
            </w:r>
            <w:r w:rsidRPr="009860F3">
              <w:t xml:space="preserve">max trainability. </w:t>
            </w:r>
          </w:p>
          <w:p w14:paraId="6FBCB195" w14:textId="77777777" w:rsidR="009860F3" w:rsidRPr="009860F3" w:rsidRDefault="009860F3" w:rsidP="009860F3"/>
        </w:tc>
        <w:tc>
          <w:tcPr>
            <w:tcW w:w="2700" w:type="dxa"/>
            <w:gridSpan w:val="2"/>
            <w:tcBorders>
              <w:top w:val="nil"/>
              <w:left w:val="nil"/>
              <w:right w:val="nil"/>
            </w:tcBorders>
            <w:shd w:val="clear" w:color="auto" w:fill="auto"/>
            <w:noWrap/>
            <w:hideMark/>
          </w:tcPr>
          <w:p w14:paraId="34F584C9" w14:textId="77777777" w:rsidR="009860F3" w:rsidRPr="009860F3" w:rsidRDefault="009860F3" w:rsidP="009860F3">
            <w:r w:rsidRPr="009860F3">
              <w:lastRenderedPageBreak/>
              <w:t>Bouchard, Sarzynski et al. 2011</w:t>
            </w:r>
          </w:p>
        </w:tc>
      </w:tr>
      <w:tr w:rsidR="009860F3" w:rsidRPr="009860F3" w14:paraId="0634C8FD" w14:textId="77777777" w:rsidTr="00B10B02">
        <w:trPr>
          <w:trHeight w:val="333"/>
        </w:trPr>
        <w:tc>
          <w:tcPr>
            <w:tcW w:w="3420" w:type="dxa"/>
            <w:tcBorders>
              <w:top w:val="nil"/>
              <w:left w:val="nil"/>
              <w:bottom w:val="double" w:sz="4" w:space="0" w:color="auto"/>
              <w:right w:val="nil"/>
            </w:tcBorders>
            <w:shd w:val="clear" w:color="auto" w:fill="auto"/>
            <w:noWrap/>
            <w:hideMark/>
          </w:tcPr>
          <w:p w14:paraId="2B712103" w14:textId="77777777" w:rsidR="009860F3" w:rsidRPr="009860F3" w:rsidRDefault="009860F3" w:rsidP="009860F3">
            <w:r w:rsidRPr="009860F3">
              <w:t>GWAS of submaximal HR response to training</w:t>
            </w:r>
          </w:p>
        </w:tc>
        <w:tc>
          <w:tcPr>
            <w:tcW w:w="1890" w:type="dxa"/>
            <w:tcBorders>
              <w:top w:val="nil"/>
              <w:left w:val="nil"/>
              <w:bottom w:val="double" w:sz="4" w:space="0" w:color="auto"/>
              <w:right w:val="nil"/>
            </w:tcBorders>
            <w:shd w:val="clear" w:color="auto" w:fill="auto"/>
            <w:noWrap/>
            <w:hideMark/>
          </w:tcPr>
          <w:p w14:paraId="2E0C40CA" w14:textId="77777777" w:rsidR="009860F3" w:rsidRPr="009860F3" w:rsidRDefault="009860F3" w:rsidP="009860F3">
            <w:r w:rsidRPr="009860F3">
              <w:t>HR50</w:t>
            </w:r>
          </w:p>
        </w:tc>
        <w:tc>
          <w:tcPr>
            <w:tcW w:w="6120" w:type="dxa"/>
            <w:tcBorders>
              <w:top w:val="nil"/>
              <w:left w:val="nil"/>
              <w:bottom w:val="double" w:sz="4" w:space="0" w:color="auto"/>
              <w:right w:val="nil"/>
            </w:tcBorders>
            <w:shd w:val="clear" w:color="auto" w:fill="auto"/>
            <w:noWrap/>
            <w:hideMark/>
          </w:tcPr>
          <w:p w14:paraId="271E50EA" w14:textId="77777777" w:rsidR="009860F3" w:rsidRPr="009860F3" w:rsidRDefault="009860F3" w:rsidP="009860F3">
            <w:r w:rsidRPr="009860F3">
              <w:t>40 SNPs associated at p&lt;9.9x10-5, with top hit 8x10-7. Nine SNPs accounted for the genetic variance of the submaximal exercise HR response to training.</w:t>
            </w:r>
          </w:p>
          <w:p w14:paraId="5112D814" w14:textId="77777777" w:rsidR="009860F3" w:rsidRPr="009860F3" w:rsidRDefault="009860F3" w:rsidP="009860F3"/>
        </w:tc>
        <w:tc>
          <w:tcPr>
            <w:tcW w:w="2700" w:type="dxa"/>
            <w:gridSpan w:val="2"/>
            <w:tcBorders>
              <w:top w:val="nil"/>
              <w:left w:val="nil"/>
              <w:bottom w:val="double" w:sz="4" w:space="0" w:color="auto"/>
              <w:right w:val="nil"/>
            </w:tcBorders>
            <w:shd w:val="clear" w:color="auto" w:fill="auto"/>
            <w:noWrap/>
            <w:hideMark/>
          </w:tcPr>
          <w:p w14:paraId="5AF86482" w14:textId="77777777" w:rsidR="009860F3" w:rsidRPr="009860F3" w:rsidRDefault="009860F3" w:rsidP="009860F3">
            <w:r w:rsidRPr="009860F3">
              <w:t>Rankinen, Sung et al. 2012</w:t>
            </w:r>
          </w:p>
        </w:tc>
      </w:tr>
      <w:tr w:rsidR="009860F3" w:rsidRPr="009860F3" w14:paraId="3B4A4750" w14:textId="77777777" w:rsidTr="00B10B02">
        <w:trPr>
          <w:trHeight w:val="321"/>
        </w:trPr>
        <w:tc>
          <w:tcPr>
            <w:tcW w:w="14130" w:type="dxa"/>
            <w:gridSpan w:val="5"/>
            <w:tcBorders>
              <w:top w:val="double" w:sz="4" w:space="0" w:color="auto"/>
              <w:left w:val="nil"/>
              <w:right w:val="nil"/>
            </w:tcBorders>
            <w:shd w:val="clear" w:color="auto" w:fill="auto"/>
            <w:noWrap/>
            <w:hideMark/>
          </w:tcPr>
          <w:p w14:paraId="320F4BC2" w14:textId="77777777" w:rsidR="009860F3" w:rsidRPr="009860F3" w:rsidRDefault="009860F3" w:rsidP="009860F3">
            <w:pPr>
              <w:rPr>
                <w:b/>
                <w:bCs/>
              </w:rPr>
            </w:pPr>
            <w:r w:rsidRPr="009860F3">
              <w:rPr>
                <w:b/>
                <w:bCs/>
              </w:rPr>
              <w:t>Molecular signatures of exercise response derived from integrative analyses of genomic and transcriptomic profiles</w:t>
            </w:r>
          </w:p>
          <w:p w14:paraId="0FDA0DA6" w14:textId="77777777" w:rsidR="009860F3" w:rsidRPr="009860F3" w:rsidRDefault="009860F3" w:rsidP="009860F3"/>
        </w:tc>
      </w:tr>
      <w:tr w:rsidR="009860F3" w:rsidRPr="009860F3" w14:paraId="6DBAA664" w14:textId="77777777" w:rsidTr="00B10B02">
        <w:trPr>
          <w:trHeight w:val="1008"/>
        </w:trPr>
        <w:tc>
          <w:tcPr>
            <w:tcW w:w="3420" w:type="dxa"/>
            <w:tcBorders>
              <w:top w:val="nil"/>
              <w:left w:val="nil"/>
              <w:bottom w:val="dashed" w:sz="4" w:space="0" w:color="auto"/>
              <w:right w:val="nil"/>
            </w:tcBorders>
            <w:shd w:val="clear" w:color="auto" w:fill="auto"/>
            <w:noWrap/>
            <w:hideMark/>
          </w:tcPr>
          <w:p w14:paraId="2B9E8FC5" w14:textId="77777777" w:rsidR="009860F3" w:rsidRPr="009860F3" w:rsidRDefault="009860F3" w:rsidP="009860F3">
            <w:r w:rsidRPr="009860F3">
              <w:t>Muscle gene expression and SNP signatures predict VO</w:t>
            </w:r>
            <w:r w:rsidRPr="009860F3">
              <w:rPr>
                <w:vertAlign w:val="subscript"/>
              </w:rPr>
              <w:t>2</w:t>
            </w:r>
            <w:r w:rsidRPr="009860F3">
              <w:t>max response to endurance training</w:t>
            </w:r>
          </w:p>
        </w:tc>
        <w:tc>
          <w:tcPr>
            <w:tcW w:w="1890" w:type="dxa"/>
            <w:tcBorders>
              <w:top w:val="nil"/>
              <w:left w:val="nil"/>
              <w:bottom w:val="dashed" w:sz="4" w:space="0" w:color="auto"/>
              <w:right w:val="nil"/>
            </w:tcBorders>
            <w:shd w:val="clear" w:color="auto" w:fill="auto"/>
          </w:tcPr>
          <w:p w14:paraId="7CFE4BE2" w14:textId="77777777" w:rsidR="009860F3" w:rsidRPr="009860F3" w:rsidRDefault="009860F3" w:rsidP="009860F3">
            <w:r w:rsidRPr="009860F3">
              <w:t>VO</w:t>
            </w:r>
            <w:r w:rsidRPr="009860F3">
              <w:rPr>
                <w:vertAlign w:val="subscript"/>
              </w:rPr>
              <w:t>2</w:t>
            </w:r>
            <w:r w:rsidRPr="009860F3">
              <w:t>max</w:t>
            </w:r>
          </w:p>
        </w:tc>
        <w:tc>
          <w:tcPr>
            <w:tcW w:w="6210" w:type="dxa"/>
            <w:gridSpan w:val="2"/>
            <w:tcBorders>
              <w:top w:val="nil"/>
              <w:left w:val="nil"/>
              <w:bottom w:val="dashed" w:sz="4" w:space="0" w:color="auto"/>
              <w:right w:val="nil"/>
            </w:tcBorders>
            <w:shd w:val="clear" w:color="auto" w:fill="auto"/>
            <w:noWrap/>
            <w:hideMark/>
          </w:tcPr>
          <w:p w14:paraId="42B21CB4" w14:textId="77777777" w:rsidR="009860F3" w:rsidRPr="009860F3" w:rsidRDefault="009860F3" w:rsidP="009860F3">
            <w:r w:rsidRPr="009860F3">
              <w:t>Genome-wide baseline muscle gene expression and validation identified a 29-RNA signature that predicted changes in VO</w:t>
            </w:r>
            <w:r w:rsidRPr="009860F3">
              <w:rPr>
                <w:vertAlign w:val="subscript"/>
              </w:rPr>
              <w:t>2</w:t>
            </w:r>
            <w:r w:rsidRPr="009860F3">
              <w:t xml:space="preserve">max. Candidate genes from this predictor and the literature led to </w:t>
            </w:r>
            <w:proofErr w:type="gramStart"/>
            <w:r w:rsidRPr="009860F3">
              <w:t>a</w:t>
            </w:r>
            <w:proofErr w:type="gramEnd"/>
            <w:r w:rsidRPr="009860F3">
              <w:t xml:space="preserve"> 11 SNP signature that explained 23% of the variance in VO</w:t>
            </w:r>
            <w:r w:rsidRPr="009860F3">
              <w:rPr>
                <w:vertAlign w:val="subscript"/>
              </w:rPr>
              <w:t>2</w:t>
            </w:r>
            <w:r w:rsidRPr="009860F3">
              <w:t>max trainability.</w:t>
            </w:r>
          </w:p>
          <w:p w14:paraId="46040C1E" w14:textId="77777777" w:rsidR="009860F3" w:rsidRPr="009860F3" w:rsidRDefault="009860F3" w:rsidP="009860F3"/>
        </w:tc>
        <w:tc>
          <w:tcPr>
            <w:tcW w:w="2610" w:type="dxa"/>
            <w:tcBorders>
              <w:top w:val="nil"/>
              <w:left w:val="nil"/>
              <w:bottom w:val="dashed" w:sz="4" w:space="0" w:color="auto"/>
              <w:right w:val="nil"/>
            </w:tcBorders>
            <w:shd w:val="clear" w:color="auto" w:fill="auto"/>
          </w:tcPr>
          <w:p w14:paraId="2451B5DD" w14:textId="77777777" w:rsidR="009860F3" w:rsidRPr="009860F3" w:rsidRDefault="009860F3" w:rsidP="009860F3">
            <w:r w:rsidRPr="009860F3">
              <w:t>Timmons, Knudsen et al. 2010</w:t>
            </w:r>
          </w:p>
        </w:tc>
      </w:tr>
      <w:tr w:rsidR="009860F3" w:rsidRPr="009860F3" w14:paraId="14D575C2" w14:textId="77777777" w:rsidTr="00B10B02">
        <w:trPr>
          <w:trHeight w:val="1242"/>
        </w:trPr>
        <w:tc>
          <w:tcPr>
            <w:tcW w:w="3420" w:type="dxa"/>
            <w:tcBorders>
              <w:top w:val="dashed" w:sz="4" w:space="0" w:color="auto"/>
              <w:left w:val="nil"/>
              <w:bottom w:val="dashed" w:sz="4" w:space="0" w:color="auto"/>
              <w:right w:val="nil"/>
            </w:tcBorders>
            <w:shd w:val="clear" w:color="auto" w:fill="auto"/>
            <w:noWrap/>
            <w:hideMark/>
          </w:tcPr>
          <w:p w14:paraId="2C8E32A1" w14:textId="77777777" w:rsidR="009860F3" w:rsidRPr="009860F3" w:rsidRDefault="009860F3" w:rsidP="009860F3">
            <w:r w:rsidRPr="009860F3">
              <w:t>Combined genome-wide and transcriptome-wide analysis identifies SNPs associated with TG response to training</w:t>
            </w:r>
          </w:p>
        </w:tc>
        <w:tc>
          <w:tcPr>
            <w:tcW w:w="1890" w:type="dxa"/>
            <w:tcBorders>
              <w:top w:val="dashed" w:sz="4" w:space="0" w:color="auto"/>
              <w:left w:val="nil"/>
              <w:bottom w:val="dashed" w:sz="4" w:space="0" w:color="auto"/>
              <w:right w:val="nil"/>
            </w:tcBorders>
            <w:shd w:val="clear" w:color="auto" w:fill="auto"/>
            <w:noWrap/>
            <w:hideMark/>
          </w:tcPr>
          <w:p w14:paraId="66391E55" w14:textId="77777777" w:rsidR="009860F3" w:rsidRPr="009860F3" w:rsidRDefault="009860F3" w:rsidP="009860F3">
            <w:r w:rsidRPr="009860F3">
              <w:t>TG</w:t>
            </w:r>
          </w:p>
        </w:tc>
        <w:tc>
          <w:tcPr>
            <w:tcW w:w="6120" w:type="dxa"/>
            <w:tcBorders>
              <w:top w:val="dashed" w:sz="4" w:space="0" w:color="auto"/>
              <w:left w:val="nil"/>
              <w:bottom w:val="dashed" w:sz="4" w:space="0" w:color="auto"/>
              <w:right w:val="nil"/>
            </w:tcBorders>
            <w:shd w:val="clear" w:color="auto" w:fill="auto"/>
            <w:noWrap/>
            <w:hideMark/>
          </w:tcPr>
          <w:p w14:paraId="384D8689" w14:textId="77777777" w:rsidR="009860F3" w:rsidRPr="009860F3" w:rsidRDefault="009860F3" w:rsidP="009860F3">
            <w:r w:rsidRPr="009860F3">
              <w:t>GWAS identified 4 SNPs accounting for the genetic variance of TG response, while molecular signature based on the baseline expression of 11 genes predicted 27% of TG changes in response to training. An 8-SNP score comprised of 4 SNPs each from transcriptomics and GWAS was the strongest predictor of TG training response.</w:t>
            </w:r>
          </w:p>
          <w:p w14:paraId="112EFF94" w14:textId="77777777" w:rsidR="009860F3" w:rsidRPr="009860F3" w:rsidRDefault="009860F3" w:rsidP="009860F3"/>
        </w:tc>
        <w:tc>
          <w:tcPr>
            <w:tcW w:w="2700" w:type="dxa"/>
            <w:gridSpan w:val="2"/>
            <w:tcBorders>
              <w:top w:val="dashed" w:sz="4" w:space="0" w:color="auto"/>
              <w:left w:val="nil"/>
              <w:bottom w:val="dashed" w:sz="4" w:space="0" w:color="auto"/>
              <w:right w:val="nil"/>
            </w:tcBorders>
            <w:shd w:val="clear" w:color="auto" w:fill="auto"/>
            <w:noWrap/>
            <w:hideMark/>
          </w:tcPr>
          <w:p w14:paraId="530F8105" w14:textId="77777777" w:rsidR="009860F3" w:rsidRPr="009860F3" w:rsidRDefault="009860F3" w:rsidP="009860F3">
            <w:r w:rsidRPr="009860F3">
              <w:t>Sarzynski, Davidsen et al. 2015</w:t>
            </w:r>
          </w:p>
        </w:tc>
      </w:tr>
      <w:tr w:rsidR="009860F3" w:rsidRPr="009860F3" w14:paraId="65631CCC" w14:textId="77777777" w:rsidTr="00B10B02">
        <w:trPr>
          <w:trHeight w:val="1530"/>
        </w:trPr>
        <w:tc>
          <w:tcPr>
            <w:tcW w:w="3420" w:type="dxa"/>
            <w:tcBorders>
              <w:top w:val="dashed" w:sz="4" w:space="0" w:color="auto"/>
              <w:left w:val="nil"/>
              <w:bottom w:val="double" w:sz="4" w:space="0" w:color="auto"/>
              <w:right w:val="nil"/>
            </w:tcBorders>
            <w:shd w:val="clear" w:color="auto" w:fill="auto"/>
            <w:noWrap/>
            <w:hideMark/>
          </w:tcPr>
          <w:p w14:paraId="5C135E41" w14:textId="77777777" w:rsidR="009860F3" w:rsidRPr="009860F3" w:rsidRDefault="009860F3" w:rsidP="009860F3">
            <w:r w:rsidRPr="009860F3">
              <w:t>GWAS and transcriptional signature of insulin sensitivity response to training</w:t>
            </w:r>
          </w:p>
        </w:tc>
        <w:tc>
          <w:tcPr>
            <w:tcW w:w="1890" w:type="dxa"/>
            <w:tcBorders>
              <w:top w:val="dashed" w:sz="4" w:space="0" w:color="auto"/>
              <w:left w:val="nil"/>
              <w:bottom w:val="double" w:sz="4" w:space="0" w:color="auto"/>
              <w:right w:val="nil"/>
            </w:tcBorders>
            <w:shd w:val="clear" w:color="auto" w:fill="auto"/>
            <w:noWrap/>
            <w:hideMark/>
          </w:tcPr>
          <w:p w14:paraId="6E13C817" w14:textId="77777777" w:rsidR="009860F3" w:rsidRPr="009860F3" w:rsidRDefault="009860F3" w:rsidP="009860F3">
            <w:r w:rsidRPr="009860F3">
              <w:t>Si</w:t>
            </w:r>
          </w:p>
        </w:tc>
        <w:tc>
          <w:tcPr>
            <w:tcW w:w="6120" w:type="dxa"/>
            <w:tcBorders>
              <w:top w:val="dashed" w:sz="4" w:space="0" w:color="auto"/>
              <w:left w:val="nil"/>
              <w:bottom w:val="double" w:sz="4" w:space="0" w:color="auto"/>
              <w:right w:val="nil"/>
            </w:tcBorders>
            <w:shd w:val="clear" w:color="auto" w:fill="auto"/>
            <w:noWrap/>
            <w:hideMark/>
          </w:tcPr>
          <w:p w14:paraId="07F00A74" w14:textId="77777777" w:rsidR="009860F3" w:rsidRPr="009860F3" w:rsidRDefault="009860F3" w:rsidP="009860F3">
            <w:r w:rsidRPr="009860F3">
              <w:t xml:space="preserve">Integrative analysis of functional genomic and transcriptomic profiles identified combined variation in genes linked to cholinergic, calcium, and chemokine signaling associated with Si training response. MEF2A transcription factor was the most significant candidate driving the transcriptional signature </w:t>
            </w:r>
            <w:r w:rsidRPr="009860F3">
              <w:lastRenderedPageBreak/>
              <w:t>associated to ∆Si, strengthening the relevance of calcium signaling in exercise training-mediated Si response.</w:t>
            </w:r>
          </w:p>
          <w:p w14:paraId="1ECDAD6E" w14:textId="77777777" w:rsidR="009860F3" w:rsidRPr="009860F3" w:rsidRDefault="009860F3" w:rsidP="009860F3"/>
        </w:tc>
        <w:tc>
          <w:tcPr>
            <w:tcW w:w="2700" w:type="dxa"/>
            <w:gridSpan w:val="2"/>
            <w:tcBorders>
              <w:top w:val="dashed" w:sz="4" w:space="0" w:color="auto"/>
              <w:left w:val="nil"/>
              <w:bottom w:val="double" w:sz="4" w:space="0" w:color="auto"/>
              <w:right w:val="nil"/>
            </w:tcBorders>
            <w:shd w:val="clear" w:color="auto" w:fill="auto"/>
            <w:noWrap/>
            <w:hideMark/>
          </w:tcPr>
          <w:p w14:paraId="53830BA8" w14:textId="77777777" w:rsidR="009860F3" w:rsidRPr="009860F3" w:rsidRDefault="009860F3" w:rsidP="009860F3">
            <w:r w:rsidRPr="009860F3">
              <w:lastRenderedPageBreak/>
              <w:t>Takeshita, Davidsen et al. in press</w:t>
            </w:r>
          </w:p>
        </w:tc>
      </w:tr>
      <w:tr w:rsidR="009860F3" w:rsidRPr="009860F3" w14:paraId="3D2A41AB" w14:textId="77777777" w:rsidTr="00B10B02">
        <w:trPr>
          <w:trHeight w:val="285"/>
        </w:trPr>
        <w:tc>
          <w:tcPr>
            <w:tcW w:w="11430" w:type="dxa"/>
            <w:gridSpan w:val="3"/>
            <w:tcBorders>
              <w:top w:val="double" w:sz="4" w:space="0" w:color="auto"/>
              <w:left w:val="nil"/>
              <w:right w:val="nil"/>
            </w:tcBorders>
            <w:shd w:val="clear" w:color="auto" w:fill="auto"/>
            <w:noWrap/>
            <w:hideMark/>
          </w:tcPr>
          <w:p w14:paraId="2654A61D" w14:textId="77777777" w:rsidR="009860F3" w:rsidRPr="009860F3" w:rsidRDefault="009860F3" w:rsidP="009860F3">
            <w:pPr>
              <w:rPr>
                <w:b/>
                <w:bCs/>
              </w:rPr>
            </w:pPr>
            <w:r w:rsidRPr="009860F3">
              <w:rPr>
                <w:b/>
                <w:bCs/>
              </w:rPr>
              <w:t>Proteomic signatures of VO</w:t>
            </w:r>
            <w:r w:rsidRPr="009860F3">
              <w:rPr>
                <w:b/>
                <w:bCs/>
                <w:vertAlign w:val="subscript"/>
              </w:rPr>
              <w:t>2</w:t>
            </w:r>
            <w:r w:rsidRPr="009860F3">
              <w:rPr>
                <w:b/>
                <w:bCs/>
              </w:rPr>
              <w:t>max and its trainability</w:t>
            </w:r>
          </w:p>
          <w:p w14:paraId="18755E82" w14:textId="77777777" w:rsidR="009860F3" w:rsidRPr="009860F3" w:rsidRDefault="009860F3" w:rsidP="009860F3"/>
        </w:tc>
        <w:tc>
          <w:tcPr>
            <w:tcW w:w="2700" w:type="dxa"/>
            <w:gridSpan w:val="2"/>
            <w:tcBorders>
              <w:top w:val="double" w:sz="4" w:space="0" w:color="auto"/>
              <w:left w:val="nil"/>
              <w:right w:val="nil"/>
            </w:tcBorders>
            <w:shd w:val="clear" w:color="auto" w:fill="auto"/>
            <w:noWrap/>
            <w:hideMark/>
          </w:tcPr>
          <w:p w14:paraId="69B76F00" w14:textId="77777777" w:rsidR="009860F3" w:rsidRPr="009860F3" w:rsidRDefault="009860F3" w:rsidP="009860F3"/>
        </w:tc>
      </w:tr>
      <w:tr w:rsidR="009860F3" w:rsidRPr="009860F3" w14:paraId="2684040A" w14:textId="77777777" w:rsidTr="00B10B02">
        <w:trPr>
          <w:trHeight w:val="1140"/>
        </w:trPr>
        <w:tc>
          <w:tcPr>
            <w:tcW w:w="3420" w:type="dxa"/>
            <w:tcBorders>
              <w:top w:val="nil"/>
              <w:left w:val="nil"/>
              <w:bottom w:val="dashed" w:sz="4" w:space="0" w:color="auto"/>
              <w:right w:val="nil"/>
            </w:tcBorders>
            <w:shd w:val="clear" w:color="auto" w:fill="auto"/>
            <w:noWrap/>
            <w:hideMark/>
          </w:tcPr>
          <w:p w14:paraId="192621D4" w14:textId="77777777" w:rsidR="009860F3" w:rsidRPr="009860F3" w:rsidRDefault="009860F3" w:rsidP="009860F3">
            <w:r w:rsidRPr="009860F3">
              <w:t>Plasma protein signature of cardiorespiratory fitness level</w:t>
            </w:r>
          </w:p>
        </w:tc>
        <w:tc>
          <w:tcPr>
            <w:tcW w:w="1890" w:type="dxa"/>
            <w:tcBorders>
              <w:top w:val="nil"/>
              <w:left w:val="nil"/>
              <w:bottom w:val="dashed" w:sz="4" w:space="0" w:color="auto"/>
              <w:right w:val="nil"/>
            </w:tcBorders>
            <w:shd w:val="clear" w:color="auto" w:fill="auto"/>
            <w:noWrap/>
            <w:hideMark/>
          </w:tcPr>
          <w:p w14:paraId="66EC7A49" w14:textId="77777777" w:rsidR="009860F3" w:rsidRPr="009860F3" w:rsidRDefault="009860F3" w:rsidP="009860F3">
            <w:r w:rsidRPr="009860F3">
              <w:t>VO</w:t>
            </w:r>
            <w:r w:rsidRPr="009860F3">
              <w:rPr>
                <w:vertAlign w:val="subscript"/>
              </w:rPr>
              <w:t>2</w:t>
            </w:r>
            <w:r w:rsidRPr="009860F3">
              <w:t>max</w:t>
            </w:r>
          </w:p>
        </w:tc>
        <w:tc>
          <w:tcPr>
            <w:tcW w:w="6120" w:type="dxa"/>
            <w:tcBorders>
              <w:top w:val="nil"/>
              <w:left w:val="nil"/>
              <w:bottom w:val="dashed" w:sz="4" w:space="0" w:color="auto"/>
              <w:right w:val="nil"/>
            </w:tcBorders>
            <w:shd w:val="clear" w:color="auto" w:fill="auto"/>
            <w:noWrap/>
            <w:hideMark/>
          </w:tcPr>
          <w:p w14:paraId="191C2C2C" w14:textId="77777777" w:rsidR="009860F3" w:rsidRPr="009860F3" w:rsidRDefault="009860F3" w:rsidP="009860F3">
            <w:r w:rsidRPr="009860F3">
              <w:t>Elastic net regression identified 115 proteins highly correlated (r2=0.80) with measured VO</w:t>
            </w:r>
            <w:r w:rsidRPr="009860F3">
              <w:rPr>
                <w:vertAlign w:val="subscript"/>
              </w:rPr>
              <w:t>2</w:t>
            </w:r>
            <w:r w:rsidRPr="009860F3">
              <w:t>max, which was replicated in the validation dataset, with an r2 of 0.71 (Figure 9).</w:t>
            </w:r>
          </w:p>
        </w:tc>
        <w:tc>
          <w:tcPr>
            <w:tcW w:w="2700" w:type="dxa"/>
            <w:gridSpan w:val="2"/>
            <w:tcBorders>
              <w:top w:val="nil"/>
              <w:left w:val="nil"/>
              <w:bottom w:val="dashed" w:sz="4" w:space="0" w:color="auto"/>
              <w:right w:val="nil"/>
            </w:tcBorders>
            <w:shd w:val="clear" w:color="auto" w:fill="auto"/>
            <w:noWrap/>
            <w:hideMark/>
          </w:tcPr>
          <w:p w14:paraId="68D74BCE" w14:textId="77777777" w:rsidR="009860F3" w:rsidRPr="009860F3" w:rsidRDefault="009860F3" w:rsidP="009860F3">
            <w:r w:rsidRPr="009860F3">
              <w:t xml:space="preserve">Williams, </w:t>
            </w:r>
            <w:proofErr w:type="spellStart"/>
            <w:r w:rsidRPr="009860F3">
              <w:t>Kivimaki</w:t>
            </w:r>
            <w:proofErr w:type="spellEnd"/>
            <w:r w:rsidRPr="009860F3">
              <w:t xml:space="preserve"> et al. 2019</w:t>
            </w:r>
          </w:p>
        </w:tc>
      </w:tr>
      <w:tr w:rsidR="009860F3" w:rsidRPr="009860F3" w14:paraId="0533A1B4" w14:textId="77777777" w:rsidTr="00B10B02">
        <w:trPr>
          <w:trHeight w:val="1260"/>
        </w:trPr>
        <w:tc>
          <w:tcPr>
            <w:tcW w:w="3420" w:type="dxa"/>
            <w:tcBorders>
              <w:top w:val="dashed" w:sz="4" w:space="0" w:color="auto"/>
              <w:left w:val="nil"/>
              <w:bottom w:val="double" w:sz="4" w:space="0" w:color="auto"/>
              <w:right w:val="nil"/>
            </w:tcBorders>
            <w:shd w:val="clear" w:color="auto" w:fill="auto"/>
            <w:noWrap/>
            <w:hideMark/>
          </w:tcPr>
          <w:p w14:paraId="319BC42F" w14:textId="77777777" w:rsidR="009860F3" w:rsidRPr="009860F3" w:rsidRDefault="009860F3" w:rsidP="009860F3">
            <w:r w:rsidRPr="009860F3">
              <w:t>Plasma proteins associated with intrinsic VO</w:t>
            </w:r>
            <w:r w:rsidRPr="009860F3">
              <w:rPr>
                <w:vertAlign w:val="subscript"/>
              </w:rPr>
              <w:t>2</w:t>
            </w:r>
            <w:r w:rsidRPr="009860F3">
              <w:t xml:space="preserve">max and its trainability </w:t>
            </w:r>
          </w:p>
        </w:tc>
        <w:tc>
          <w:tcPr>
            <w:tcW w:w="1890" w:type="dxa"/>
            <w:tcBorders>
              <w:top w:val="dashed" w:sz="4" w:space="0" w:color="auto"/>
              <w:left w:val="nil"/>
              <w:bottom w:val="double" w:sz="4" w:space="0" w:color="auto"/>
              <w:right w:val="nil"/>
            </w:tcBorders>
            <w:shd w:val="clear" w:color="auto" w:fill="auto"/>
            <w:noWrap/>
            <w:hideMark/>
          </w:tcPr>
          <w:p w14:paraId="3FC1FCAA" w14:textId="77777777" w:rsidR="009860F3" w:rsidRPr="009860F3" w:rsidRDefault="009860F3" w:rsidP="009860F3">
            <w:r w:rsidRPr="009860F3">
              <w:t>VO</w:t>
            </w:r>
            <w:r w:rsidRPr="009860F3">
              <w:rPr>
                <w:vertAlign w:val="subscript"/>
              </w:rPr>
              <w:t>2</w:t>
            </w:r>
            <w:r w:rsidRPr="009860F3">
              <w:t>max</w:t>
            </w:r>
          </w:p>
        </w:tc>
        <w:tc>
          <w:tcPr>
            <w:tcW w:w="6120" w:type="dxa"/>
            <w:tcBorders>
              <w:top w:val="dashed" w:sz="4" w:space="0" w:color="auto"/>
              <w:left w:val="nil"/>
              <w:bottom w:val="double" w:sz="4" w:space="0" w:color="auto"/>
              <w:right w:val="nil"/>
            </w:tcBorders>
            <w:shd w:val="clear" w:color="auto" w:fill="auto"/>
            <w:noWrap/>
            <w:hideMark/>
          </w:tcPr>
          <w:p w14:paraId="1006EB70" w14:textId="77777777" w:rsidR="009860F3" w:rsidRPr="009860F3" w:rsidRDefault="009860F3" w:rsidP="009860F3">
            <w:r w:rsidRPr="009860F3">
              <w:t>147 proteins were associated with baseline VO</w:t>
            </w:r>
            <w:r w:rsidRPr="009860F3">
              <w:rPr>
                <w:vertAlign w:val="subscript"/>
              </w:rPr>
              <w:t>2</w:t>
            </w:r>
            <w:r w:rsidRPr="009860F3">
              <w:t>max, while 102 baseline proteins were associated with changes in VO</w:t>
            </w:r>
            <w:r w:rsidRPr="009860F3">
              <w:rPr>
                <w:vertAlign w:val="subscript"/>
              </w:rPr>
              <w:t>2</w:t>
            </w:r>
            <w:r w:rsidRPr="009860F3">
              <w:t>max, with minimal overlap (only 5 proteins) between protein sets. A baseline 56 protein signature improved prediction of VO</w:t>
            </w:r>
            <w:r w:rsidRPr="009860F3">
              <w:rPr>
                <w:vertAlign w:val="subscript"/>
              </w:rPr>
              <w:t>2</w:t>
            </w:r>
            <w:r w:rsidRPr="009860F3">
              <w:t>max response (AUC 0.84) compared to a model of only clinical variables (AUC 0.62).</w:t>
            </w:r>
          </w:p>
          <w:p w14:paraId="7482EDD1" w14:textId="77777777" w:rsidR="009860F3" w:rsidRPr="009860F3" w:rsidRDefault="009860F3" w:rsidP="009860F3"/>
        </w:tc>
        <w:tc>
          <w:tcPr>
            <w:tcW w:w="2700" w:type="dxa"/>
            <w:gridSpan w:val="2"/>
            <w:tcBorders>
              <w:top w:val="dashed" w:sz="4" w:space="0" w:color="auto"/>
              <w:left w:val="nil"/>
              <w:bottom w:val="double" w:sz="4" w:space="0" w:color="auto"/>
              <w:right w:val="nil"/>
            </w:tcBorders>
            <w:shd w:val="clear" w:color="auto" w:fill="auto"/>
            <w:noWrap/>
            <w:hideMark/>
          </w:tcPr>
          <w:p w14:paraId="5DEA6BBA" w14:textId="77777777" w:rsidR="009860F3" w:rsidRPr="009860F3" w:rsidRDefault="009860F3" w:rsidP="009860F3">
            <w:r w:rsidRPr="009860F3">
              <w:t>Robbins, Peterson et al. 2021</w:t>
            </w:r>
          </w:p>
        </w:tc>
      </w:tr>
      <w:tr w:rsidR="009860F3" w:rsidRPr="009860F3" w14:paraId="714E4D2C" w14:textId="77777777" w:rsidTr="00B10B02">
        <w:trPr>
          <w:trHeight w:val="285"/>
        </w:trPr>
        <w:tc>
          <w:tcPr>
            <w:tcW w:w="11430" w:type="dxa"/>
            <w:gridSpan w:val="3"/>
            <w:tcBorders>
              <w:top w:val="double" w:sz="4" w:space="0" w:color="auto"/>
              <w:left w:val="nil"/>
              <w:right w:val="nil"/>
            </w:tcBorders>
            <w:shd w:val="clear" w:color="auto" w:fill="auto"/>
            <w:noWrap/>
            <w:hideMark/>
          </w:tcPr>
          <w:p w14:paraId="28CF35C8" w14:textId="77777777" w:rsidR="009860F3" w:rsidRPr="009860F3" w:rsidRDefault="009860F3" w:rsidP="009860F3">
            <w:pPr>
              <w:rPr>
                <w:b/>
                <w:bCs/>
              </w:rPr>
            </w:pPr>
            <w:r w:rsidRPr="009860F3">
              <w:rPr>
                <w:b/>
                <w:bCs/>
              </w:rPr>
              <w:t>Bioinformatics explorations of intrinsic VO</w:t>
            </w:r>
            <w:r w:rsidRPr="009860F3">
              <w:rPr>
                <w:b/>
                <w:bCs/>
                <w:vertAlign w:val="subscript"/>
              </w:rPr>
              <w:t>2</w:t>
            </w:r>
            <w:r w:rsidRPr="009860F3">
              <w:rPr>
                <w:b/>
                <w:bCs/>
              </w:rPr>
              <w:t xml:space="preserve">max and its trainability </w:t>
            </w:r>
          </w:p>
          <w:p w14:paraId="304F06C2" w14:textId="77777777" w:rsidR="009860F3" w:rsidRPr="009860F3" w:rsidRDefault="009860F3" w:rsidP="009860F3"/>
        </w:tc>
        <w:tc>
          <w:tcPr>
            <w:tcW w:w="2700" w:type="dxa"/>
            <w:gridSpan w:val="2"/>
            <w:tcBorders>
              <w:top w:val="double" w:sz="4" w:space="0" w:color="auto"/>
              <w:left w:val="nil"/>
              <w:right w:val="nil"/>
            </w:tcBorders>
            <w:shd w:val="clear" w:color="auto" w:fill="auto"/>
            <w:noWrap/>
            <w:vAlign w:val="bottom"/>
            <w:hideMark/>
          </w:tcPr>
          <w:p w14:paraId="62C316CB" w14:textId="77777777" w:rsidR="009860F3" w:rsidRPr="009860F3" w:rsidRDefault="009860F3" w:rsidP="009860F3"/>
        </w:tc>
      </w:tr>
      <w:tr w:rsidR="009860F3" w:rsidRPr="009860F3" w14:paraId="0FF14468" w14:textId="77777777" w:rsidTr="00B10B02">
        <w:trPr>
          <w:trHeight w:val="1476"/>
        </w:trPr>
        <w:tc>
          <w:tcPr>
            <w:tcW w:w="3420" w:type="dxa"/>
            <w:tcBorders>
              <w:top w:val="nil"/>
              <w:left w:val="nil"/>
              <w:right w:val="nil"/>
            </w:tcBorders>
            <w:shd w:val="clear" w:color="auto" w:fill="auto"/>
            <w:noWrap/>
            <w:hideMark/>
          </w:tcPr>
          <w:p w14:paraId="63F3929C" w14:textId="77777777" w:rsidR="009860F3" w:rsidRPr="009860F3" w:rsidRDefault="009860F3" w:rsidP="009860F3">
            <w:r w:rsidRPr="009860F3">
              <w:t>Integrative pathway analysis of VO</w:t>
            </w:r>
            <w:r w:rsidRPr="009860F3">
              <w:rPr>
                <w:vertAlign w:val="subscript"/>
              </w:rPr>
              <w:t>2</w:t>
            </w:r>
            <w:r w:rsidRPr="009860F3">
              <w:t>max response to training GWAS</w:t>
            </w:r>
          </w:p>
        </w:tc>
        <w:tc>
          <w:tcPr>
            <w:tcW w:w="1890" w:type="dxa"/>
            <w:tcBorders>
              <w:top w:val="nil"/>
              <w:left w:val="nil"/>
              <w:right w:val="nil"/>
            </w:tcBorders>
            <w:shd w:val="clear" w:color="auto" w:fill="auto"/>
            <w:noWrap/>
            <w:hideMark/>
          </w:tcPr>
          <w:p w14:paraId="124C4DCE" w14:textId="77777777" w:rsidR="009860F3" w:rsidRPr="009860F3" w:rsidRDefault="009860F3" w:rsidP="009860F3">
            <w:r w:rsidRPr="009860F3">
              <w:t>VO</w:t>
            </w:r>
            <w:r w:rsidRPr="009860F3">
              <w:rPr>
                <w:vertAlign w:val="subscript"/>
              </w:rPr>
              <w:t>2</w:t>
            </w:r>
            <w:r w:rsidRPr="009860F3">
              <w:t>max</w:t>
            </w:r>
          </w:p>
        </w:tc>
        <w:tc>
          <w:tcPr>
            <w:tcW w:w="6120" w:type="dxa"/>
            <w:tcBorders>
              <w:top w:val="nil"/>
              <w:left w:val="nil"/>
              <w:right w:val="nil"/>
            </w:tcBorders>
            <w:shd w:val="clear" w:color="auto" w:fill="auto"/>
            <w:hideMark/>
          </w:tcPr>
          <w:p w14:paraId="1451973A" w14:textId="77777777" w:rsidR="009860F3" w:rsidRPr="009860F3" w:rsidRDefault="009860F3" w:rsidP="009860F3">
            <w:r w:rsidRPr="009860F3">
              <w:t>Using GWAS results followed by candidate gene prioritization and pathway analysis, pathways related to calcium signaling, energy sensing and partitioning, mitochondrial biogenesis, angiogenesis, immune functions, and regulation of autophagy and apoptosis were identified as key mechanisms through which the physiological responses of VO</w:t>
            </w:r>
            <w:r w:rsidRPr="009860F3">
              <w:rPr>
                <w:vertAlign w:val="subscript"/>
              </w:rPr>
              <w:t>2</w:t>
            </w:r>
            <w:r w:rsidRPr="009860F3">
              <w:t>max to training are mediated.</w:t>
            </w:r>
          </w:p>
          <w:p w14:paraId="1923592D" w14:textId="77777777" w:rsidR="009860F3" w:rsidRPr="009860F3" w:rsidRDefault="009860F3" w:rsidP="009860F3"/>
        </w:tc>
        <w:tc>
          <w:tcPr>
            <w:tcW w:w="2700" w:type="dxa"/>
            <w:gridSpan w:val="2"/>
            <w:tcBorders>
              <w:top w:val="nil"/>
              <w:left w:val="nil"/>
              <w:right w:val="nil"/>
            </w:tcBorders>
            <w:shd w:val="clear" w:color="auto" w:fill="auto"/>
            <w:noWrap/>
            <w:hideMark/>
          </w:tcPr>
          <w:p w14:paraId="7C20C34C" w14:textId="77777777" w:rsidR="009860F3" w:rsidRPr="009860F3" w:rsidRDefault="009860F3" w:rsidP="009860F3">
            <w:r w:rsidRPr="009860F3">
              <w:t>Ghosh, Vivar et al. 2013</w:t>
            </w:r>
          </w:p>
        </w:tc>
      </w:tr>
      <w:tr w:rsidR="009860F3" w:rsidRPr="009860F3" w14:paraId="5B011D3C" w14:textId="77777777" w:rsidTr="00B10B02">
        <w:trPr>
          <w:trHeight w:val="1980"/>
        </w:trPr>
        <w:tc>
          <w:tcPr>
            <w:tcW w:w="3420" w:type="dxa"/>
            <w:tcBorders>
              <w:bottom w:val="double" w:sz="4" w:space="0" w:color="auto"/>
            </w:tcBorders>
            <w:shd w:val="clear" w:color="auto" w:fill="auto"/>
            <w:noWrap/>
            <w:hideMark/>
          </w:tcPr>
          <w:p w14:paraId="35D9FEC2" w14:textId="77777777" w:rsidR="009860F3" w:rsidRPr="009860F3" w:rsidRDefault="009860F3" w:rsidP="009860F3">
            <w:r w:rsidRPr="009860F3">
              <w:lastRenderedPageBreak/>
              <w:t>Genetics and biology underlying intrinsic VO</w:t>
            </w:r>
            <w:r w:rsidRPr="009860F3">
              <w:rPr>
                <w:vertAlign w:val="subscript"/>
              </w:rPr>
              <w:t>2</w:t>
            </w:r>
            <w:r w:rsidRPr="009860F3">
              <w:t>max</w:t>
            </w:r>
          </w:p>
        </w:tc>
        <w:tc>
          <w:tcPr>
            <w:tcW w:w="1890" w:type="dxa"/>
            <w:tcBorders>
              <w:bottom w:val="double" w:sz="4" w:space="0" w:color="auto"/>
            </w:tcBorders>
            <w:shd w:val="clear" w:color="auto" w:fill="auto"/>
            <w:noWrap/>
            <w:hideMark/>
          </w:tcPr>
          <w:p w14:paraId="070F1C11" w14:textId="77777777" w:rsidR="009860F3" w:rsidRPr="009860F3" w:rsidRDefault="009860F3" w:rsidP="009860F3">
            <w:r w:rsidRPr="009860F3">
              <w:t>VO</w:t>
            </w:r>
            <w:r w:rsidRPr="009860F3">
              <w:rPr>
                <w:vertAlign w:val="subscript"/>
              </w:rPr>
              <w:t>2</w:t>
            </w:r>
            <w:r w:rsidRPr="009860F3">
              <w:t>max</w:t>
            </w:r>
          </w:p>
        </w:tc>
        <w:tc>
          <w:tcPr>
            <w:tcW w:w="6120" w:type="dxa"/>
            <w:tcBorders>
              <w:bottom w:val="double" w:sz="4" w:space="0" w:color="auto"/>
            </w:tcBorders>
            <w:shd w:val="clear" w:color="auto" w:fill="auto"/>
            <w:noWrap/>
            <w:hideMark/>
          </w:tcPr>
          <w:p w14:paraId="69B46581" w14:textId="77777777" w:rsidR="009860F3" w:rsidRPr="009860F3" w:rsidRDefault="009860F3" w:rsidP="009860F3">
            <w:r w:rsidRPr="009860F3">
              <w:t>A bioinformatics pipeline applied to VO</w:t>
            </w:r>
            <w:r w:rsidRPr="009860F3">
              <w:rPr>
                <w:vertAlign w:val="subscript"/>
              </w:rPr>
              <w:t>2</w:t>
            </w:r>
            <w:r w:rsidRPr="009860F3">
              <w:t>max data in the sedentary state suggests four loci related to cardiovascular physiology (</w:t>
            </w:r>
            <w:r w:rsidRPr="009860F3">
              <w:rPr>
                <w:i/>
              </w:rPr>
              <w:t>ATE1, CASQ2, NOTO, and SGCG</w:t>
            </w:r>
            <w:r w:rsidRPr="009860F3">
              <w:t>), four loci related to hematopoiesis (</w:t>
            </w:r>
            <w:r w:rsidRPr="009860F3">
              <w:rPr>
                <w:i/>
              </w:rPr>
              <w:t>PICALM, SSB, CASQ2, and CA9</w:t>
            </w:r>
            <w:r w:rsidRPr="009860F3">
              <w:t>), four loci related to skeletal muscle function (</w:t>
            </w:r>
            <w:r w:rsidRPr="009860F3">
              <w:rPr>
                <w:i/>
              </w:rPr>
              <w:t>SGCG, DMRT2, ADARB1,and CASQ2</w:t>
            </w:r>
            <w:r w:rsidRPr="009860F3">
              <w:t>), and eight loci related to metabolism (</w:t>
            </w:r>
            <w:r w:rsidRPr="009860F3">
              <w:rPr>
                <w:i/>
              </w:rPr>
              <w:t>ATE1, PICALM, RAB11FIP5, GBA2, SGCG, PRADC1, ARL6IP5, and CASQ2</w:t>
            </w:r>
            <w:r w:rsidRPr="009860F3">
              <w:t>) as candidates for human variability in cardiorespiratory fitness among sedentary adults.</w:t>
            </w:r>
          </w:p>
          <w:p w14:paraId="48A701F2" w14:textId="77777777" w:rsidR="009860F3" w:rsidRPr="009860F3" w:rsidRDefault="009860F3" w:rsidP="009860F3"/>
        </w:tc>
        <w:tc>
          <w:tcPr>
            <w:tcW w:w="2700" w:type="dxa"/>
            <w:gridSpan w:val="2"/>
            <w:tcBorders>
              <w:bottom w:val="double" w:sz="4" w:space="0" w:color="auto"/>
            </w:tcBorders>
            <w:shd w:val="clear" w:color="auto" w:fill="auto"/>
            <w:noWrap/>
            <w:hideMark/>
          </w:tcPr>
          <w:p w14:paraId="4A0272F6" w14:textId="77777777" w:rsidR="009860F3" w:rsidRPr="009860F3" w:rsidRDefault="009860F3" w:rsidP="009860F3">
            <w:r w:rsidRPr="009860F3">
              <w:t>Ghosh, Hota et al. 2019</w:t>
            </w:r>
          </w:p>
        </w:tc>
      </w:tr>
      <w:tr w:rsidR="009860F3" w:rsidRPr="009860F3" w14:paraId="2B06AEE4" w14:textId="77777777" w:rsidTr="00B10B02">
        <w:trPr>
          <w:trHeight w:val="348"/>
        </w:trPr>
        <w:tc>
          <w:tcPr>
            <w:tcW w:w="14130" w:type="dxa"/>
            <w:gridSpan w:val="5"/>
            <w:tcBorders>
              <w:top w:val="double" w:sz="4" w:space="0" w:color="auto"/>
            </w:tcBorders>
            <w:shd w:val="clear" w:color="auto" w:fill="auto"/>
            <w:noWrap/>
          </w:tcPr>
          <w:p w14:paraId="54CB66C7" w14:textId="77777777" w:rsidR="009860F3" w:rsidRPr="009860F3" w:rsidRDefault="009860F3" w:rsidP="009860F3">
            <w:pPr>
              <w:rPr>
                <w:b/>
                <w:bCs/>
              </w:rPr>
            </w:pPr>
            <w:r w:rsidRPr="009860F3">
              <w:rPr>
                <w:b/>
                <w:bCs/>
              </w:rPr>
              <w:t xml:space="preserve">Metabolomic biomarker of training responsiveness </w:t>
            </w:r>
          </w:p>
          <w:p w14:paraId="1A32D449" w14:textId="77777777" w:rsidR="009860F3" w:rsidRPr="009860F3" w:rsidRDefault="009860F3" w:rsidP="009860F3">
            <w:pPr>
              <w:rPr>
                <w:b/>
                <w:bCs/>
              </w:rPr>
            </w:pPr>
          </w:p>
        </w:tc>
      </w:tr>
      <w:tr w:rsidR="009860F3" w:rsidRPr="009860F3" w14:paraId="284F797A" w14:textId="77777777" w:rsidTr="00B10B02">
        <w:trPr>
          <w:trHeight w:val="1008"/>
        </w:trPr>
        <w:tc>
          <w:tcPr>
            <w:tcW w:w="3420" w:type="dxa"/>
            <w:tcBorders>
              <w:bottom w:val="single" w:sz="12" w:space="0" w:color="auto"/>
            </w:tcBorders>
            <w:shd w:val="clear" w:color="auto" w:fill="auto"/>
            <w:noWrap/>
          </w:tcPr>
          <w:p w14:paraId="3A702769" w14:textId="77777777" w:rsidR="009860F3" w:rsidRPr="009860F3" w:rsidRDefault="009860F3" w:rsidP="009860F3">
            <w:pPr>
              <w:rPr>
                <w:bCs/>
              </w:rPr>
            </w:pPr>
            <w:r w:rsidRPr="009860F3">
              <w:rPr>
                <w:bCs/>
              </w:rPr>
              <w:t>DMGV is a biomarker of metabolic response to endurance training</w:t>
            </w:r>
          </w:p>
          <w:p w14:paraId="7BA4C507" w14:textId="77777777" w:rsidR="009860F3" w:rsidRPr="009860F3" w:rsidRDefault="009860F3" w:rsidP="009860F3">
            <w:pPr>
              <w:rPr>
                <w:bCs/>
              </w:rPr>
            </w:pPr>
          </w:p>
        </w:tc>
        <w:tc>
          <w:tcPr>
            <w:tcW w:w="1890" w:type="dxa"/>
            <w:tcBorders>
              <w:bottom w:val="single" w:sz="12" w:space="0" w:color="auto"/>
            </w:tcBorders>
            <w:shd w:val="clear" w:color="auto" w:fill="auto"/>
          </w:tcPr>
          <w:p w14:paraId="7B278E3B" w14:textId="77777777" w:rsidR="009860F3" w:rsidRPr="009860F3" w:rsidRDefault="009860F3" w:rsidP="009860F3">
            <w:pPr>
              <w:rPr>
                <w:bCs/>
              </w:rPr>
            </w:pPr>
            <w:r w:rsidRPr="009860F3">
              <w:rPr>
                <w:bCs/>
              </w:rPr>
              <w:t>Fasting glucose, insulin and lipids</w:t>
            </w:r>
          </w:p>
          <w:p w14:paraId="378874D4" w14:textId="77777777" w:rsidR="009860F3" w:rsidRPr="009860F3" w:rsidRDefault="009860F3" w:rsidP="009860F3">
            <w:pPr>
              <w:rPr>
                <w:bCs/>
              </w:rPr>
            </w:pPr>
          </w:p>
        </w:tc>
        <w:tc>
          <w:tcPr>
            <w:tcW w:w="6210" w:type="dxa"/>
            <w:gridSpan w:val="2"/>
            <w:tcBorders>
              <w:bottom w:val="single" w:sz="12" w:space="0" w:color="auto"/>
            </w:tcBorders>
            <w:shd w:val="clear" w:color="auto" w:fill="auto"/>
          </w:tcPr>
          <w:p w14:paraId="08F6CB8D" w14:textId="77777777" w:rsidR="009860F3" w:rsidRPr="009860F3" w:rsidRDefault="009860F3" w:rsidP="009860F3">
            <w:pPr>
              <w:rPr>
                <w:b/>
                <w:bCs/>
              </w:rPr>
            </w:pPr>
            <w:r w:rsidRPr="009860F3">
              <w:rPr>
                <w:bCs/>
              </w:rPr>
              <w:t>Baseline levels of plasma DMGV associated with lack of improvement in HDL traits. DMGV levels decreased with training and were positively correlated with several lipid, glucose and insulin traits</w:t>
            </w:r>
          </w:p>
        </w:tc>
        <w:tc>
          <w:tcPr>
            <w:tcW w:w="2610" w:type="dxa"/>
            <w:tcBorders>
              <w:bottom w:val="single" w:sz="12" w:space="0" w:color="auto"/>
              <w:right w:val="nil"/>
            </w:tcBorders>
            <w:shd w:val="clear" w:color="auto" w:fill="auto"/>
          </w:tcPr>
          <w:p w14:paraId="7EEB8E3A" w14:textId="77777777" w:rsidR="009860F3" w:rsidRPr="009860F3" w:rsidRDefault="009860F3" w:rsidP="009860F3">
            <w:pPr>
              <w:rPr>
                <w:bCs/>
              </w:rPr>
            </w:pPr>
            <w:r w:rsidRPr="009860F3">
              <w:rPr>
                <w:bCs/>
              </w:rPr>
              <w:t>Robbins, Herzig et al, 2019</w:t>
            </w:r>
          </w:p>
          <w:p w14:paraId="2DBC3524" w14:textId="77777777" w:rsidR="009860F3" w:rsidRPr="009860F3" w:rsidRDefault="009860F3" w:rsidP="009860F3">
            <w:pPr>
              <w:rPr>
                <w:b/>
                <w:bCs/>
              </w:rPr>
            </w:pPr>
          </w:p>
        </w:tc>
      </w:tr>
    </w:tbl>
    <w:p w14:paraId="0BF3F72B" w14:textId="77777777" w:rsidR="009860F3" w:rsidRPr="009860F3" w:rsidRDefault="009860F3" w:rsidP="009860F3"/>
    <w:p w14:paraId="295DE8CA" w14:textId="77777777" w:rsidR="009860F3" w:rsidRPr="009860F3" w:rsidRDefault="009860F3" w:rsidP="009860F3"/>
    <w:p w14:paraId="6FA8134B" w14:textId="1DF92846" w:rsidR="009860F3" w:rsidRDefault="009860F3"/>
    <w:p w14:paraId="7A8ABB00" w14:textId="77777777" w:rsidR="009860F3" w:rsidRDefault="009860F3"/>
    <w:sectPr w:rsidR="009860F3" w:rsidSect="009860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fr-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00"/>
    <w:rsid w:val="000160E1"/>
    <w:rsid w:val="0028378F"/>
    <w:rsid w:val="002A684D"/>
    <w:rsid w:val="002F444D"/>
    <w:rsid w:val="004C5ADC"/>
    <w:rsid w:val="004D428B"/>
    <w:rsid w:val="005516BB"/>
    <w:rsid w:val="00602662"/>
    <w:rsid w:val="006D5090"/>
    <w:rsid w:val="00746538"/>
    <w:rsid w:val="00807A75"/>
    <w:rsid w:val="0082563E"/>
    <w:rsid w:val="008D4A7B"/>
    <w:rsid w:val="008F0FEB"/>
    <w:rsid w:val="00914500"/>
    <w:rsid w:val="00933E29"/>
    <w:rsid w:val="009511EF"/>
    <w:rsid w:val="009860F3"/>
    <w:rsid w:val="00A16219"/>
    <w:rsid w:val="00A463A4"/>
    <w:rsid w:val="00A86CCC"/>
    <w:rsid w:val="00AE4E18"/>
    <w:rsid w:val="00AF0689"/>
    <w:rsid w:val="00B00D8D"/>
    <w:rsid w:val="00B504A7"/>
    <w:rsid w:val="00B70DFD"/>
    <w:rsid w:val="00BE288F"/>
    <w:rsid w:val="00C748FF"/>
    <w:rsid w:val="00E3358A"/>
    <w:rsid w:val="00EC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74F0"/>
  <w15:chartTrackingRefBased/>
  <w15:docId w15:val="{A1CF4F1B-C5B3-4EEC-8C57-802EA9CA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Bouchard</dc:creator>
  <cp:keywords/>
  <dc:description/>
  <cp:lastModifiedBy>Melanie Peterson</cp:lastModifiedBy>
  <cp:revision>17</cp:revision>
  <dcterms:created xsi:type="dcterms:W3CDTF">2021-01-25T17:14:00Z</dcterms:created>
  <dcterms:modified xsi:type="dcterms:W3CDTF">2021-11-12T16:03:00Z</dcterms:modified>
</cp:coreProperties>
</file>