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1E67" w14:textId="77777777" w:rsidR="00554212" w:rsidRDefault="00554212" w:rsidP="00554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MATERIALS</w:t>
      </w:r>
    </w:p>
    <w:p w14:paraId="167A279E" w14:textId="77777777" w:rsidR="00554212" w:rsidRDefault="00554212" w:rsidP="00554212">
      <w:pPr>
        <w:jc w:val="both"/>
        <w:rPr>
          <w:rFonts w:ascii="Arial" w:hAnsi="Arial" w:cs="Arial"/>
          <w:sz w:val="22"/>
          <w:szCs w:val="22"/>
        </w:rPr>
      </w:pPr>
    </w:p>
    <w:p w14:paraId="674E95D6" w14:textId="3B0A50E0" w:rsidR="00554212" w:rsidRDefault="00714025" w:rsidP="00554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</w:t>
      </w:r>
      <w:r w:rsidR="00554212">
        <w:rPr>
          <w:rFonts w:ascii="Arial" w:hAnsi="Arial" w:cs="Arial"/>
          <w:sz w:val="22"/>
          <w:szCs w:val="22"/>
        </w:rPr>
        <w:t>Table 1. Sensitivity analyses</w:t>
      </w:r>
    </w:p>
    <w:p w14:paraId="4CD730D9" w14:textId="77777777" w:rsidR="00554212" w:rsidRDefault="00554212" w:rsidP="00554212">
      <w:pPr>
        <w:jc w:val="both"/>
        <w:rPr>
          <w:rFonts w:ascii="Arial" w:hAnsi="Arial" w:cs="Arial"/>
          <w:sz w:val="22"/>
          <w:szCs w:val="22"/>
        </w:rPr>
      </w:pPr>
    </w:p>
    <w:p w14:paraId="7679C334" w14:textId="77777777" w:rsidR="00554212" w:rsidRDefault="00554212" w:rsidP="0055421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600"/>
        <w:gridCol w:w="2700"/>
        <w:gridCol w:w="1980"/>
        <w:gridCol w:w="1080"/>
      </w:tblGrid>
      <w:tr w:rsidR="00554212" w:rsidRPr="00D00799" w14:paraId="62FCEDC1" w14:textId="77777777" w:rsidTr="0042510A">
        <w:trPr>
          <w:trHeight w:val="584"/>
        </w:trPr>
        <w:tc>
          <w:tcPr>
            <w:tcW w:w="3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2A1F2" w14:textId="654B5D7E" w:rsidR="00554212" w:rsidRPr="00D00799" w:rsidRDefault="006C34FB" w:rsidP="004251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554212" w:rsidRPr="00D00799">
              <w:rPr>
                <w:rFonts w:ascii="Arial" w:hAnsi="Arial" w:cs="Arial"/>
                <w:color w:val="000000"/>
                <w:sz w:val="22"/>
                <w:szCs w:val="22"/>
              </w:rPr>
              <w:t>ensitivity analysis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84B9" w14:textId="174E8511" w:rsidR="00554212" w:rsidRPr="00D00799" w:rsidRDefault="006C34FB" w:rsidP="004251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554212" w:rsidRPr="00D00799">
              <w:rPr>
                <w:rFonts w:ascii="Arial" w:hAnsi="Arial" w:cs="Arial"/>
                <w:color w:val="000000"/>
                <w:sz w:val="22"/>
                <w:szCs w:val="22"/>
              </w:rPr>
              <w:t>ariable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F2F95CF" w14:textId="77777777" w:rsidR="00554212" w:rsidRPr="00D00799" w:rsidRDefault="00554212" w:rsidP="004251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>HR (95% confidence limits)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2EF8E" w14:textId="77777777" w:rsidR="00554212" w:rsidRPr="00D00799" w:rsidRDefault="00554212" w:rsidP="004251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>p-value</w:t>
            </w:r>
          </w:p>
        </w:tc>
      </w:tr>
      <w:tr w:rsidR="00554212" w:rsidRPr="00D00799" w14:paraId="6895E71C" w14:textId="77777777" w:rsidTr="0042510A">
        <w:trPr>
          <w:trHeight w:val="3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F6C8" w14:textId="5F815BE2" w:rsidR="00554212" w:rsidRPr="00016CD7" w:rsidRDefault="006C34FB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554212"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xclude </w:t>
            </w:r>
            <w:r w:rsidR="00554212">
              <w:rPr>
                <w:rFonts w:ascii="Arial" w:hAnsi="Arial" w:cs="Arial"/>
                <w:color w:val="000000"/>
                <w:sz w:val="22"/>
                <w:szCs w:val="22"/>
              </w:rPr>
              <w:t>dementia</w:t>
            </w:r>
            <w:r w:rsidR="00554212"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in 1st </w:t>
            </w:r>
            <w:r w:rsidR="006D3E7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554212"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years</w:t>
            </w:r>
            <w:r w:rsidR="0055421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F2F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</w:t>
            </w:r>
            <w:r w:rsidRPr="00FC04F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2.5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absorb</w:t>
            </w:r>
            <w:r w:rsidRPr="00275F2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ance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ACC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7AF" w14:textId="224B0C82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  <w:r w:rsidR="006D3E71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(1.0</w:t>
            </w:r>
            <w:r w:rsidR="006D3E71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,1.5</w:t>
            </w:r>
            <w:r w:rsidR="006D3E71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D6EB" w14:textId="342B9A4A" w:rsidR="00554212" w:rsidRPr="00D00799" w:rsidRDefault="00554212" w:rsidP="0042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6D3E71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54212" w:rsidRPr="00D00799" w14:paraId="7859D126" w14:textId="77777777" w:rsidTr="0042510A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308" w14:textId="77777777" w:rsidR="00554212" w:rsidRPr="00D00799" w:rsidRDefault="00554212" w:rsidP="0042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F65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</w:t>
            </w:r>
            <w:r w:rsidRPr="00FC04F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2.5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*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ACC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856" w14:textId="4FC0BB4A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6D3E71">
              <w:rPr>
                <w:rFonts w:ascii="Calibri" w:hAnsi="Calibri" w:cs="Calibri"/>
                <w:color w:val="000000"/>
              </w:rPr>
              <w:t>37</w:t>
            </w:r>
            <w:r>
              <w:rPr>
                <w:rFonts w:ascii="Calibri" w:hAnsi="Calibri" w:cs="Calibri"/>
                <w:color w:val="000000"/>
              </w:rPr>
              <w:t xml:space="preserve"> (1.</w:t>
            </w:r>
            <w:r w:rsidR="006D3E71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,1.6</w:t>
            </w:r>
            <w:r w:rsidR="006D3E71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27F" w14:textId="2FDDF467" w:rsidR="00554212" w:rsidRPr="00D00799" w:rsidRDefault="006D3E71" w:rsidP="0042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554212" w:rsidRPr="00D00799" w14:paraId="70D732AF" w14:textId="77777777" w:rsidTr="0042510A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95CB" w14:textId="70F5EA2F" w:rsidR="00554212" w:rsidRPr="00D00799" w:rsidRDefault="006C34FB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554212" w:rsidRPr="00D00799">
              <w:rPr>
                <w:rFonts w:ascii="Arial" w:hAnsi="Arial" w:cs="Arial"/>
                <w:color w:val="000000"/>
                <w:sz w:val="22"/>
                <w:szCs w:val="22"/>
              </w:rPr>
              <w:t>se acc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elerometer</w:t>
            </w:r>
            <w:r w:rsidR="00554212"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wear as start of follow up</w:t>
            </w:r>
            <w:r w:rsidR="00203235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514D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</w:t>
            </w:r>
            <w:r w:rsidRPr="00FC04F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2.5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absorb</w:t>
            </w:r>
            <w:r w:rsidRPr="00275F2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ance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ACC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FEE5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1.24 (1.05,1.45)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DDA" w14:textId="77777777" w:rsidR="00554212" w:rsidRPr="00D00799" w:rsidRDefault="00554212" w:rsidP="0042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</w:tr>
      <w:tr w:rsidR="00554212" w:rsidRPr="00D00799" w14:paraId="0E9ABAB1" w14:textId="77777777" w:rsidTr="0042510A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5026" w14:textId="77777777" w:rsidR="00554212" w:rsidRPr="00D00799" w:rsidRDefault="00554212" w:rsidP="0042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CED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</w:t>
            </w:r>
            <w:r w:rsidRPr="00FC04F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2.5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*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ACC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FA3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1.33 (1.12,1.57)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B40" w14:textId="77777777" w:rsidR="00554212" w:rsidRPr="00D00799" w:rsidRDefault="00554212" w:rsidP="0042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554212" w:rsidRPr="00D00799" w14:paraId="09C584D3" w14:textId="77777777" w:rsidTr="0042510A">
        <w:trPr>
          <w:trHeight w:val="3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644" w14:textId="2525F3F4" w:rsidR="00554212" w:rsidRPr="00016CD7" w:rsidRDefault="006C34FB" w:rsidP="0042510A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554212" w:rsidRPr="00D00799">
              <w:rPr>
                <w:rFonts w:ascii="Arial" w:hAnsi="Arial" w:cs="Arial"/>
                <w:color w:val="000000"/>
                <w:sz w:val="22"/>
                <w:szCs w:val="22"/>
              </w:rPr>
              <w:t>nclude all participants age 40+</w:t>
            </w:r>
            <w:r w:rsidR="0055421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0DC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</w:t>
            </w:r>
            <w:r w:rsidRPr="00FC04F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2.5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absorb</w:t>
            </w:r>
            <w:r w:rsidRPr="00275F2C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ance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ACC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FD0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1.18 (1.02,1.37)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AE0" w14:textId="77777777" w:rsidR="00554212" w:rsidRPr="00D00799" w:rsidRDefault="00554212" w:rsidP="0042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</w:tr>
      <w:tr w:rsidR="00554212" w:rsidRPr="00D00799" w14:paraId="30DF394B" w14:textId="77777777" w:rsidTr="0042510A">
        <w:trPr>
          <w:trHeight w:val="340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55722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CB44F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</w:t>
            </w:r>
            <w:r w:rsidRPr="00FC04FB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2.5</w:t>
            </w:r>
            <w:r w:rsidRPr="00D00799">
              <w:rPr>
                <w:rFonts w:ascii="Arial" w:hAnsi="Arial" w:cs="Arial"/>
                <w:color w:val="000000"/>
                <w:sz w:val="22"/>
                <w:szCs w:val="22"/>
              </w:rPr>
              <w:t xml:space="preserve"> *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ACC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DDF0A" w14:textId="77777777" w:rsidR="00554212" w:rsidRPr="00D00799" w:rsidRDefault="00554212" w:rsidP="0042510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1.23 (1.06,1.43)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6025" w14:textId="77777777" w:rsidR="00554212" w:rsidRPr="00D00799" w:rsidRDefault="00554212" w:rsidP="004251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</w:tbl>
    <w:p w14:paraId="7EA5C184" w14:textId="4A867572" w:rsidR="00554212" w:rsidRPr="00016CD7" w:rsidRDefault="00554212" w:rsidP="005542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results presented are Cox proportional hazards regression adjusted for age, sex, education, Townsend deprivation index, ethnicity, and </w:t>
      </w:r>
      <w:r w:rsidRPr="00212C19">
        <w:rPr>
          <w:rFonts w:ascii="Arial" w:hAnsi="Arial" w:cs="Arial"/>
          <w:i/>
          <w:sz w:val="22"/>
          <w:szCs w:val="22"/>
        </w:rPr>
        <w:t>APOE</w:t>
      </w:r>
      <w:r w:rsidR="006C34FB">
        <w:rPr>
          <w:rFonts w:ascii="Arial" w:hAnsi="Arial" w:cs="Arial"/>
          <w:sz w:val="22"/>
          <w:szCs w:val="22"/>
        </w:rPr>
        <w:t xml:space="preserve"> ε4</w:t>
      </w:r>
      <w:r>
        <w:rPr>
          <w:rFonts w:ascii="Arial" w:hAnsi="Arial" w:cs="Arial"/>
          <w:sz w:val="22"/>
          <w:szCs w:val="22"/>
        </w:rPr>
        <w:t xml:space="preserve"> genotype, alcohol consumption, smoking status, chronic disease, general health, depression, healthy diet score, BMI, difference in date between accelerometer wear and pollution measure, and accelerometer wear duration. </w:t>
      </w:r>
      <w:r w:rsidRPr="000C2DF0">
        <w:rPr>
          <w:rFonts w:ascii="Arial" w:hAnsi="Arial" w:cs="Arial"/>
          <w:sz w:val="22"/>
          <w:szCs w:val="22"/>
        </w:rPr>
        <w:t>Air pollution exposures are scaled so that a one unit increase equals one interquartile range increase.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 w:rsidR="00277EB7">
        <w:rPr>
          <w:rFonts w:ascii="Arial" w:hAnsi="Arial" w:cs="Arial"/>
          <w:sz w:val="22"/>
          <w:szCs w:val="22"/>
        </w:rPr>
        <w:t>198</w:t>
      </w:r>
      <w:r>
        <w:rPr>
          <w:rFonts w:ascii="Arial" w:hAnsi="Arial" w:cs="Arial"/>
          <w:sz w:val="22"/>
          <w:szCs w:val="22"/>
        </w:rPr>
        <w:t xml:space="preserve"> cases, 34</w:t>
      </w:r>
      <w:r w:rsidR="006C34FB">
        <w:rPr>
          <w:rFonts w:ascii="Arial" w:hAnsi="Arial" w:cs="Arial"/>
          <w:sz w:val="22"/>
          <w:szCs w:val="22"/>
        </w:rPr>
        <w:t>,</w:t>
      </w:r>
      <w:r w:rsidR="00277EB7">
        <w:rPr>
          <w:rFonts w:ascii="Arial" w:hAnsi="Arial" w:cs="Arial"/>
          <w:sz w:val="22"/>
          <w:szCs w:val="22"/>
        </w:rPr>
        <w:t xml:space="preserve">429 </w:t>
      </w:r>
      <w:r>
        <w:rPr>
          <w:rFonts w:ascii="Arial" w:hAnsi="Arial" w:cs="Arial"/>
          <w:sz w:val="22"/>
          <w:szCs w:val="22"/>
        </w:rPr>
        <w:t xml:space="preserve">controls; </w:t>
      </w:r>
      <w:r>
        <w:rPr>
          <w:rFonts w:ascii="Arial" w:hAnsi="Arial" w:cs="Arial"/>
          <w:sz w:val="22"/>
          <w:szCs w:val="22"/>
          <w:vertAlign w:val="superscript"/>
        </w:rPr>
        <w:t>b</w:t>
      </w:r>
      <w:r>
        <w:rPr>
          <w:rFonts w:ascii="Arial" w:hAnsi="Arial" w:cs="Arial"/>
          <w:sz w:val="22"/>
          <w:szCs w:val="22"/>
        </w:rPr>
        <w:t>271 cases, 44</w:t>
      </w:r>
      <w:r w:rsidR="006C34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457 controls; </w:t>
      </w:r>
      <w:r>
        <w:rPr>
          <w:rFonts w:ascii="Arial" w:hAnsi="Arial" w:cs="Arial"/>
          <w:sz w:val="22"/>
          <w:szCs w:val="22"/>
          <w:vertAlign w:val="superscript"/>
        </w:rPr>
        <w:t>c</w:t>
      </w:r>
      <w:r>
        <w:rPr>
          <w:rFonts w:ascii="Arial" w:hAnsi="Arial" w:cs="Arial"/>
          <w:sz w:val="22"/>
          <w:szCs w:val="22"/>
        </w:rPr>
        <w:t>307 cases, 68</w:t>
      </w:r>
      <w:r w:rsidR="006C34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174 controls.</w:t>
      </w:r>
    </w:p>
    <w:p w14:paraId="37FDEBE6" w14:textId="77777777" w:rsidR="00554212" w:rsidRDefault="00554212" w:rsidP="00554212">
      <w:pPr>
        <w:jc w:val="both"/>
        <w:rPr>
          <w:rFonts w:ascii="Arial" w:hAnsi="Arial" w:cs="Arial"/>
          <w:sz w:val="22"/>
          <w:szCs w:val="22"/>
        </w:rPr>
      </w:pPr>
    </w:p>
    <w:p w14:paraId="67A57DE6" w14:textId="3E2A8131" w:rsidR="00B16189" w:rsidRDefault="00714025" w:rsidP="00A00C63">
      <w:pPr>
        <w:pStyle w:val="Normal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Supplementary </w:t>
      </w:r>
      <w:r w:rsidR="007F19C1">
        <w:rPr>
          <w:rFonts w:ascii="Arial" w:hAnsi="Arial" w:cs="Arial"/>
          <w:sz w:val="22"/>
          <w:szCs w:val="22"/>
        </w:rPr>
        <w:t xml:space="preserve">Table 2. </w:t>
      </w:r>
      <w:r w:rsidR="007F19C1" w:rsidRPr="003557BD">
        <w:rPr>
          <w:rFonts w:ascii="Arial" w:hAnsi="Arial" w:cs="Arial"/>
        </w:rPr>
        <w:t xml:space="preserve">Correlation </w:t>
      </w:r>
      <w:r w:rsidR="00E806B4">
        <w:rPr>
          <w:rFonts w:ascii="Arial" w:hAnsi="Arial" w:cs="Arial"/>
        </w:rPr>
        <w:t>m</w:t>
      </w:r>
      <w:r w:rsidR="007F19C1" w:rsidRPr="003557BD">
        <w:rPr>
          <w:rFonts w:ascii="Arial" w:hAnsi="Arial" w:cs="Arial"/>
        </w:rPr>
        <w:t>atrix of NO</w:t>
      </w:r>
      <w:r w:rsidR="007F19C1" w:rsidRPr="00E806B4">
        <w:rPr>
          <w:rFonts w:ascii="Arial" w:hAnsi="Arial" w:cs="Arial"/>
          <w:vertAlign w:val="subscript"/>
        </w:rPr>
        <w:t>2</w:t>
      </w:r>
      <w:r w:rsidR="007F19C1" w:rsidRPr="003557BD">
        <w:rPr>
          <w:rFonts w:ascii="Arial" w:hAnsi="Arial" w:cs="Arial"/>
        </w:rPr>
        <w:t xml:space="preserve"> </w:t>
      </w:r>
      <w:r w:rsidR="00E806B4">
        <w:rPr>
          <w:rFonts w:ascii="Arial" w:hAnsi="Arial" w:cs="Arial"/>
        </w:rPr>
        <w:t>m</w:t>
      </w:r>
      <w:r w:rsidR="007F19C1" w:rsidRPr="003557BD">
        <w:rPr>
          <w:rFonts w:ascii="Arial" w:hAnsi="Arial" w:cs="Arial"/>
        </w:rPr>
        <w:t xml:space="preserve">easures </w:t>
      </w:r>
      <w:r w:rsidR="00E806B4">
        <w:rPr>
          <w:rFonts w:ascii="Arial" w:hAnsi="Arial" w:cs="Arial"/>
        </w:rPr>
        <w:t>o</w:t>
      </w:r>
      <w:r w:rsidR="007F19C1" w:rsidRPr="003557BD">
        <w:rPr>
          <w:rFonts w:ascii="Arial" w:hAnsi="Arial" w:cs="Arial"/>
        </w:rPr>
        <w:t xml:space="preserve">ver </w:t>
      </w:r>
      <w:r w:rsidR="00E806B4">
        <w:rPr>
          <w:rFonts w:ascii="Arial" w:hAnsi="Arial" w:cs="Arial"/>
        </w:rPr>
        <w:t>t</w:t>
      </w:r>
      <w:r w:rsidR="007F19C1" w:rsidRPr="003557BD">
        <w:rPr>
          <w:rFonts w:ascii="Arial" w:hAnsi="Arial" w:cs="Arial"/>
        </w:rPr>
        <w:t>ime</w:t>
      </w:r>
      <w:r w:rsidR="008543E6">
        <w:rPr>
          <w:rFonts w:ascii="Arial" w:hAnsi="Arial" w:cs="Arial"/>
        </w:rPr>
        <w:t xml:space="preserve"> in the main study sample.</w:t>
      </w:r>
    </w:p>
    <w:p w14:paraId="4961B838" w14:textId="77777777" w:rsidR="00056B9D" w:rsidRPr="00A00C63" w:rsidRDefault="00056B9D" w:rsidP="00A00C63">
      <w:pPr>
        <w:pStyle w:val="Normal1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</w:tblGrid>
      <w:tr w:rsidR="00332DE3" w:rsidRPr="003557BD" w14:paraId="7FD3D7E8" w14:textId="77777777" w:rsidTr="006D3291">
        <w:tc>
          <w:tcPr>
            <w:tcW w:w="1400" w:type="dxa"/>
            <w:shd w:val="clear" w:color="auto" w:fill="auto"/>
          </w:tcPr>
          <w:p w14:paraId="0D41D103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30FC1285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NO</w:t>
            </w:r>
            <w:r w:rsidRPr="003557BD">
              <w:rPr>
                <w:rFonts w:ascii="Arial" w:hAnsi="Arial" w:cs="Arial"/>
                <w:vertAlign w:val="subscript"/>
              </w:rPr>
              <w:t>2</w:t>
            </w:r>
            <w:r w:rsidRPr="003557BD">
              <w:rPr>
                <w:rFonts w:ascii="Arial" w:hAnsi="Arial" w:cs="Arial"/>
              </w:rPr>
              <w:t xml:space="preserve"> 2005</w:t>
            </w:r>
          </w:p>
        </w:tc>
        <w:tc>
          <w:tcPr>
            <w:tcW w:w="1400" w:type="dxa"/>
            <w:shd w:val="clear" w:color="auto" w:fill="auto"/>
          </w:tcPr>
          <w:p w14:paraId="515F3528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NO</w:t>
            </w:r>
            <w:r w:rsidRPr="003557BD">
              <w:rPr>
                <w:rFonts w:ascii="Arial" w:hAnsi="Arial" w:cs="Arial"/>
                <w:vertAlign w:val="subscript"/>
              </w:rPr>
              <w:t>2</w:t>
            </w:r>
            <w:r w:rsidRPr="003557BD">
              <w:rPr>
                <w:rFonts w:ascii="Arial" w:hAnsi="Arial" w:cs="Arial"/>
              </w:rPr>
              <w:t xml:space="preserve"> 2006</w:t>
            </w:r>
          </w:p>
        </w:tc>
        <w:tc>
          <w:tcPr>
            <w:tcW w:w="1400" w:type="dxa"/>
            <w:shd w:val="clear" w:color="auto" w:fill="auto"/>
          </w:tcPr>
          <w:p w14:paraId="4C872C40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NO</w:t>
            </w:r>
            <w:r w:rsidRPr="003557BD">
              <w:rPr>
                <w:rFonts w:ascii="Arial" w:hAnsi="Arial" w:cs="Arial"/>
                <w:vertAlign w:val="subscript"/>
              </w:rPr>
              <w:t>2</w:t>
            </w:r>
            <w:r w:rsidRPr="003557BD">
              <w:rPr>
                <w:rFonts w:ascii="Arial" w:hAnsi="Arial" w:cs="Arial"/>
              </w:rPr>
              <w:t xml:space="preserve"> 2007</w:t>
            </w:r>
          </w:p>
        </w:tc>
        <w:tc>
          <w:tcPr>
            <w:tcW w:w="1400" w:type="dxa"/>
            <w:shd w:val="clear" w:color="auto" w:fill="auto"/>
          </w:tcPr>
          <w:p w14:paraId="78B98297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NO</w:t>
            </w:r>
            <w:r w:rsidRPr="003557BD">
              <w:rPr>
                <w:rFonts w:ascii="Arial" w:hAnsi="Arial" w:cs="Arial"/>
                <w:vertAlign w:val="subscript"/>
              </w:rPr>
              <w:t>2</w:t>
            </w:r>
            <w:r w:rsidRPr="003557BD">
              <w:rPr>
                <w:rFonts w:ascii="Arial" w:hAnsi="Arial" w:cs="Arial"/>
              </w:rPr>
              <w:t xml:space="preserve"> 2010</w:t>
            </w:r>
          </w:p>
        </w:tc>
      </w:tr>
      <w:tr w:rsidR="00332DE3" w:rsidRPr="003557BD" w14:paraId="2D3680B4" w14:textId="77777777" w:rsidTr="006D3291">
        <w:tc>
          <w:tcPr>
            <w:tcW w:w="1400" w:type="dxa"/>
            <w:shd w:val="clear" w:color="auto" w:fill="auto"/>
          </w:tcPr>
          <w:p w14:paraId="7D0EE5A0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NO</w:t>
            </w:r>
            <w:r w:rsidRPr="003557BD">
              <w:rPr>
                <w:rFonts w:ascii="Arial" w:hAnsi="Arial" w:cs="Arial"/>
                <w:vertAlign w:val="subscript"/>
              </w:rPr>
              <w:t>2</w:t>
            </w:r>
            <w:r w:rsidRPr="003557BD">
              <w:rPr>
                <w:rFonts w:ascii="Arial" w:hAnsi="Arial" w:cs="Arial"/>
              </w:rPr>
              <w:t xml:space="preserve"> 2005</w:t>
            </w:r>
          </w:p>
        </w:tc>
        <w:tc>
          <w:tcPr>
            <w:tcW w:w="1400" w:type="dxa"/>
            <w:shd w:val="clear" w:color="auto" w:fill="auto"/>
          </w:tcPr>
          <w:p w14:paraId="3F8C1F30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7D955C36" w14:textId="370020C3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65FF7369" w14:textId="6CF37C68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13FB5D49" w14:textId="1C261D4F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</w:p>
        </w:tc>
      </w:tr>
      <w:tr w:rsidR="00332DE3" w:rsidRPr="003557BD" w14:paraId="15850584" w14:textId="77777777" w:rsidTr="006D3291">
        <w:tc>
          <w:tcPr>
            <w:tcW w:w="1400" w:type="dxa"/>
            <w:shd w:val="clear" w:color="auto" w:fill="auto"/>
          </w:tcPr>
          <w:p w14:paraId="1EF4424C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NO</w:t>
            </w:r>
            <w:r w:rsidRPr="003557BD">
              <w:rPr>
                <w:rFonts w:ascii="Arial" w:hAnsi="Arial" w:cs="Arial"/>
                <w:vertAlign w:val="subscript"/>
              </w:rPr>
              <w:t>2</w:t>
            </w:r>
            <w:r w:rsidRPr="003557BD">
              <w:rPr>
                <w:rFonts w:ascii="Arial" w:hAnsi="Arial" w:cs="Arial"/>
              </w:rPr>
              <w:t xml:space="preserve"> 2006</w:t>
            </w:r>
          </w:p>
        </w:tc>
        <w:tc>
          <w:tcPr>
            <w:tcW w:w="1400" w:type="dxa"/>
            <w:shd w:val="clear" w:color="auto" w:fill="auto"/>
          </w:tcPr>
          <w:p w14:paraId="1BA02D56" w14:textId="1AF5A81E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0.99</w:t>
            </w:r>
          </w:p>
        </w:tc>
        <w:tc>
          <w:tcPr>
            <w:tcW w:w="1400" w:type="dxa"/>
            <w:shd w:val="clear" w:color="auto" w:fill="auto"/>
          </w:tcPr>
          <w:p w14:paraId="6AF7F9E8" w14:textId="77777777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463B25ED" w14:textId="7071CBBA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</w:tcPr>
          <w:p w14:paraId="662ADD9F" w14:textId="3BB3F2C0" w:rsidR="00332DE3" w:rsidRPr="003557BD" w:rsidRDefault="00332DE3" w:rsidP="006D3291">
            <w:pPr>
              <w:pStyle w:val="Normal1"/>
              <w:rPr>
                <w:rFonts w:ascii="Arial" w:hAnsi="Arial" w:cs="Arial"/>
              </w:rPr>
            </w:pPr>
          </w:p>
        </w:tc>
      </w:tr>
      <w:tr w:rsidR="00332DE3" w:rsidRPr="003557BD" w14:paraId="514F9C05" w14:textId="77777777" w:rsidTr="006D3291">
        <w:tc>
          <w:tcPr>
            <w:tcW w:w="1400" w:type="dxa"/>
            <w:shd w:val="clear" w:color="auto" w:fill="auto"/>
          </w:tcPr>
          <w:p w14:paraId="2B3149E2" w14:textId="77777777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NO</w:t>
            </w:r>
            <w:r w:rsidRPr="003557BD">
              <w:rPr>
                <w:rFonts w:ascii="Arial" w:hAnsi="Arial" w:cs="Arial"/>
                <w:vertAlign w:val="subscript"/>
              </w:rPr>
              <w:t>2</w:t>
            </w:r>
            <w:r w:rsidRPr="003557BD">
              <w:rPr>
                <w:rFonts w:ascii="Arial" w:hAnsi="Arial" w:cs="Arial"/>
              </w:rPr>
              <w:t xml:space="preserve"> 2007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1CEC2E08" w14:textId="53F891B9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2BAEB4F6" w14:textId="1DDDF05B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0.98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14:paraId="686102DA" w14:textId="77777777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14:paraId="6CB75BF4" w14:textId="13FEFA7C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</w:p>
        </w:tc>
      </w:tr>
      <w:tr w:rsidR="00332DE3" w:rsidRPr="003557BD" w14:paraId="696DE6C2" w14:textId="77777777" w:rsidTr="006D3291">
        <w:tc>
          <w:tcPr>
            <w:tcW w:w="1400" w:type="dxa"/>
            <w:shd w:val="clear" w:color="auto" w:fill="auto"/>
          </w:tcPr>
          <w:p w14:paraId="762159BC" w14:textId="77777777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NO</w:t>
            </w:r>
            <w:r w:rsidRPr="003557BD">
              <w:rPr>
                <w:rFonts w:ascii="Arial" w:hAnsi="Arial" w:cs="Arial"/>
                <w:vertAlign w:val="subscript"/>
              </w:rPr>
              <w:t>2</w:t>
            </w:r>
            <w:r w:rsidRPr="003557BD">
              <w:rPr>
                <w:rFonts w:ascii="Arial" w:hAnsi="Arial" w:cs="Arial"/>
              </w:rPr>
              <w:t xml:space="preserve"> 2010</w:t>
            </w:r>
          </w:p>
        </w:tc>
        <w:tc>
          <w:tcPr>
            <w:tcW w:w="1400" w:type="dxa"/>
            <w:shd w:val="clear" w:color="auto" w:fill="auto"/>
          </w:tcPr>
          <w:p w14:paraId="787C6D0A" w14:textId="7D3F19C4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14:paraId="587020A0" w14:textId="017481F3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14:paraId="60A08E0A" w14:textId="37DC204B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14:paraId="0A75EF67" w14:textId="77777777" w:rsidR="00332DE3" w:rsidRPr="003557BD" w:rsidRDefault="00332DE3" w:rsidP="00332DE3">
            <w:pPr>
              <w:pStyle w:val="Normal1"/>
              <w:rPr>
                <w:rFonts w:ascii="Arial" w:hAnsi="Arial" w:cs="Arial"/>
              </w:rPr>
            </w:pPr>
            <w:r w:rsidRPr="003557BD">
              <w:rPr>
                <w:rFonts w:ascii="Arial" w:hAnsi="Arial" w:cs="Arial"/>
              </w:rPr>
              <w:t>1</w:t>
            </w:r>
          </w:p>
        </w:tc>
      </w:tr>
    </w:tbl>
    <w:p w14:paraId="7AA60B05" w14:textId="77777777" w:rsidR="00986BD1" w:rsidRDefault="00986BD1" w:rsidP="00986B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3557BD">
        <w:rPr>
          <w:rFonts w:ascii="Arial" w:hAnsi="Arial" w:cs="Arial"/>
          <w:sz w:val="22"/>
          <w:szCs w:val="22"/>
        </w:rPr>
        <w:t>The UK Biobank reports NO</w:t>
      </w:r>
      <w:r w:rsidRPr="003557BD">
        <w:rPr>
          <w:rFonts w:ascii="Arial" w:hAnsi="Arial" w:cs="Arial"/>
          <w:sz w:val="22"/>
          <w:szCs w:val="22"/>
          <w:vertAlign w:val="subscript"/>
        </w:rPr>
        <w:t>2</w:t>
      </w:r>
      <w:r w:rsidRPr="003557BD">
        <w:rPr>
          <w:rFonts w:ascii="Arial" w:hAnsi="Arial" w:cs="Arial"/>
          <w:sz w:val="22"/>
          <w:szCs w:val="22"/>
        </w:rPr>
        <w:t xml:space="preserve"> estimates using EU-wide air pollution maps, and not ESCAPE methods, for 2005-2007. </w:t>
      </w:r>
    </w:p>
    <w:p w14:paraId="4F01A8EA" w14:textId="77777777" w:rsidR="00986BD1" w:rsidRDefault="00986BD1" w:rsidP="00986BD1">
      <w:pPr>
        <w:rPr>
          <w:rFonts w:ascii="Arial" w:hAnsi="Arial" w:cs="Arial"/>
          <w:sz w:val="22"/>
          <w:szCs w:val="22"/>
        </w:rPr>
      </w:pPr>
    </w:p>
    <w:p w14:paraId="406C13D6" w14:textId="77777777" w:rsidR="00332DE3" w:rsidRPr="003557BD" w:rsidRDefault="00332DE3">
      <w:pPr>
        <w:rPr>
          <w:rFonts w:ascii="Arial" w:hAnsi="Arial" w:cs="Arial"/>
          <w:sz w:val="22"/>
          <w:szCs w:val="22"/>
        </w:rPr>
      </w:pPr>
    </w:p>
    <w:sectPr w:rsidR="00332DE3" w:rsidRPr="003557BD" w:rsidSect="00576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12"/>
    <w:rsid w:val="000011AA"/>
    <w:rsid w:val="000043FC"/>
    <w:rsid w:val="00015937"/>
    <w:rsid w:val="000306EA"/>
    <w:rsid w:val="00033D95"/>
    <w:rsid w:val="000417CE"/>
    <w:rsid w:val="00056B9D"/>
    <w:rsid w:val="00067D96"/>
    <w:rsid w:val="0008125E"/>
    <w:rsid w:val="00082E0C"/>
    <w:rsid w:val="00095035"/>
    <w:rsid w:val="00096C7D"/>
    <w:rsid w:val="000A19A7"/>
    <w:rsid w:val="000A4503"/>
    <w:rsid w:val="000A4E1E"/>
    <w:rsid w:val="000C409B"/>
    <w:rsid w:val="000C4528"/>
    <w:rsid w:val="000D402C"/>
    <w:rsid w:val="000F7CE1"/>
    <w:rsid w:val="001064BF"/>
    <w:rsid w:val="001070AA"/>
    <w:rsid w:val="00113B26"/>
    <w:rsid w:val="0012116A"/>
    <w:rsid w:val="00122D67"/>
    <w:rsid w:val="00123D29"/>
    <w:rsid w:val="00124C11"/>
    <w:rsid w:val="00134170"/>
    <w:rsid w:val="00144B0E"/>
    <w:rsid w:val="0016665C"/>
    <w:rsid w:val="00170E28"/>
    <w:rsid w:val="00171560"/>
    <w:rsid w:val="001E4CB9"/>
    <w:rsid w:val="001F0A9C"/>
    <w:rsid w:val="001F0FC5"/>
    <w:rsid w:val="00203235"/>
    <w:rsid w:val="0020371C"/>
    <w:rsid w:val="00212758"/>
    <w:rsid w:val="00212C19"/>
    <w:rsid w:val="00277EB7"/>
    <w:rsid w:val="002B20AD"/>
    <w:rsid w:val="002D1C07"/>
    <w:rsid w:val="002E1E37"/>
    <w:rsid w:val="00320C0E"/>
    <w:rsid w:val="00320F46"/>
    <w:rsid w:val="0032175D"/>
    <w:rsid w:val="00321D6C"/>
    <w:rsid w:val="00332DE3"/>
    <w:rsid w:val="003348A7"/>
    <w:rsid w:val="003377A4"/>
    <w:rsid w:val="0034291A"/>
    <w:rsid w:val="003524B7"/>
    <w:rsid w:val="003557BD"/>
    <w:rsid w:val="00372933"/>
    <w:rsid w:val="00372DAD"/>
    <w:rsid w:val="0038731C"/>
    <w:rsid w:val="0039522F"/>
    <w:rsid w:val="003A2390"/>
    <w:rsid w:val="003B317F"/>
    <w:rsid w:val="003B7347"/>
    <w:rsid w:val="003E7ADC"/>
    <w:rsid w:val="0041117F"/>
    <w:rsid w:val="004146A4"/>
    <w:rsid w:val="00421B43"/>
    <w:rsid w:val="00434D7D"/>
    <w:rsid w:val="00437B87"/>
    <w:rsid w:val="00443D8E"/>
    <w:rsid w:val="00444067"/>
    <w:rsid w:val="00482BA3"/>
    <w:rsid w:val="00485BCB"/>
    <w:rsid w:val="00491143"/>
    <w:rsid w:val="00497154"/>
    <w:rsid w:val="004A5CE2"/>
    <w:rsid w:val="004B63B0"/>
    <w:rsid w:val="004B67E2"/>
    <w:rsid w:val="004C1062"/>
    <w:rsid w:val="004C2149"/>
    <w:rsid w:val="004C4538"/>
    <w:rsid w:val="004E0A82"/>
    <w:rsid w:val="004F432E"/>
    <w:rsid w:val="00502635"/>
    <w:rsid w:val="005172D0"/>
    <w:rsid w:val="00520ACE"/>
    <w:rsid w:val="005214D1"/>
    <w:rsid w:val="00554212"/>
    <w:rsid w:val="00573361"/>
    <w:rsid w:val="00576C46"/>
    <w:rsid w:val="00577086"/>
    <w:rsid w:val="005939A4"/>
    <w:rsid w:val="005B158D"/>
    <w:rsid w:val="005C3AE6"/>
    <w:rsid w:val="005F017E"/>
    <w:rsid w:val="00614803"/>
    <w:rsid w:val="006220C9"/>
    <w:rsid w:val="00623229"/>
    <w:rsid w:val="00624537"/>
    <w:rsid w:val="006446B2"/>
    <w:rsid w:val="0066720A"/>
    <w:rsid w:val="00682648"/>
    <w:rsid w:val="00686D08"/>
    <w:rsid w:val="006A37B7"/>
    <w:rsid w:val="006C34FB"/>
    <w:rsid w:val="006D3E71"/>
    <w:rsid w:val="00714025"/>
    <w:rsid w:val="00734203"/>
    <w:rsid w:val="00734698"/>
    <w:rsid w:val="007416D1"/>
    <w:rsid w:val="00752FE8"/>
    <w:rsid w:val="00784111"/>
    <w:rsid w:val="007B75A1"/>
    <w:rsid w:val="007C708F"/>
    <w:rsid w:val="007D318E"/>
    <w:rsid w:val="007F19C1"/>
    <w:rsid w:val="007F7F1A"/>
    <w:rsid w:val="00820011"/>
    <w:rsid w:val="008230F6"/>
    <w:rsid w:val="008237A8"/>
    <w:rsid w:val="008239CC"/>
    <w:rsid w:val="00831612"/>
    <w:rsid w:val="0083709D"/>
    <w:rsid w:val="0084368E"/>
    <w:rsid w:val="008543E6"/>
    <w:rsid w:val="00884523"/>
    <w:rsid w:val="008905A5"/>
    <w:rsid w:val="008B7CFA"/>
    <w:rsid w:val="008D60D6"/>
    <w:rsid w:val="008D6DF9"/>
    <w:rsid w:val="009133DF"/>
    <w:rsid w:val="0092091F"/>
    <w:rsid w:val="009233C5"/>
    <w:rsid w:val="00960A40"/>
    <w:rsid w:val="00964443"/>
    <w:rsid w:val="009644F2"/>
    <w:rsid w:val="00975EE4"/>
    <w:rsid w:val="00976C4B"/>
    <w:rsid w:val="00983323"/>
    <w:rsid w:val="00986BD1"/>
    <w:rsid w:val="009919A4"/>
    <w:rsid w:val="00996958"/>
    <w:rsid w:val="009A7BA6"/>
    <w:rsid w:val="009B7527"/>
    <w:rsid w:val="009C355D"/>
    <w:rsid w:val="009E20D3"/>
    <w:rsid w:val="009E686B"/>
    <w:rsid w:val="00A00C63"/>
    <w:rsid w:val="00A01114"/>
    <w:rsid w:val="00A0557E"/>
    <w:rsid w:val="00A15131"/>
    <w:rsid w:val="00A36961"/>
    <w:rsid w:val="00A42A3B"/>
    <w:rsid w:val="00A440B1"/>
    <w:rsid w:val="00A479FE"/>
    <w:rsid w:val="00A55751"/>
    <w:rsid w:val="00A66E1C"/>
    <w:rsid w:val="00A72A82"/>
    <w:rsid w:val="00A90191"/>
    <w:rsid w:val="00A97045"/>
    <w:rsid w:val="00AA0784"/>
    <w:rsid w:val="00AA6FC8"/>
    <w:rsid w:val="00AB182F"/>
    <w:rsid w:val="00AB60ED"/>
    <w:rsid w:val="00AF2DB0"/>
    <w:rsid w:val="00B462A7"/>
    <w:rsid w:val="00B627B7"/>
    <w:rsid w:val="00B74C12"/>
    <w:rsid w:val="00B966F9"/>
    <w:rsid w:val="00B9733B"/>
    <w:rsid w:val="00BB1AD9"/>
    <w:rsid w:val="00BC0E85"/>
    <w:rsid w:val="00BC5387"/>
    <w:rsid w:val="00BE367C"/>
    <w:rsid w:val="00BE576C"/>
    <w:rsid w:val="00C011DA"/>
    <w:rsid w:val="00C1048E"/>
    <w:rsid w:val="00C2103F"/>
    <w:rsid w:val="00C22C80"/>
    <w:rsid w:val="00C30D86"/>
    <w:rsid w:val="00C630D5"/>
    <w:rsid w:val="00C66080"/>
    <w:rsid w:val="00C66782"/>
    <w:rsid w:val="00C94D99"/>
    <w:rsid w:val="00CB2F4F"/>
    <w:rsid w:val="00CD32FB"/>
    <w:rsid w:val="00CD4955"/>
    <w:rsid w:val="00CE327A"/>
    <w:rsid w:val="00CF2AAB"/>
    <w:rsid w:val="00CF576A"/>
    <w:rsid w:val="00D12F8C"/>
    <w:rsid w:val="00D16D15"/>
    <w:rsid w:val="00D21AE5"/>
    <w:rsid w:val="00D311D6"/>
    <w:rsid w:val="00D37F10"/>
    <w:rsid w:val="00D419F5"/>
    <w:rsid w:val="00D503B3"/>
    <w:rsid w:val="00D56F86"/>
    <w:rsid w:val="00D600B8"/>
    <w:rsid w:val="00D7419F"/>
    <w:rsid w:val="00D8027F"/>
    <w:rsid w:val="00D8133B"/>
    <w:rsid w:val="00D865ED"/>
    <w:rsid w:val="00D87FA6"/>
    <w:rsid w:val="00E01FEF"/>
    <w:rsid w:val="00E0235A"/>
    <w:rsid w:val="00E1076C"/>
    <w:rsid w:val="00E3604D"/>
    <w:rsid w:val="00E64AA6"/>
    <w:rsid w:val="00E806B4"/>
    <w:rsid w:val="00E90EED"/>
    <w:rsid w:val="00E96B3A"/>
    <w:rsid w:val="00EA2CD9"/>
    <w:rsid w:val="00EA6A3D"/>
    <w:rsid w:val="00EA767F"/>
    <w:rsid w:val="00EB27F7"/>
    <w:rsid w:val="00EC0A23"/>
    <w:rsid w:val="00EC75E9"/>
    <w:rsid w:val="00ED412B"/>
    <w:rsid w:val="00EE31A5"/>
    <w:rsid w:val="00F01106"/>
    <w:rsid w:val="00F21B7C"/>
    <w:rsid w:val="00F37024"/>
    <w:rsid w:val="00F45AFF"/>
    <w:rsid w:val="00F47876"/>
    <w:rsid w:val="00F578F8"/>
    <w:rsid w:val="00F6600D"/>
    <w:rsid w:val="00F668BD"/>
    <w:rsid w:val="00FA2A34"/>
    <w:rsid w:val="00FA3FB3"/>
    <w:rsid w:val="00FE6196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F9E37"/>
  <w15:docId w15:val="{984FDF50-3592-4448-A404-0738F391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6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6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EF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link w:val="Normal1Char"/>
    <w:rsid w:val="007F19C1"/>
    <w:rPr>
      <w:rFonts w:ascii="Times New Roman" w:eastAsia="Times New Roman" w:hAnsi="Times New Roman" w:cs="Times New Roman"/>
    </w:rPr>
  </w:style>
  <w:style w:type="character" w:customStyle="1" w:styleId="Normal1Char">
    <w:name w:val="Normal1 Char"/>
    <w:basedOn w:val="DefaultParagraphFont"/>
    <w:link w:val="Normal1"/>
    <w:rsid w:val="007F19C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19C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Raichlen</dc:creator>
  <cp:keywords/>
  <dc:description/>
  <cp:lastModifiedBy>David Raichlen</cp:lastModifiedBy>
  <cp:revision>4</cp:revision>
  <dcterms:created xsi:type="dcterms:W3CDTF">2021-06-16T17:35:00Z</dcterms:created>
  <dcterms:modified xsi:type="dcterms:W3CDTF">2021-09-21T22:38:00Z</dcterms:modified>
</cp:coreProperties>
</file>