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499C" w14:textId="34FF6C94" w:rsidR="00F5438D" w:rsidRDefault="00BD4141" w:rsidP="00F5438D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 w:rsidR="00410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="00F5438D">
        <w:rPr>
          <w:rFonts w:ascii="Times New Roman" w:eastAsia="Times New Roman" w:hAnsi="Times New Roman" w:cs="Times New Roman"/>
          <w:color w:val="000000"/>
          <w:sz w:val="24"/>
          <w:szCs w:val="24"/>
        </w:rPr>
        <w:t>Categories of Clinical Competency Expectations for GW</w:t>
      </w:r>
      <w:r w:rsidR="00F5438D">
        <w:rPr>
          <w:rFonts w:ascii="Times New Roman" w:eastAsia="Times New Roman" w:hAnsi="Times New Roman" w:cs="Times New Roman"/>
          <w:sz w:val="24"/>
          <w:szCs w:val="24"/>
        </w:rPr>
        <w:t>EP</w:t>
      </w:r>
      <w:r w:rsidR="00F54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Fellows</w:t>
      </w:r>
    </w:p>
    <w:tbl>
      <w:tblPr>
        <w:tblStyle w:val="1"/>
        <w:tblW w:w="934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F5438D" w14:paraId="2E6003C9" w14:textId="77777777" w:rsidTr="002D323F">
        <w:trPr>
          <w:trHeight w:val="60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A524" w14:textId="77777777" w:rsidR="00F5438D" w:rsidRDefault="00F5438D" w:rsidP="002D32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Geriatric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Clinical Competencies</w:t>
            </w:r>
          </w:p>
        </w:tc>
      </w:tr>
      <w:tr w:rsidR="00F5438D" w:rsidRPr="00F5438D" w14:paraId="620E09C8" w14:textId="77777777" w:rsidTr="00F5438D">
        <w:trPr>
          <w:trHeight w:val="447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0838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Differentiate between normal physiologic age-related changes and abnormal disease-related findings.   </w:t>
            </w:r>
          </w:p>
        </w:tc>
      </w:tr>
      <w:tr w:rsidR="00F5438D" w:rsidRPr="00F5438D" w14:paraId="6AF37636" w14:textId="77777777" w:rsidTr="00F5438D">
        <w:trPr>
          <w:trHeight w:val="33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3BC3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Assess/diagnose disease and clinical syndromes in older adults.</w:t>
            </w:r>
          </w:p>
        </w:tc>
      </w:tr>
      <w:tr w:rsidR="00F5438D" w:rsidRPr="00F5438D" w14:paraId="547F8B4B" w14:textId="77777777" w:rsidTr="00F5438D">
        <w:trPr>
          <w:trHeight w:val="32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F5AC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Manage common disease states and clinical syndromes in older adults.</w:t>
            </w:r>
          </w:p>
        </w:tc>
      </w:tr>
      <w:tr w:rsidR="00F5438D" w:rsidRPr="00F5438D" w14:paraId="3F33E230" w14:textId="77777777" w:rsidTr="00F5438D">
        <w:trPr>
          <w:trHeight w:val="32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A4D9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Assess/diagnose alterations in cognitive status including dementia, delirium, and depression.</w:t>
            </w:r>
          </w:p>
        </w:tc>
      </w:tr>
      <w:tr w:rsidR="00F5438D" w:rsidRPr="00F5438D" w14:paraId="759811F9" w14:textId="77777777" w:rsidTr="00F5438D">
        <w:trPr>
          <w:trHeight w:val="32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1E9C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Assess psychosocial status using standardized procedures and instruments.</w:t>
            </w:r>
          </w:p>
        </w:tc>
      </w:tr>
      <w:tr w:rsidR="00F5438D" w:rsidRPr="00F5438D" w14:paraId="39A78BF1" w14:textId="77777777" w:rsidTr="00F5438D">
        <w:trPr>
          <w:trHeight w:val="4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6C59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Counsel patients and families for management of psychosocial needs.</w:t>
            </w:r>
          </w:p>
        </w:tc>
      </w:tr>
      <w:tr w:rsidR="00F5438D" w:rsidRPr="00F5438D" w14:paraId="6A98590F" w14:textId="77777777" w:rsidTr="00F5438D">
        <w:trPr>
          <w:trHeight w:val="59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6ED2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Manage medications for treatment of disease and clinical syndromes consistent with age-related pharmacokinetics and pharmacodynamics (APN only)</w:t>
            </w:r>
          </w:p>
        </w:tc>
      </w:tr>
      <w:tr w:rsidR="00F5438D" w:rsidRPr="00F5438D" w14:paraId="4470E6F2" w14:textId="77777777" w:rsidTr="00F5438D">
        <w:trPr>
          <w:trHeight w:val="23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8E81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Demonstrate culturally sensitive shared decision-making with patients and families/caregivers.</w:t>
            </w:r>
          </w:p>
        </w:tc>
      </w:tr>
      <w:tr w:rsidR="00F5438D" w:rsidRPr="00F5438D" w14:paraId="7596EA3B" w14:textId="77777777" w:rsidTr="00F5438D">
        <w:trPr>
          <w:trHeight w:val="303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A3F6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Manage transitions of care across settings.</w:t>
            </w:r>
          </w:p>
        </w:tc>
      </w:tr>
      <w:tr w:rsidR="00F5438D" w:rsidRPr="00F5438D" w14:paraId="0529C95C" w14:textId="77777777" w:rsidTr="00F5438D">
        <w:trPr>
          <w:trHeight w:val="32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DFC8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Educate patient and family/caregivers to support highest levels of independence.</w:t>
            </w:r>
          </w:p>
        </w:tc>
      </w:tr>
      <w:tr w:rsidR="00F5438D" w:rsidRPr="00F5438D" w14:paraId="427DEE4D" w14:textId="77777777" w:rsidTr="00F5438D">
        <w:trPr>
          <w:trHeight w:val="14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8FC3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Work effectively in interprofessional teams.</w:t>
            </w:r>
          </w:p>
        </w:tc>
      </w:tr>
      <w:tr w:rsidR="00F5438D" w:rsidRPr="00F5438D" w14:paraId="51F96A9A" w14:textId="77777777" w:rsidTr="00F5438D">
        <w:trPr>
          <w:trHeight w:val="294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DE3B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Use community resources to support patient independence and caregiver respite. </w:t>
            </w:r>
          </w:p>
        </w:tc>
      </w:tr>
      <w:tr w:rsidR="00F5438D" w:rsidRPr="00F5438D" w14:paraId="663C587F" w14:textId="77777777" w:rsidTr="00F5438D">
        <w:trPr>
          <w:trHeight w:val="32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88CF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Communicate about clinical cases in a clear and concise manner.</w:t>
            </w:r>
          </w:p>
        </w:tc>
      </w:tr>
      <w:tr w:rsidR="00F5438D" w:rsidRPr="00F5438D" w14:paraId="2C271640" w14:textId="77777777" w:rsidTr="00F5438D">
        <w:trPr>
          <w:trHeight w:val="41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DE2C" w14:textId="77777777" w:rsidR="00F5438D" w:rsidRPr="00F5438D" w:rsidRDefault="00F5438D" w:rsidP="002D323F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Evaluate patient and family/caregiver outcomes using findings to modify the plan of care. </w:t>
            </w:r>
          </w:p>
        </w:tc>
      </w:tr>
      <w:tr w:rsidR="00F5438D" w:rsidRPr="00F5438D" w14:paraId="7F33F676" w14:textId="77777777" w:rsidTr="00F5438D">
        <w:trPr>
          <w:trHeight w:val="59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6E0A" w14:textId="77777777" w:rsidR="00F5438D" w:rsidRPr="00F5438D" w:rsidRDefault="00F5438D" w:rsidP="00F5438D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Use change strategies to modify system-level barriers to delivery of best practices in care of older adults.</w:t>
            </w:r>
          </w:p>
          <w:p w14:paraId="36C358D7" w14:textId="77777777" w:rsidR="00F5438D" w:rsidRPr="00F5438D" w:rsidRDefault="00F5438D" w:rsidP="002D323F">
            <w:pPr>
              <w:spacing w:before="12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F543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</w:tbl>
    <w:p w14:paraId="0782FC37" w14:textId="77777777" w:rsidR="00EF6D56" w:rsidRDefault="00F5438D" w:rsidP="00C04CF2">
      <w:pPr>
        <w:spacing w:before="240" w:after="240" w:line="480" w:lineRule="auto"/>
      </w:pPr>
      <w:r w:rsidRPr="004E4E4C">
        <w:rPr>
          <w:rFonts w:ascii="Times New Roman" w:eastAsia="Times New Roman" w:hAnsi="Times New Roman" w:cs="Times New Roman"/>
          <w:i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Competencies in each category were tailored to the professional role differentiating performance expectations for social workers, nurse practitioners, and clinical nurse specialists.</w:t>
      </w:r>
    </w:p>
    <w:sectPr w:rsidR="00EF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8D"/>
    <w:rsid w:val="00410B0F"/>
    <w:rsid w:val="006A0BAE"/>
    <w:rsid w:val="00BC1CA0"/>
    <w:rsid w:val="00BD4141"/>
    <w:rsid w:val="00C04CF2"/>
    <w:rsid w:val="00EB1BEA"/>
    <w:rsid w:val="00EF6D56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1B00"/>
  <w15:chartTrackingRefBased/>
  <w15:docId w15:val="{14A3998B-D75C-4C42-AA6B-6895C2AB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8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F5438D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Glassburn, Susan L</dc:creator>
  <cp:keywords/>
  <dc:description/>
  <cp:lastModifiedBy>Marilyn Oermann</cp:lastModifiedBy>
  <cp:revision>6</cp:revision>
  <dcterms:created xsi:type="dcterms:W3CDTF">2022-02-06T17:19:00Z</dcterms:created>
  <dcterms:modified xsi:type="dcterms:W3CDTF">2022-03-02T17:02:00Z</dcterms:modified>
</cp:coreProperties>
</file>