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D8EC" w14:textId="7F990D3A" w:rsidR="007931E8" w:rsidRPr="006D5382" w:rsidRDefault="006D5382" w:rsidP="006D5382">
      <w:pPr>
        <w:spacing w:line="360" w:lineRule="auto"/>
        <w:rPr>
          <w:b/>
          <w:bCs/>
        </w:rPr>
      </w:pPr>
      <w:r w:rsidRPr="006D5382">
        <w:rPr>
          <w:b/>
          <w:bCs/>
          <w:lang w:val="en-US"/>
        </w:rPr>
        <w:t>Supplemental Digital Content 2.</w:t>
      </w:r>
      <w:r w:rsidRPr="006D5382">
        <w:rPr>
          <w:lang w:val="en-US"/>
        </w:rPr>
        <w:t xml:space="preserve"> </w:t>
      </w:r>
      <w:r w:rsidRPr="006D5382">
        <w:rPr>
          <w:b/>
          <w:bCs/>
          <w:lang w:val="en-US"/>
        </w:rPr>
        <w:t>Risk of bias</w:t>
      </w:r>
    </w:p>
    <w:p w14:paraId="0015A038" w14:textId="77777777" w:rsidR="00F02B22" w:rsidRPr="006D5382" w:rsidRDefault="00F02B22" w:rsidP="006D5382">
      <w:pPr>
        <w:spacing w:line="360" w:lineRule="auto"/>
        <w:rPr>
          <w:b/>
          <w:bCs/>
        </w:rPr>
      </w:pPr>
    </w:p>
    <w:p w14:paraId="58B02696" w14:textId="77777777" w:rsidR="002B5220" w:rsidRPr="006D5382" w:rsidRDefault="002B5220" w:rsidP="006D5382">
      <w:pPr>
        <w:spacing w:line="360" w:lineRule="auto"/>
        <w:rPr>
          <w:b/>
          <w:bCs/>
        </w:rPr>
      </w:pPr>
      <w:r w:rsidRPr="006D5382">
        <w:rPr>
          <w:b/>
          <w:bCs/>
        </w:rPr>
        <w:t>Bias assessment of included papers</w:t>
      </w:r>
    </w:p>
    <w:p w14:paraId="78C522B4" w14:textId="77777777" w:rsidR="00F02B22" w:rsidRPr="006D5382" w:rsidRDefault="00F02B22" w:rsidP="006D5382">
      <w:pPr>
        <w:spacing w:line="360" w:lineRule="auto"/>
        <w:rPr>
          <w:b/>
          <w:bCs/>
        </w:rPr>
      </w:pPr>
    </w:p>
    <w:p w14:paraId="3DD1558B" w14:textId="77777777" w:rsidR="002B5220" w:rsidRPr="006D5382" w:rsidRDefault="002B5220" w:rsidP="006D5382">
      <w:pPr>
        <w:spacing w:line="360" w:lineRule="auto"/>
        <w:rPr>
          <w:b/>
          <w:bCs/>
        </w:rPr>
      </w:pPr>
    </w:p>
    <w:p w14:paraId="22CB7C9B" w14:textId="77777777" w:rsidR="0020264E" w:rsidRPr="006D5382" w:rsidRDefault="00432E76" w:rsidP="006D5382">
      <w:pPr>
        <w:spacing w:line="360" w:lineRule="auto"/>
      </w:pPr>
      <w:r w:rsidRPr="006D5382">
        <w:t xml:space="preserve">Risk of bias for the included papers was assessed using tools specific to the type of study. </w:t>
      </w:r>
      <w:r w:rsidR="00A61ECD" w:rsidRPr="006D5382">
        <w:t>The 59</w:t>
      </w:r>
      <w:r w:rsidRPr="006D5382">
        <w:t xml:space="preserve"> observational papers were categorised into Cohort</w:t>
      </w:r>
      <w:r w:rsidR="00544D77" w:rsidRPr="006D5382">
        <w:t xml:space="preserve"> </w:t>
      </w:r>
      <w:r w:rsidRPr="006D5382">
        <w:t xml:space="preserve"> (n=5</w:t>
      </w:r>
      <w:r w:rsidR="00A61ECD" w:rsidRPr="006D5382">
        <w:t>5</w:t>
      </w:r>
      <w:r w:rsidRPr="006D5382">
        <w:t>), Case Series (n=</w:t>
      </w:r>
      <w:r w:rsidR="00C97FE9" w:rsidRPr="006D5382">
        <w:t>1</w:t>
      </w:r>
      <w:r w:rsidRPr="006D5382">
        <w:t>) and Case Control (n=</w:t>
      </w:r>
      <w:r w:rsidR="00C97FE9" w:rsidRPr="006D5382">
        <w:t>3</w:t>
      </w:r>
      <w:r w:rsidRPr="006D5382">
        <w:t>)</w:t>
      </w:r>
      <w:r w:rsidR="000E21B4" w:rsidRPr="006D5382">
        <w:t xml:space="preserve"> studies</w:t>
      </w:r>
      <w:r w:rsidRPr="006D5382">
        <w:t xml:space="preserve"> and assessed using their respective Newcastle-Ottawa scoring tool</w:t>
      </w:r>
      <w:r w:rsidR="000E21B4" w:rsidRPr="006D5382">
        <w:t>*</w:t>
      </w:r>
      <w:r w:rsidRPr="006D5382">
        <w:t>.</w:t>
      </w:r>
      <w:r w:rsidR="002B5220" w:rsidRPr="006D5382">
        <w:rPr>
          <w:noProof/>
          <w:vertAlign w:val="superscript"/>
        </w:rPr>
        <w:t>1</w:t>
      </w:r>
      <w:r w:rsidRPr="006D5382">
        <w:t xml:space="preserve"> </w:t>
      </w:r>
      <w:r w:rsidR="00544D77" w:rsidRPr="006D5382">
        <w:t xml:space="preserve">These </w:t>
      </w:r>
      <w:r w:rsidR="00222571" w:rsidRPr="006D5382">
        <w:t xml:space="preserve">tools </w:t>
      </w:r>
      <w:r w:rsidR="00A61ECD" w:rsidRPr="006D5382">
        <w:t>were</w:t>
      </w:r>
      <w:r w:rsidR="00222571" w:rsidRPr="006D5382">
        <w:t xml:space="preserve"> domain-based evaluation</w:t>
      </w:r>
      <w:r w:rsidR="000E21B4" w:rsidRPr="006D5382">
        <w:t>s</w:t>
      </w:r>
      <w:r w:rsidR="00222571" w:rsidRPr="006D5382">
        <w:t>, where critical assessments are made separately for individual domains. The Newcastle-Ottawa Score has 3 domains; ‘selection’, ‘comparability’ and ‘outcome</w:t>
      </w:r>
      <w:r w:rsidR="00A61ECD" w:rsidRPr="006D5382">
        <w:t>/exposure</w:t>
      </w:r>
      <w:r w:rsidR="00222571" w:rsidRPr="006D5382">
        <w:t>’</w:t>
      </w:r>
      <w:r w:rsidR="0020264E" w:rsidRPr="006D5382">
        <w:t>, and awards ‘stars’ based upon meeting criteria in each domain.</w:t>
      </w:r>
      <w:r w:rsidR="00DA1B98" w:rsidRPr="006D5382">
        <w:rPr>
          <w:noProof/>
          <w:vertAlign w:val="superscript"/>
        </w:rPr>
        <w:t>2</w:t>
      </w:r>
      <w:r w:rsidR="0020264E" w:rsidRPr="006D5382">
        <w:t xml:space="preserve"> The </w:t>
      </w:r>
      <w:r w:rsidR="00C9543A" w:rsidRPr="006D5382">
        <w:t xml:space="preserve">total </w:t>
      </w:r>
      <w:r w:rsidR="0020264E" w:rsidRPr="006D5382">
        <w:t>number of stars in each domain is used to convert the Newcastle-Ottawa Score to AHRQ standards</w:t>
      </w:r>
      <w:r w:rsidR="000E21B4" w:rsidRPr="006D5382">
        <w:t xml:space="preserve">: </w:t>
      </w:r>
      <w:r w:rsidR="0020264E" w:rsidRPr="006D5382">
        <w:t xml:space="preserve">good, fair, and poor. </w:t>
      </w:r>
    </w:p>
    <w:p w14:paraId="7378083E" w14:textId="77777777" w:rsidR="0020264E" w:rsidRPr="006D5382" w:rsidRDefault="000E21B4" w:rsidP="006D5382">
      <w:pPr>
        <w:spacing w:line="360" w:lineRule="auto"/>
      </w:pPr>
      <w:r w:rsidRPr="006D5382">
        <w:t xml:space="preserve"> </w:t>
      </w:r>
    </w:p>
    <w:p w14:paraId="5EE12CBB" w14:textId="77777777" w:rsidR="00C9543A" w:rsidRPr="006D5382" w:rsidRDefault="00C9543A" w:rsidP="006D5382">
      <w:pPr>
        <w:spacing w:line="360" w:lineRule="auto"/>
      </w:pPr>
      <w:r w:rsidRPr="006D5382">
        <w:t>Two reviewers</w:t>
      </w:r>
      <w:r w:rsidR="002B5220" w:rsidRPr="006D5382">
        <w:t xml:space="preserve"> (RH, </w:t>
      </w:r>
      <w:r w:rsidR="00A61ECD" w:rsidRPr="006D5382">
        <w:t>A</w:t>
      </w:r>
      <w:r w:rsidR="002B5220" w:rsidRPr="006D5382">
        <w:t>R)</w:t>
      </w:r>
      <w:r w:rsidRPr="006D5382">
        <w:t xml:space="preserve"> assessed each paper independently after agreement of the criteria. Any disparities were resolved through discussion, with the input of a third reviewer </w:t>
      </w:r>
      <w:r w:rsidR="002B5220" w:rsidRPr="006D5382">
        <w:t xml:space="preserve">(AV) </w:t>
      </w:r>
      <w:r w:rsidRPr="006D5382">
        <w:t xml:space="preserve">if required. </w:t>
      </w:r>
      <w:bookmarkStart w:id="0" w:name="_Hlk73289598"/>
      <w:r w:rsidRPr="006D5382">
        <w:t>The majority (</w:t>
      </w:r>
      <w:r w:rsidR="005C2C11" w:rsidRPr="006D5382">
        <w:t>86</w:t>
      </w:r>
      <w:r w:rsidRPr="006D5382">
        <w:t xml:space="preserve">%) of </w:t>
      </w:r>
      <w:r w:rsidR="00AE1F1D" w:rsidRPr="006D5382">
        <w:t xml:space="preserve">papers </w:t>
      </w:r>
      <w:r w:rsidRPr="006D5382">
        <w:t>were assessed to be fair-good</w:t>
      </w:r>
      <w:bookmarkEnd w:id="0"/>
      <w:r w:rsidRPr="006D5382">
        <w:t xml:space="preserve">. </w:t>
      </w:r>
    </w:p>
    <w:p w14:paraId="7F7DE5A9" w14:textId="77777777" w:rsidR="00432E76" w:rsidRPr="006D5382" w:rsidRDefault="00432E76" w:rsidP="006D5382">
      <w:pPr>
        <w:spacing w:line="360" w:lineRule="auto"/>
      </w:pPr>
    </w:p>
    <w:p w14:paraId="1BE07B88" w14:textId="77777777" w:rsidR="003526B5" w:rsidRPr="006D5382" w:rsidRDefault="003526B5" w:rsidP="006D5382">
      <w:pPr>
        <w:spacing w:line="360" w:lineRule="auto"/>
      </w:pPr>
    </w:p>
    <w:p w14:paraId="0DEFE30E" w14:textId="77777777" w:rsidR="00EF4106" w:rsidRPr="006D5382" w:rsidRDefault="00EF4106" w:rsidP="006D5382">
      <w:pPr>
        <w:spacing w:line="360" w:lineRule="auto"/>
        <w:rPr>
          <w:b/>
          <w:bCs/>
          <w:u w:val="single"/>
        </w:rPr>
      </w:pPr>
    </w:p>
    <w:p w14:paraId="46E650F9" w14:textId="77777777" w:rsidR="00EF4106" w:rsidRPr="006D5382" w:rsidRDefault="00EF4106" w:rsidP="006D5382">
      <w:pPr>
        <w:spacing w:line="360" w:lineRule="auto"/>
        <w:rPr>
          <w:b/>
          <w:bCs/>
          <w:u w:val="single"/>
        </w:rPr>
      </w:pPr>
    </w:p>
    <w:p w14:paraId="0CBD45D7" w14:textId="77777777" w:rsidR="002F013E" w:rsidRPr="006D5382" w:rsidRDefault="002F013E" w:rsidP="006D5382">
      <w:pPr>
        <w:spacing w:line="360" w:lineRule="auto"/>
      </w:pPr>
    </w:p>
    <w:p w14:paraId="542CF35D" w14:textId="0C22C434" w:rsidR="00A61ECD" w:rsidRPr="006D5382" w:rsidRDefault="002664BF" w:rsidP="006D5382">
      <w:pPr>
        <w:spacing w:line="360" w:lineRule="auto"/>
      </w:pPr>
      <w:r w:rsidRPr="006D5382">
        <w:rPr>
          <w:noProof/>
        </w:rPr>
        <w:lastRenderedPageBreak/>
        <w:drawing>
          <wp:inline distT="0" distB="0" distL="0" distR="0" wp14:anchorId="45E65F15" wp14:editId="49EFB5EB">
            <wp:extent cx="5730240" cy="3421380"/>
            <wp:effectExtent l="0" t="0" r="0" b="0"/>
            <wp:docPr id="1"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pi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3421380"/>
                    </a:xfrm>
                    <a:prstGeom prst="rect">
                      <a:avLst/>
                    </a:prstGeom>
                    <a:noFill/>
                    <a:ln>
                      <a:noFill/>
                    </a:ln>
                  </pic:spPr>
                </pic:pic>
              </a:graphicData>
            </a:graphic>
          </wp:inline>
        </w:drawing>
      </w:r>
    </w:p>
    <w:p w14:paraId="5B8121B5" w14:textId="77777777" w:rsidR="002F013E" w:rsidRPr="006D5382" w:rsidRDefault="002F013E" w:rsidP="006D5382">
      <w:pPr>
        <w:spacing w:line="360" w:lineRule="auto"/>
      </w:pPr>
    </w:p>
    <w:p w14:paraId="03F6FE51" w14:textId="77777777" w:rsidR="00EF4106" w:rsidRPr="006D5382" w:rsidRDefault="00F5593D" w:rsidP="006D5382">
      <w:pPr>
        <w:spacing w:line="360" w:lineRule="auto"/>
        <w:sectPr w:rsidR="00EF4106" w:rsidRPr="006D5382" w:rsidSect="006D5382">
          <w:pgSz w:w="11900" w:h="16840"/>
          <w:pgMar w:top="1440" w:right="1440" w:bottom="1440" w:left="1440" w:header="720" w:footer="720" w:gutter="0"/>
          <w:cols w:space="720"/>
          <w:docGrid w:linePitch="360"/>
        </w:sectPr>
      </w:pPr>
      <w:r w:rsidRPr="006D5382">
        <w:rPr>
          <w:b/>
        </w:rPr>
        <w:t xml:space="preserve">Supplemental Digital Content </w:t>
      </w:r>
      <w:r w:rsidR="007931E8" w:rsidRPr="006D5382">
        <w:rPr>
          <w:b/>
        </w:rPr>
        <w:t>2</w:t>
      </w:r>
      <w:r w:rsidR="00C6508A" w:rsidRPr="006D5382">
        <w:rPr>
          <w:b/>
        </w:rPr>
        <w:t xml:space="preserve">, Figure </w:t>
      </w:r>
      <w:r w:rsidR="00F02B22" w:rsidRPr="006D5382">
        <w:rPr>
          <w:b/>
        </w:rPr>
        <w:t>1</w:t>
      </w:r>
      <w:r w:rsidR="00C6508A" w:rsidRPr="006D5382">
        <w:t>: AHRQ Assessment of Observational Papers (n=</w:t>
      </w:r>
      <w:r w:rsidR="00A61ECD" w:rsidRPr="006D5382">
        <w:t>59</w:t>
      </w:r>
      <w:r w:rsidR="00C6508A" w:rsidRPr="006D5382">
        <w:t>)</w:t>
      </w:r>
    </w:p>
    <w:p w14:paraId="35870992" w14:textId="77777777" w:rsidR="002B5220" w:rsidRPr="006D5382" w:rsidRDefault="002B5220" w:rsidP="006D5382">
      <w:pPr>
        <w:spacing w:line="360" w:lineRule="auto"/>
      </w:pPr>
    </w:p>
    <w:p w14:paraId="1886FCF5" w14:textId="39205584" w:rsidR="002B5220" w:rsidRPr="006D5382" w:rsidRDefault="002664BF" w:rsidP="006D5382">
      <w:pPr>
        <w:spacing w:line="360" w:lineRule="auto"/>
      </w:pPr>
      <w:r w:rsidRPr="006D5382">
        <w:rPr>
          <w:noProof/>
        </w:rPr>
        <w:drawing>
          <wp:inline distT="0" distB="0" distL="0" distR="0" wp14:anchorId="31DA7C1A" wp14:editId="768A77BC">
            <wp:extent cx="8862060" cy="309372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2060" cy="3093720"/>
                    </a:xfrm>
                    <a:prstGeom prst="rect">
                      <a:avLst/>
                    </a:prstGeom>
                    <a:noFill/>
                    <a:ln>
                      <a:noFill/>
                    </a:ln>
                  </pic:spPr>
                </pic:pic>
              </a:graphicData>
            </a:graphic>
          </wp:inline>
        </w:drawing>
      </w:r>
      <w:r w:rsidR="00544D77" w:rsidRPr="006D5382">
        <w:rPr>
          <w:noProof/>
        </w:rPr>
        <w:t xml:space="preserve"> </w:t>
      </w:r>
    </w:p>
    <w:p w14:paraId="0DA31175" w14:textId="77777777" w:rsidR="00EF4106" w:rsidRPr="006D5382" w:rsidRDefault="00EF4106" w:rsidP="006D5382">
      <w:pPr>
        <w:spacing w:line="360" w:lineRule="auto"/>
        <w:rPr>
          <w:b/>
        </w:rPr>
      </w:pPr>
    </w:p>
    <w:p w14:paraId="43E16FCC" w14:textId="77777777" w:rsidR="000E21B4" w:rsidRPr="006D5382" w:rsidRDefault="00F5593D" w:rsidP="006D5382">
      <w:pPr>
        <w:spacing w:line="360" w:lineRule="auto"/>
      </w:pPr>
      <w:r w:rsidRPr="006D5382">
        <w:rPr>
          <w:b/>
        </w:rPr>
        <w:t xml:space="preserve">Supplemental Digital Content </w:t>
      </w:r>
      <w:r w:rsidR="007931E8" w:rsidRPr="006D5382">
        <w:rPr>
          <w:b/>
        </w:rPr>
        <w:t>2</w:t>
      </w:r>
      <w:r w:rsidR="00C6508A" w:rsidRPr="006D5382">
        <w:rPr>
          <w:b/>
        </w:rPr>
        <w:t xml:space="preserve">, Figure </w:t>
      </w:r>
      <w:r w:rsidR="00F02B22" w:rsidRPr="006D5382">
        <w:rPr>
          <w:b/>
        </w:rPr>
        <w:t>2</w:t>
      </w:r>
      <w:r w:rsidR="00C6508A" w:rsidRPr="006D5382">
        <w:t>: Summary of Newcastle-Ottawa score for cohort studies</w:t>
      </w:r>
    </w:p>
    <w:p w14:paraId="3A8ACB16" w14:textId="405512EA" w:rsidR="000E21B4" w:rsidRPr="006D5382" w:rsidRDefault="002664BF" w:rsidP="006D5382">
      <w:pPr>
        <w:spacing w:line="360" w:lineRule="auto"/>
      </w:pPr>
      <w:r w:rsidRPr="006D5382">
        <w:rPr>
          <w:noProof/>
        </w:rPr>
        <w:drawing>
          <wp:inline distT="0" distB="0" distL="0" distR="0" wp14:anchorId="25D7B243" wp14:editId="2E3EF54B">
            <wp:extent cx="9128760" cy="32385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28760" cy="3238500"/>
                    </a:xfrm>
                    <a:prstGeom prst="rect">
                      <a:avLst/>
                    </a:prstGeom>
                    <a:noFill/>
                    <a:ln>
                      <a:noFill/>
                    </a:ln>
                  </pic:spPr>
                </pic:pic>
              </a:graphicData>
            </a:graphic>
          </wp:inline>
        </w:drawing>
      </w:r>
    </w:p>
    <w:p w14:paraId="799DECFF" w14:textId="77777777" w:rsidR="00EF4106" w:rsidRPr="006D5382" w:rsidRDefault="00EF4106" w:rsidP="006D5382">
      <w:pPr>
        <w:spacing w:line="360" w:lineRule="auto"/>
        <w:rPr>
          <w:b/>
        </w:rPr>
      </w:pPr>
    </w:p>
    <w:p w14:paraId="3A99E2F4" w14:textId="77777777" w:rsidR="00C6508A" w:rsidRPr="006D5382" w:rsidRDefault="00F5593D" w:rsidP="006D5382">
      <w:pPr>
        <w:spacing w:line="360" w:lineRule="auto"/>
      </w:pPr>
      <w:r w:rsidRPr="006D5382">
        <w:rPr>
          <w:b/>
        </w:rPr>
        <w:t xml:space="preserve">Supplemental Digital Content </w:t>
      </w:r>
      <w:r w:rsidR="007931E8" w:rsidRPr="006D5382">
        <w:rPr>
          <w:b/>
        </w:rPr>
        <w:t>2</w:t>
      </w:r>
      <w:r w:rsidR="00C6508A" w:rsidRPr="006D5382">
        <w:rPr>
          <w:b/>
        </w:rPr>
        <w:t xml:space="preserve">, Figure </w:t>
      </w:r>
      <w:r w:rsidR="00F02B22" w:rsidRPr="006D5382">
        <w:rPr>
          <w:b/>
        </w:rPr>
        <w:t>3</w:t>
      </w:r>
      <w:r w:rsidR="00C6508A" w:rsidRPr="006D5382">
        <w:t>: Summary of Newcastle-Ottawa score for case-control/case series studies</w:t>
      </w:r>
    </w:p>
    <w:p w14:paraId="07DFC33B" w14:textId="77777777" w:rsidR="007F26BF" w:rsidRDefault="007F26BF">
      <w:pPr>
        <w:rPr>
          <w:b/>
        </w:rPr>
      </w:pPr>
      <w:r>
        <w:rPr>
          <w:b/>
        </w:rPr>
        <w:br w:type="page"/>
      </w:r>
    </w:p>
    <w:p w14:paraId="6D6AFCCB" w14:textId="074F4A3D" w:rsidR="00404C5E" w:rsidRPr="006D5382" w:rsidRDefault="00F5593D" w:rsidP="006D5382">
      <w:pPr>
        <w:spacing w:line="360" w:lineRule="auto"/>
      </w:pPr>
      <w:r w:rsidRPr="006D5382">
        <w:rPr>
          <w:b/>
        </w:rPr>
        <w:lastRenderedPageBreak/>
        <w:t xml:space="preserve">Supplemental Digital Content </w:t>
      </w:r>
      <w:r w:rsidR="007931E8" w:rsidRPr="006D5382">
        <w:rPr>
          <w:b/>
        </w:rPr>
        <w:t>2</w:t>
      </w:r>
      <w:r w:rsidR="00C6508A" w:rsidRPr="006D5382">
        <w:rPr>
          <w:b/>
        </w:rPr>
        <w:t xml:space="preserve">, Table 1: </w:t>
      </w:r>
      <w:r w:rsidR="00C6508A" w:rsidRPr="006D5382">
        <w:t>Summary of Newcastle-Ottawa score for cohort studies</w:t>
      </w:r>
    </w:p>
    <w:p w14:paraId="3C70EB10" w14:textId="77777777" w:rsidR="00EF4106" w:rsidRPr="006D5382" w:rsidRDefault="00EF4106" w:rsidP="006D5382">
      <w:pPr>
        <w:spacing w:line="360" w:lineRule="auto"/>
      </w:pPr>
    </w:p>
    <w:tbl>
      <w:tblPr>
        <w:tblW w:w="8065" w:type="dxa"/>
        <w:tblLook w:val="04A0" w:firstRow="1" w:lastRow="0" w:firstColumn="1" w:lastColumn="0" w:noHBand="0" w:noVBand="1"/>
      </w:tblPr>
      <w:tblGrid>
        <w:gridCol w:w="2830"/>
        <w:gridCol w:w="1276"/>
        <w:gridCol w:w="1276"/>
        <w:gridCol w:w="1350"/>
        <w:gridCol w:w="1333"/>
      </w:tblGrid>
      <w:tr w:rsidR="006D5382" w:rsidRPr="006D5382" w14:paraId="6804D750" w14:textId="77777777" w:rsidTr="008D2B81">
        <w:trPr>
          <w:trHeight w:val="332"/>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2F68D44" w14:textId="77777777" w:rsidR="00C6508A" w:rsidRPr="006D5382" w:rsidRDefault="00C6508A" w:rsidP="006D5382">
            <w:pPr>
              <w:spacing w:line="360" w:lineRule="auto"/>
              <w:rPr>
                <w:b/>
                <w:bCs/>
              </w:rPr>
            </w:pPr>
            <w:r w:rsidRPr="006D5382">
              <w:rPr>
                <w:b/>
                <w:bCs/>
              </w:rPr>
              <w:t>Cohort (n=56)</w:t>
            </w:r>
          </w:p>
        </w:tc>
        <w:tc>
          <w:tcPr>
            <w:tcW w:w="1276" w:type="dxa"/>
            <w:tcBorders>
              <w:top w:val="single" w:sz="4" w:space="0" w:color="auto"/>
              <w:left w:val="nil"/>
              <w:bottom w:val="single" w:sz="4" w:space="0" w:color="auto"/>
              <w:right w:val="single" w:sz="4" w:space="0" w:color="auto"/>
            </w:tcBorders>
            <w:shd w:val="clear" w:color="auto" w:fill="auto"/>
            <w:hideMark/>
          </w:tcPr>
          <w:p w14:paraId="57965C58" w14:textId="77777777" w:rsidR="00C6508A" w:rsidRPr="006D5382" w:rsidRDefault="00C6508A" w:rsidP="006D5382">
            <w:pPr>
              <w:spacing w:line="360" w:lineRule="auto"/>
              <w:rPr>
                <w:b/>
                <w:bCs/>
              </w:rPr>
            </w:pPr>
            <w:r w:rsidRPr="006D5382">
              <w:rPr>
                <w:b/>
                <w:bCs/>
              </w:rPr>
              <w:t>2 stars</w:t>
            </w:r>
          </w:p>
        </w:tc>
        <w:tc>
          <w:tcPr>
            <w:tcW w:w="1276" w:type="dxa"/>
            <w:tcBorders>
              <w:top w:val="single" w:sz="4" w:space="0" w:color="auto"/>
              <w:left w:val="nil"/>
              <w:bottom w:val="single" w:sz="4" w:space="0" w:color="auto"/>
              <w:right w:val="single" w:sz="4" w:space="0" w:color="auto"/>
            </w:tcBorders>
            <w:shd w:val="clear" w:color="auto" w:fill="auto"/>
            <w:hideMark/>
          </w:tcPr>
          <w:p w14:paraId="3E61725D" w14:textId="77777777" w:rsidR="00C6508A" w:rsidRPr="006D5382" w:rsidRDefault="00C6508A" w:rsidP="006D5382">
            <w:pPr>
              <w:spacing w:line="360" w:lineRule="auto"/>
              <w:rPr>
                <w:b/>
                <w:bCs/>
              </w:rPr>
            </w:pPr>
            <w:r w:rsidRPr="006D5382">
              <w:rPr>
                <w:b/>
                <w:bCs/>
              </w:rPr>
              <w:t>1 star</w:t>
            </w:r>
          </w:p>
        </w:tc>
        <w:tc>
          <w:tcPr>
            <w:tcW w:w="1350" w:type="dxa"/>
            <w:tcBorders>
              <w:top w:val="single" w:sz="4" w:space="0" w:color="auto"/>
              <w:left w:val="nil"/>
              <w:bottom w:val="single" w:sz="4" w:space="0" w:color="auto"/>
              <w:right w:val="single" w:sz="4" w:space="0" w:color="auto"/>
            </w:tcBorders>
            <w:shd w:val="clear" w:color="auto" w:fill="auto"/>
            <w:hideMark/>
          </w:tcPr>
          <w:p w14:paraId="3B6D1DD2" w14:textId="77777777" w:rsidR="00C6508A" w:rsidRPr="006D5382" w:rsidRDefault="00C6508A" w:rsidP="006D5382">
            <w:pPr>
              <w:spacing w:line="360" w:lineRule="auto"/>
              <w:rPr>
                <w:b/>
                <w:bCs/>
              </w:rPr>
            </w:pPr>
            <w:r w:rsidRPr="006D5382">
              <w:rPr>
                <w:b/>
                <w:bCs/>
              </w:rPr>
              <w:t>No star</w:t>
            </w:r>
          </w:p>
        </w:tc>
        <w:tc>
          <w:tcPr>
            <w:tcW w:w="1333" w:type="dxa"/>
            <w:tcBorders>
              <w:top w:val="single" w:sz="4" w:space="0" w:color="auto"/>
              <w:left w:val="nil"/>
              <w:bottom w:val="single" w:sz="4" w:space="0" w:color="auto"/>
              <w:right w:val="single" w:sz="4" w:space="0" w:color="auto"/>
            </w:tcBorders>
            <w:shd w:val="clear" w:color="auto" w:fill="auto"/>
            <w:hideMark/>
          </w:tcPr>
          <w:p w14:paraId="641DD86E" w14:textId="77777777" w:rsidR="00C6508A" w:rsidRPr="006D5382" w:rsidRDefault="00C6508A" w:rsidP="006D5382">
            <w:pPr>
              <w:spacing w:line="360" w:lineRule="auto"/>
              <w:rPr>
                <w:b/>
                <w:bCs/>
              </w:rPr>
            </w:pPr>
            <w:r w:rsidRPr="006D5382">
              <w:rPr>
                <w:b/>
                <w:bCs/>
              </w:rPr>
              <w:t>Total</w:t>
            </w:r>
          </w:p>
        </w:tc>
      </w:tr>
      <w:tr w:rsidR="006D5382" w:rsidRPr="006D5382" w14:paraId="1253C4A0" w14:textId="77777777" w:rsidTr="008D2B81">
        <w:trPr>
          <w:trHeight w:val="666"/>
        </w:trPr>
        <w:tc>
          <w:tcPr>
            <w:tcW w:w="2830" w:type="dxa"/>
            <w:tcBorders>
              <w:top w:val="nil"/>
              <w:left w:val="single" w:sz="4" w:space="0" w:color="auto"/>
              <w:bottom w:val="single" w:sz="4" w:space="0" w:color="auto"/>
              <w:right w:val="single" w:sz="4" w:space="0" w:color="auto"/>
            </w:tcBorders>
            <w:shd w:val="clear" w:color="auto" w:fill="auto"/>
            <w:hideMark/>
          </w:tcPr>
          <w:p w14:paraId="1CC512B9" w14:textId="77777777" w:rsidR="00C6508A" w:rsidRPr="006D5382" w:rsidRDefault="00C6508A" w:rsidP="006D5382">
            <w:pPr>
              <w:spacing w:line="360" w:lineRule="auto"/>
            </w:pPr>
            <w:r w:rsidRPr="006D5382">
              <w:t>Representativeness of the exposed cohort</w:t>
            </w:r>
          </w:p>
        </w:tc>
        <w:tc>
          <w:tcPr>
            <w:tcW w:w="1276" w:type="dxa"/>
            <w:tcBorders>
              <w:top w:val="nil"/>
              <w:left w:val="nil"/>
              <w:bottom w:val="single" w:sz="4" w:space="0" w:color="auto"/>
              <w:right w:val="single" w:sz="4" w:space="0" w:color="auto"/>
            </w:tcBorders>
            <w:shd w:val="clear" w:color="auto" w:fill="auto"/>
            <w:hideMark/>
          </w:tcPr>
          <w:p w14:paraId="4F6C03F2" w14:textId="77777777" w:rsidR="00C6508A" w:rsidRPr="006D5382" w:rsidRDefault="00C6508A" w:rsidP="006D5382">
            <w:pPr>
              <w:spacing w:line="360" w:lineRule="auto"/>
            </w:pPr>
          </w:p>
        </w:tc>
        <w:tc>
          <w:tcPr>
            <w:tcW w:w="1276" w:type="dxa"/>
            <w:tcBorders>
              <w:top w:val="nil"/>
              <w:left w:val="nil"/>
              <w:bottom w:val="single" w:sz="4" w:space="0" w:color="auto"/>
              <w:right w:val="single" w:sz="4" w:space="0" w:color="auto"/>
            </w:tcBorders>
            <w:shd w:val="clear" w:color="auto" w:fill="auto"/>
            <w:hideMark/>
          </w:tcPr>
          <w:p w14:paraId="7DE0325A" w14:textId="77777777" w:rsidR="00C6508A" w:rsidRPr="006D5382" w:rsidRDefault="00C6508A" w:rsidP="006D5382">
            <w:pPr>
              <w:spacing w:line="360" w:lineRule="auto"/>
            </w:pPr>
            <w:r w:rsidRPr="006D5382">
              <w:t>2</w:t>
            </w:r>
            <w:r w:rsidR="00A61ECD" w:rsidRPr="006D5382">
              <w:t>1</w:t>
            </w:r>
          </w:p>
        </w:tc>
        <w:tc>
          <w:tcPr>
            <w:tcW w:w="1350" w:type="dxa"/>
            <w:tcBorders>
              <w:top w:val="nil"/>
              <w:left w:val="nil"/>
              <w:bottom w:val="single" w:sz="4" w:space="0" w:color="auto"/>
              <w:right w:val="single" w:sz="4" w:space="0" w:color="auto"/>
            </w:tcBorders>
            <w:shd w:val="clear" w:color="auto" w:fill="auto"/>
            <w:hideMark/>
          </w:tcPr>
          <w:p w14:paraId="1CF8A5ED" w14:textId="77777777" w:rsidR="00C6508A" w:rsidRPr="006D5382" w:rsidRDefault="00C6508A" w:rsidP="006D5382">
            <w:pPr>
              <w:spacing w:line="360" w:lineRule="auto"/>
            </w:pPr>
            <w:r w:rsidRPr="006D5382">
              <w:t>34</w:t>
            </w:r>
          </w:p>
        </w:tc>
        <w:tc>
          <w:tcPr>
            <w:tcW w:w="1333" w:type="dxa"/>
            <w:tcBorders>
              <w:top w:val="nil"/>
              <w:left w:val="nil"/>
              <w:bottom w:val="single" w:sz="4" w:space="0" w:color="auto"/>
              <w:right w:val="single" w:sz="4" w:space="0" w:color="auto"/>
            </w:tcBorders>
            <w:shd w:val="clear" w:color="auto" w:fill="auto"/>
            <w:hideMark/>
          </w:tcPr>
          <w:p w14:paraId="0A023910" w14:textId="77777777" w:rsidR="00C6508A" w:rsidRPr="006D5382" w:rsidRDefault="00C6508A" w:rsidP="006D5382">
            <w:pPr>
              <w:spacing w:line="360" w:lineRule="auto"/>
            </w:pPr>
            <w:r w:rsidRPr="006D5382">
              <w:t>5</w:t>
            </w:r>
            <w:r w:rsidR="00A61ECD" w:rsidRPr="006D5382">
              <w:t>5</w:t>
            </w:r>
          </w:p>
        </w:tc>
      </w:tr>
      <w:tr w:rsidR="006D5382" w:rsidRPr="006D5382" w14:paraId="2C9B8503" w14:textId="77777777" w:rsidTr="008D2B81">
        <w:trPr>
          <w:trHeight w:val="332"/>
        </w:trPr>
        <w:tc>
          <w:tcPr>
            <w:tcW w:w="2830" w:type="dxa"/>
            <w:tcBorders>
              <w:top w:val="nil"/>
              <w:left w:val="single" w:sz="4" w:space="0" w:color="auto"/>
              <w:bottom w:val="single" w:sz="4" w:space="0" w:color="auto"/>
              <w:right w:val="single" w:sz="4" w:space="0" w:color="auto"/>
            </w:tcBorders>
            <w:shd w:val="clear" w:color="auto" w:fill="auto"/>
            <w:hideMark/>
          </w:tcPr>
          <w:p w14:paraId="32AAEF3D" w14:textId="77777777" w:rsidR="00C6508A" w:rsidRPr="006D5382" w:rsidRDefault="00C6508A" w:rsidP="006D5382">
            <w:pPr>
              <w:spacing w:line="360" w:lineRule="auto"/>
            </w:pPr>
            <w:r w:rsidRPr="006D5382">
              <w:t>Selection of Non-Exposed Cohort</w:t>
            </w:r>
          </w:p>
        </w:tc>
        <w:tc>
          <w:tcPr>
            <w:tcW w:w="1276" w:type="dxa"/>
            <w:tcBorders>
              <w:top w:val="nil"/>
              <w:left w:val="nil"/>
              <w:bottom w:val="single" w:sz="4" w:space="0" w:color="auto"/>
              <w:right w:val="single" w:sz="4" w:space="0" w:color="auto"/>
            </w:tcBorders>
            <w:shd w:val="clear" w:color="auto" w:fill="auto"/>
            <w:hideMark/>
          </w:tcPr>
          <w:p w14:paraId="62A8CB14" w14:textId="77777777" w:rsidR="00C6508A" w:rsidRPr="006D5382" w:rsidRDefault="00C6508A" w:rsidP="006D5382">
            <w:pPr>
              <w:spacing w:line="360" w:lineRule="auto"/>
            </w:pPr>
          </w:p>
        </w:tc>
        <w:tc>
          <w:tcPr>
            <w:tcW w:w="1276" w:type="dxa"/>
            <w:tcBorders>
              <w:top w:val="nil"/>
              <w:left w:val="nil"/>
              <w:bottom w:val="single" w:sz="4" w:space="0" w:color="auto"/>
              <w:right w:val="single" w:sz="4" w:space="0" w:color="auto"/>
            </w:tcBorders>
            <w:shd w:val="clear" w:color="auto" w:fill="auto"/>
            <w:hideMark/>
          </w:tcPr>
          <w:p w14:paraId="0083A8E5" w14:textId="77777777" w:rsidR="00C6508A" w:rsidRPr="006D5382" w:rsidRDefault="00A61ECD" w:rsidP="006D5382">
            <w:pPr>
              <w:spacing w:line="360" w:lineRule="auto"/>
            </w:pPr>
            <w:r w:rsidRPr="006D5382">
              <w:t>49</w:t>
            </w:r>
          </w:p>
        </w:tc>
        <w:tc>
          <w:tcPr>
            <w:tcW w:w="1350" w:type="dxa"/>
            <w:tcBorders>
              <w:top w:val="nil"/>
              <w:left w:val="nil"/>
              <w:bottom w:val="single" w:sz="4" w:space="0" w:color="auto"/>
              <w:right w:val="single" w:sz="4" w:space="0" w:color="auto"/>
            </w:tcBorders>
            <w:shd w:val="clear" w:color="auto" w:fill="auto"/>
            <w:hideMark/>
          </w:tcPr>
          <w:p w14:paraId="55F2F883" w14:textId="77777777" w:rsidR="00C6508A" w:rsidRPr="006D5382" w:rsidRDefault="00C6508A" w:rsidP="006D5382">
            <w:pPr>
              <w:spacing w:line="360" w:lineRule="auto"/>
            </w:pPr>
            <w:r w:rsidRPr="006D5382">
              <w:t>6</w:t>
            </w:r>
          </w:p>
        </w:tc>
        <w:tc>
          <w:tcPr>
            <w:tcW w:w="1333" w:type="dxa"/>
            <w:tcBorders>
              <w:top w:val="nil"/>
              <w:left w:val="nil"/>
              <w:bottom w:val="single" w:sz="4" w:space="0" w:color="auto"/>
              <w:right w:val="single" w:sz="4" w:space="0" w:color="auto"/>
            </w:tcBorders>
            <w:shd w:val="clear" w:color="auto" w:fill="auto"/>
            <w:hideMark/>
          </w:tcPr>
          <w:p w14:paraId="65349095" w14:textId="77777777" w:rsidR="00C6508A" w:rsidRPr="006D5382" w:rsidRDefault="00C6508A" w:rsidP="006D5382">
            <w:pPr>
              <w:spacing w:line="360" w:lineRule="auto"/>
            </w:pPr>
            <w:r w:rsidRPr="006D5382">
              <w:t>5</w:t>
            </w:r>
            <w:r w:rsidR="00A61ECD" w:rsidRPr="006D5382">
              <w:t>5</w:t>
            </w:r>
          </w:p>
        </w:tc>
      </w:tr>
      <w:tr w:rsidR="006D5382" w:rsidRPr="006D5382" w14:paraId="7D5F37C3" w14:textId="77777777" w:rsidTr="008D2B81">
        <w:trPr>
          <w:trHeight w:val="332"/>
        </w:trPr>
        <w:tc>
          <w:tcPr>
            <w:tcW w:w="2830" w:type="dxa"/>
            <w:tcBorders>
              <w:top w:val="nil"/>
              <w:left w:val="single" w:sz="4" w:space="0" w:color="auto"/>
              <w:bottom w:val="single" w:sz="4" w:space="0" w:color="auto"/>
              <w:right w:val="single" w:sz="4" w:space="0" w:color="auto"/>
            </w:tcBorders>
            <w:shd w:val="clear" w:color="auto" w:fill="auto"/>
            <w:hideMark/>
          </w:tcPr>
          <w:p w14:paraId="654A989B" w14:textId="77777777" w:rsidR="00C6508A" w:rsidRPr="006D5382" w:rsidRDefault="00C6508A" w:rsidP="006D5382">
            <w:pPr>
              <w:spacing w:line="360" w:lineRule="auto"/>
            </w:pPr>
            <w:r w:rsidRPr="006D5382">
              <w:t>Ascertainment of exposure</w:t>
            </w:r>
          </w:p>
        </w:tc>
        <w:tc>
          <w:tcPr>
            <w:tcW w:w="1276" w:type="dxa"/>
            <w:tcBorders>
              <w:top w:val="nil"/>
              <w:left w:val="nil"/>
              <w:bottom w:val="single" w:sz="4" w:space="0" w:color="auto"/>
              <w:right w:val="single" w:sz="4" w:space="0" w:color="auto"/>
            </w:tcBorders>
            <w:shd w:val="clear" w:color="auto" w:fill="auto"/>
            <w:hideMark/>
          </w:tcPr>
          <w:p w14:paraId="79CD6E50" w14:textId="77777777" w:rsidR="00C6508A" w:rsidRPr="006D5382" w:rsidRDefault="00C6508A" w:rsidP="006D5382">
            <w:pPr>
              <w:spacing w:line="360" w:lineRule="auto"/>
            </w:pPr>
          </w:p>
        </w:tc>
        <w:tc>
          <w:tcPr>
            <w:tcW w:w="1276" w:type="dxa"/>
            <w:tcBorders>
              <w:top w:val="nil"/>
              <w:left w:val="nil"/>
              <w:bottom w:val="single" w:sz="4" w:space="0" w:color="auto"/>
              <w:right w:val="single" w:sz="4" w:space="0" w:color="auto"/>
            </w:tcBorders>
            <w:shd w:val="clear" w:color="auto" w:fill="auto"/>
            <w:hideMark/>
          </w:tcPr>
          <w:p w14:paraId="590DE481" w14:textId="77777777" w:rsidR="00C6508A" w:rsidRPr="006D5382" w:rsidRDefault="00C6508A" w:rsidP="006D5382">
            <w:pPr>
              <w:spacing w:line="360" w:lineRule="auto"/>
            </w:pPr>
            <w:r w:rsidRPr="006D5382">
              <w:t>5</w:t>
            </w:r>
            <w:r w:rsidR="00A61ECD" w:rsidRPr="006D5382">
              <w:t>4</w:t>
            </w:r>
          </w:p>
        </w:tc>
        <w:tc>
          <w:tcPr>
            <w:tcW w:w="1350" w:type="dxa"/>
            <w:tcBorders>
              <w:top w:val="nil"/>
              <w:left w:val="nil"/>
              <w:bottom w:val="single" w:sz="4" w:space="0" w:color="auto"/>
              <w:right w:val="single" w:sz="4" w:space="0" w:color="auto"/>
            </w:tcBorders>
            <w:shd w:val="clear" w:color="auto" w:fill="auto"/>
            <w:hideMark/>
          </w:tcPr>
          <w:p w14:paraId="05040302" w14:textId="77777777" w:rsidR="00C6508A" w:rsidRPr="006D5382" w:rsidRDefault="00C6508A" w:rsidP="006D5382">
            <w:pPr>
              <w:spacing w:line="360" w:lineRule="auto"/>
            </w:pPr>
            <w:r w:rsidRPr="006D5382">
              <w:t>1</w:t>
            </w:r>
          </w:p>
        </w:tc>
        <w:tc>
          <w:tcPr>
            <w:tcW w:w="1333" w:type="dxa"/>
            <w:tcBorders>
              <w:top w:val="nil"/>
              <w:left w:val="nil"/>
              <w:bottom w:val="single" w:sz="4" w:space="0" w:color="auto"/>
              <w:right w:val="single" w:sz="4" w:space="0" w:color="auto"/>
            </w:tcBorders>
            <w:shd w:val="clear" w:color="auto" w:fill="auto"/>
            <w:hideMark/>
          </w:tcPr>
          <w:p w14:paraId="05F4048D" w14:textId="77777777" w:rsidR="00C6508A" w:rsidRPr="006D5382" w:rsidRDefault="00C6508A" w:rsidP="006D5382">
            <w:pPr>
              <w:spacing w:line="360" w:lineRule="auto"/>
            </w:pPr>
            <w:r w:rsidRPr="006D5382">
              <w:t>5</w:t>
            </w:r>
            <w:r w:rsidR="00A61ECD" w:rsidRPr="006D5382">
              <w:t>5</w:t>
            </w:r>
          </w:p>
        </w:tc>
      </w:tr>
      <w:tr w:rsidR="006D5382" w:rsidRPr="006D5382" w14:paraId="17992AF8" w14:textId="77777777" w:rsidTr="008D2B81">
        <w:trPr>
          <w:trHeight w:val="1000"/>
        </w:trPr>
        <w:tc>
          <w:tcPr>
            <w:tcW w:w="2830" w:type="dxa"/>
            <w:tcBorders>
              <w:top w:val="nil"/>
              <w:left w:val="single" w:sz="4" w:space="0" w:color="auto"/>
              <w:bottom w:val="single" w:sz="4" w:space="0" w:color="auto"/>
              <w:right w:val="single" w:sz="4" w:space="0" w:color="auto"/>
            </w:tcBorders>
            <w:shd w:val="clear" w:color="auto" w:fill="auto"/>
            <w:hideMark/>
          </w:tcPr>
          <w:p w14:paraId="48EB29ED" w14:textId="77777777" w:rsidR="00C6508A" w:rsidRPr="006D5382" w:rsidRDefault="00C6508A" w:rsidP="006D5382">
            <w:pPr>
              <w:spacing w:line="360" w:lineRule="auto"/>
            </w:pPr>
            <w:r w:rsidRPr="006D5382">
              <w:t>Demonstration that outcome of interest was not present at the start of the study</w:t>
            </w:r>
          </w:p>
        </w:tc>
        <w:tc>
          <w:tcPr>
            <w:tcW w:w="1276" w:type="dxa"/>
            <w:tcBorders>
              <w:top w:val="nil"/>
              <w:left w:val="nil"/>
              <w:bottom w:val="single" w:sz="4" w:space="0" w:color="auto"/>
              <w:right w:val="single" w:sz="4" w:space="0" w:color="auto"/>
            </w:tcBorders>
            <w:shd w:val="clear" w:color="auto" w:fill="auto"/>
            <w:hideMark/>
          </w:tcPr>
          <w:p w14:paraId="00B44D22" w14:textId="77777777" w:rsidR="00C6508A" w:rsidRPr="006D5382" w:rsidRDefault="00C6508A" w:rsidP="006D5382">
            <w:pPr>
              <w:spacing w:line="360" w:lineRule="auto"/>
            </w:pPr>
          </w:p>
        </w:tc>
        <w:tc>
          <w:tcPr>
            <w:tcW w:w="1276" w:type="dxa"/>
            <w:tcBorders>
              <w:top w:val="nil"/>
              <w:left w:val="nil"/>
              <w:bottom w:val="single" w:sz="4" w:space="0" w:color="auto"/>
              <w:right w:val="single" w:sz="4" w:space="0" w:color="auto"/>
            </w:tcBorders>
            <w:shd w:val="clear" w:color="auto" w:fill="auto"/>
            <w:hideMark/>
          </w:tcPr>
          <w:p w14:paraId="1FFFB146" w14:textId="77777777" w:rsidR="00C6508A" w:rsidRPr="006D5382" w:rsidRDefault="00C6508A" w:rsidP="006D5382">
            <w:pPr>
              <w:spacing w:line="360" w:lineRule="auto"/>
            </w:pPr>
            <w:r w:rsidRPr="006D5382">
              <w:t>13</w:t>
            </w:r>
          </w:p>
        </w:tc>
        <w:tc>
          <w:tcPr>
            <w:tcW w:w="1350" w:type="dxa"/>
            <w:tcBorders>
              <w:top w:val="nil"/>
              <w:left w:val="nil"/>
              <w:bottom w:val="single" w:sz="4" w:space="0" w:color="auto"/>
              <w:right w:val="single" w:sz="4" w:space="0" w:color="auto"/>
            </w:tcBorders>
            <w:shd w:val="clear" w:color="auto" w:fill="auto"/>
            <w:hideMark/>
          </w:tcPr>
          <w:p w14:paraId="2F408C72" w14:textId="77777777" w:rsidR="00C6508A" w:rsidRPr="006D5382" w:rsidRDefault="00C6508A" w:rsidP="006D5382">
            <w:pPr>
              <w:spacing w:line="360" w:lineRule="auto"/>
            </w:pPr>
            <w:r w:rsidRPr="006D5382">
              <w:t>4</w:t>
            </w:r>
            <w:r w:rsidR="00A61ECD" w:rsidRPr="006D5382">
              <w:t>2</w:t>
            </w:r>
          </w:p>
        </w:tc>
        <w:tc>
          <w:tcPr>
            <w:tcW w:w="1333" w:type="dxa"/>
            <w:tcBorders>
              <w:top w:val="nil"/>
              <w:left w:val="nil"/>
              <w:bottom w:val="single" w:sz="4" w:space="0" w:color="auto"/>
              <w:right w:val="single" w:sz="4" w:space="0" w:color="auto"/>
            </w:tcBorders>
            <w:shd w:val="clear" w:color="auto" w:fill="auto"/>
            <w:hideMark/>
          </w:tcPr>
          <w:p w14:paraId="5A58B15D" w14:textId="77777777" w:rsidR="00C6508A" w:rsidRPr="006D5382" w:rsidRDefault="00C6508A" w:rsidP="006D5382">
            <w:pPr>
              <w:spacing w:line="360" w:lineRule="auto"/>
            </w:pPr>
            <w:r w:rsidRPr="006D5382">
              <w:t>5</w:t>
            </w:r>
            <w:r w:rsidR="00A61ECD" w:rsidRPr="006D5382">
              <w:t>5</w:t>
            </w:r>
          </w:p>
        </w:tc>
      </w:tr>
      <w:tr w:rsidR="006D5382" w:rsidRPr="006D5382" w14:paraId="49FD4043" w14:textId="77777777" w:rsidTr="008D2B81">
        <w:trPr>
          <w:trHeight w:val="1000"/>
        </w:trPr>
        <w:tc>
          <w:tcPr>
            <w:tcW w:w="2830" w:type="dxa"/>
            <w:tcBorders>
              <w:top w:val="nil"/>
              <w:left w:val="single" w:sz="4" w:space="0" w:color="auto"/>
              <w:bottom w:val="single" w:sz="4" w:space="0" w:color="auto"/>
              <w:right w:val="single" w:sz="4" w:space="0" w:color="auto"/>
            </w:tcBorders>
            <w:shd w:val="clear" w:color="auto" w:fill="auto"/>
            <w:hideMark/>
          </w:tcPr>
          <w:p w14:paraId="6A1236B8" w14:textId="77777777" w:rsidR="00C6508A" w:rsidRPr="006D5382" w:rsidRDefault="00C6508A" w:rsidP="006D5382">
            <w:pPr>
              <w:spacing w:line="360" w:lineRule="auto"/>
            </w:pPr>
            <w:r w:rsidRPr="006D5382">
              <w:t>Comparability of cohorts on the basis of the design or analysis</w:t>
            </w:r>
          </w:p>
        </w:tc>
        <w:tc>
          <w:tcPr>
            <w:tcW w:w="1276" w:type="dxa"/>
            <w:tcBorders>
              <w:top w:val="nil"/>
              <w:left w:val="nil"/>
              <w:bottom w:val="single" w:sz="4" w:space="0" w:color="auto"/>
              <w:right w:val="single" w:sz="4" w:space="0" w:color="auto"/>
            </w:tcBorders>
            <w:shd w:val="clear" w:color="auto" w:fill="auto"/>
            <w:hideMark/>
          </w:tcPr>
          <w:p w14:paraId="57CA2DC0" w14:textId="77777777" w:rsidR="00C6508A" w:rsidRPr="006D5382" w:rsidRDefault="00C6508A" w:rsidP="006D5382">
            <w:pPr>
              <w:spacing w:line="360" w:lineRule="auto"/>
            </w:pPr>
            <w:r w:rsidRPr="006D5382">
              <w:t>2</w:t>
            </w:r>
            <w:r w:rsidR="00A61ECD" w:rsidRPr="006D5382">
              <w:t>5</w:t>
            </w:r>
          </w:p>
        </w:tc>
        <w:tc>
          <w:tcPr>
            <w:tcW w:w="1276" w:type="dxa"/>
            <w:tcBorders>
              <w:top w:val="nil"/>
              <w:left w:val="nil"/>
              <w:bottom w:val="single" w:sz="4" w:space="0" w:color="auto"/>
              <w:right w:val="single" w:sz="4" w:space="0" w:color="auto"/>
            </w:tcBorders>
            <w:shd w:val="clear" w:color="auto" w:fill="auto"/>
            <w:hideMark/>
          </w:tcPr>
          <w:p w14:paraId="0249F0BA" w14:textId="77777777" w:rsidR="00C6508A" w:rsidRPr="006D5382" w:rsidRDefault="00C6508A" w:rsidP="006D5382">
            <w:pPr>
              <w:spacing w:line="360" w:lineRule="auto"/>
            </w:pPr>
            <w:r w:rsidRPr="006D5382">
              <w:t>27</w:t>
            </w:r>
          </w:p>
        </w:tc>
        <w:tc>
          <w:tcPr>
            <w:tcW w:w="1350" w:type="dxa"/>
            <w:tcBorders>
              <w:top w:val="nil"/>
              <w:left w:val="nil"/>
              <w:bottom w:val="single" w:sz="4" w:space="0" w:color="auto"/>
              <w:right w:val="single" w:sz="4" w:space="0" w:color="auto"/>
            </w:tcBorders>
            <w:shd w:val="clear" w:color="auto" w:fill="auto"/>
            <w:hideMark/>
          </w:tcPr>
          <w:p w14:paraId="69A4B81B" w14:textId="77777777" w:rsidR="00C6508A" w:rsidRPr="006D5382" w:rsidRDefault="00C6508A" w:rsidP="006D5382">
            <w:pPr>
              <w:spacing w:line="360" w:lineRule="auto"/>
            </w:pPr>
            <w:r w:rsidRPr="006D5382">
              <w:t>3</w:t>
            </w:r>
          </w:p>
        </w:tc>
        <w:tc>
          <w:tcPr>
            <w:tcW w:w="1333" w:type="dxa"/>
            <w:tcBorders>
              <w:top w:val="nil"/>
              <w:left w:val="nil"/>
              <w:bottom w:val="single" w:sz="4" w:space="0" w:color="auto"/>
              <w:right w:val="single" w:sz="4" w:space="0" w:color="auto"/>
            </w:tcBorders>
            <w:shd w:val="clear" w:color="auto" w:fill="auto"/>
            <w:hideMark/>
          </w:tcPr>
          <w:p w14:paraId="6F37C7EA" w14:textId="77777777" w:rsidR="00C6508A" w:rsidRPr="006D5382" w:rsidRDefault="00C6508A" w:rsidP="006D5382">
            <w:pPr>
              <w:spacing w:line="360" w:lineRule="auto"/>
            </w:pPr>
            <w:r w:rsidRPr="006D5382">
              <w:t>5</w:t>
            </w:r>
            <w:r w:rsidR="00A61ECD" w:rsidRPr="006D5382">
              <w:t>5</w:t>
            </w:r>
          </w:p>
        </w:tc>
      </w:tr>
      <w:tr w:rsidR="006D5382" w:rsidRPr="006D5382" w14:paraId="6C1B75B8" w14:textId="77777777" w:rsidTr="008D2B81">
        <w:trPr>
          <w:trHeight w:val="332"/>
        </w:trPr>
        <w:tc>
          <w:tcPr>
            <w:tcW w:w="2830" w:type="dxa"/>
            <w:tcBorders>
              <w:top w:val="nil"/>
              <w:left w:val="single" w:sz="4" w:space="0" w:color="auto"/>
              <w:bottom w:val="single" w:sz="4" w:space="0" w:color="auto"/>
              <w:right w:val="single" w:sz="4" w:space="0" w:color="auto"/>
            </w:tcBorders>
            <w:shd w:val="clear" w:color="auto" w:fill="auto"/>
            <w:hideMark/>
          </w:tcPr>
          <w:p w14:paraId="139725AE" w14:textId="77777777" w:rsidR="00C6508A" w:rsidRPr="006D5382" w:rsidRDefault="00C6508A" w:rsidP="006D5382">
            <w:pPr>
              <w:spacing w:line="360" w:lineRule="auto"/>
            </w:pPr>
            <w:r w:rsidRPr="006D5382">
              <w:t>Assessment of outcome</w:t>
            </w:r>
          </w:p>
        </w:tc>
        <w:tc>
          <w:tcPr>
            <w:tcW w:w="1276" w:type="dxa"/>
            <w:tcBorders>
              <w:top w:val="nil"/>
              <w:left w:val="nil"/>
              <w:bottom w:val="single" w:sz="4" w:space="0" w:color="auto"/>
              <w:right w:val="single" w:sz="4" w:space="0" w:color="auto"/>
            </w:tcBorders>
            <w:shd w:val="clear" w:color="auto" w:fill="auto"/>
            <w:hideMark/>
          </w:tcPr>
          <w:p w14:paraId="288D47CC" w14:textId="77777777" w:rsidR="00C6508A" w:rsidRPr="006D5382" w:rsidRDefault="00C6508A" w:rsidP="006D5382">
            <w:pPr>
              <w:spacing w:line="360" w:lineRule="auto"/>
            </w:pPr>
          </w:p>
        </w:tc>
        <w:tc>
          <w:tcPr>
            <w:tcW w:w="1276" w:type="dxa"/>
            <w:tcBorders>
              <w:top w:val="nil"/>
              <w:left w:val="nil"/>
              <w:bottom w:val="single" w:sz="4" w:space="0" w:color="auto"/>
              <w:right w:val="single" w:sz="4" w:space="0" w:color="auto"/>
            </w:tcBorders>
            <w:shd w:val="clear" w:color="auto" w:fill="auto"/>
            <w:hideMark/>
          </w:tcPr>
          <w:p w14:paraId="4F0830CE" w14:textId="77777777" w:rsidR="00C6508A" w:rsidRPr="006D5382" w:rsidRDefault="00C6508A" w:rsidP="006D5382">
            <w:pPr>
              <w:spacing w:line="360" w:lineRule="auto"/>
            </w:pPr>
            <w:r w:rsidRPr="006D5382">
              <w:t>31</w:t>
            </w:r>
          </w:p>
        </w:tc>
        <w:tc>
          <w:tcPr>
            <w:tcW w:w="1350" w:type="dxa"/>
            <w:tcBorders>
              <w:top w:val="nil"/>
              <w:left w:val="nil"/>
              <w:bottom w:val="single" w:sz="4" w:space="0" w:color="auto"/>
              <w:right w:val="single" w:sz="4" w:space="0" w:color="auto"/>
            </w:tcBorders>
            <w:shd w:val="clear" w:color="auto" w:fill="auto"/>
            <w:hideMark/>
          </w:tcPr>
          <w:p w14:paraId="0845248F" w14:textId="77777777" w:rsidR="00C6508A" w:rsidRPr="006D5382" w:rsidRDefault="00C6508A" w:rsidP="006D5382">
            <w:pPr>
              <w:spacing w:line="360" w:lineRule="auto"/>
            </w:pPr>
            <w:r w:rsidRPr="006D5382">
              <w:t>2</w:t>
            </w:r>
            <w:r w:rsidR="00A61ECD" w:rsidRPr="006D5382">
              <w:t>4</w:t>
            </w:r>
          </w:p>
        </w:tc>
        <w:tc>
          <w:tcPr>
            <w:tcW w:w="1333" w:type="dxa"/>
            <w:tcBorders>
              <w:top w:val="nil"/>
              <w:left w:val="nil"/>
              <w:bottom w:val="single" w:sz="4" w:space="0" w:color="auto"/>
              <w:right w:val="single" w:sz="4" w:space="0" w:color="auto"/>
            </w:tcBorders>
            <w:shd w:val="clear" w:color="auto" w:fill="auto"/>
            <w:hideMark/>
          </w:tcPr>
          <w:p w14:paraId="5F982DA1" w14:textId="77777777" w:rsidR="00C6508A" w:rsidRPr="006D5382" w:rsidRDefault="00C6508A" w:rsidP="006D5382">
            <w:pPr>
              <w:spacing w:line="360" w:lineRule="auto"/>
            </w:pPr>
            <w:r w:rsidRPr="006D5382">
              <w:t>5</w:t>
            </w:r>
            <w:r w:rsidR="00A61ECD" w:rsidRPr="006D5382">
              <w:t>5</w:t>
            </w:r>
          </w:p>
        </w:tc>
      </w:tr>
      <w:tr w:rsidR="006D5382" w:rsidRPr="006D5382" w14:paraId="4F3E83CE" w14:textId="77777777" w:rsidTr="008D2B81">
        <w:trPr>
          <w:trHeight w:val="666"/>
        </w:trPr>
        <w:tc>
          <w:tcPr>
            <w:tcW w:w="2830" w:type="dxa"/>
            <w:tcBorders>
              <w:top w:val="nil"/>
              <w:left w:val="single" w:sz="4" w:space="0" w:color="auto"/>
              <w:bottom w:val="single" w:sz="4" w:space="0" w:color="auto"/>
              <w:right w:val="single" w:sz="4" w:space="0" w:color="auto"/>
            </w:tcBorders>
            <w:shd w:val="clear" w:color="auto" w:fill="auto"/>
            <w:hideMark/>
          </w:tcPr>
          <w:p w14:paraId="747FF3D3" w14:textId="77777777" w:rsidR="00C6508A" w:rsidRPr="006D5382" w:rsidRDefault="00C6508A" w:rsidP="006D5382">
            <w:pPr>
              <w:spacing w:line="360" w:lineRule="auto"/>
            </w:pPr>
            <w:r w:rsidRPr="006D5382">
              <w:t>Was follow-up long enough for outcomes to occur?</w:t>
            </w:r>
          </w:p>
        </w:tc>
        <w:tc>
          <w:tcPr>
            <w:tcW w:w="1276" w:type="dxa"/>
            <w:tcBorders>
              <w:top w:val="nil"/>
              <w:left w:val="nil"/>
              <w:bottom w:val="single" w:sz="4" w:space="0" w:color="auto"/>
              <w:right w:val="single" w:sz="4" w:space="0" w:color="auto"/>
            </w:tcBorders>
            <w:shd w:val="clear" w:color="auto" w:fill="auto"/>
            <w:hideMark/>
          </w:tcPr>
          <w:p w14:paraId="6BB9D9B7" w14:textId="77777777" w:rsidR="00C6508A" w:rsidRPr="006D5382" w:rsidRDefault="00C6508A" w:rsidP="006D5382">
            <w:pPr>
              <w:spacing w:line="360" w:lineRule="auto"/>
            </w:pPr>
          </w:p>
        </w:tc>
        <w:tc>
          <w:tcPr>
            <w:tcW w:w="1276" w:type="dxa"/>
            <w:tcBorders>
              <w:top w:val="nil"/>
              <w:left w:val="nil"/>
              <w:bottom w:val="single" w:sz="4" w:space="0" w:color="auto"/>
              <w:right w:val="single" w:sz="4" w:space="0" w:color="auto"/>
            </w:tcBorders>
            <w:shd w:val="clear" w:color="auto" w:fill="auto"/>
            <w:hideMark/>
          </w:tcPr>
          <w:p w14:paraId="53E22941" w14:textId="77777777" w:rsidR="00C6508A" w:rsidRPr="006D5382" w:rsidRDefault="00C6508A" w:rsidP="006D5382">
            <w:pPr>
              <w:spacing w:line="360" w:lineRule="auto"/>
            </w:pPr>
            <w:r w:rsidRPr="006D5382">
              <w:t>5</w:t>
            </w:r>
            <w:r w:rsidR="00A61ECD" w:rsidRPr="006D5382">
              <w:t>4</w:t>
            </w:r>
          </w:p>
        </w:tc>
        <w:tc>
          <w:tcPr>
            <w:tcW w:w="1350" w:type="dxa"/>
            <w:tcBorders>
              <w:top w:val="nil"/>
              <w:left w:val="nil"/>
              <w:bottom w:val="single" w:sz="4" w:space="0" w:color="auto"/>
              <w:right w:val="single" w:sz="4" w:space="0" w:color="auto"/>
            </w:tcBorders>
            <w:shd w:val="clear" w:color="auto" w:fill="auto"/>
            <w:hideMark/>
          </w:tcPr>
          <w:p w14:paraId="2655927C" w14:textId="77777777" w:rsidR="00C6508A" w:rsidRPr="006D5382" w:rsidRDefault="00C6508A" w:rsidP="006D5382">
            <w:pPr>
              <w:spacing w:line="360" w:lineRule="auto"/>
            </w:pPr>
            <w:r w:rsidRPr="006D5382">
              <w:t>1</w:t>
            </w:r>
          </w:p>
        </w:tc>
        <w:tc>
          <w:tcPr>
            <w:tcW w:w="1333" w:type="dxa"/>
            <w:tcBorders>
              <w:top w:val="nil"/>
              <w:left w:val="nil"/>
              <w:bottom w:val="single" w:sz="4" w:space="0" w:color="auto"/>
              <w:right w:val="single" w:sz="4" w:space="0" w:color="auto"/>
            </w:tcBorders>
            <w:shd w:val="clear" w:color="auto" w:fill="auto"/>
            <w:hideMark/>
          </w:tcPr>
          <w:p w14:paraId="3BE159CB" w14:textId="77777777" w:rsidR="00C6508A" w:rsidRPr="006D5382" w:rsidRDefault="00C6508A" w:rsidP="006D5382">
            <w:pPr>
              <w:spacing w:line="360" w:lineRule="auto"/>
            </w:pPr>
            <w:r w:rsidRPr="006D5382">
              <w:t>5</w:t>
            </w:r>
            <w:r w:rsidR="00A61ECD" w:rsidRPr="006D5382">
              <w:t>5</w:t>
            </w:r>
          </w:p>
        </w:tc>
      </w:tr>
      <w:tr w:rsidR="00C6508A" w:rsidRPr="006D5382" w14:paraId="75D3D1F0" w14:textId="77777777" w:rsidTr="008D2B81">
        <w:trPr>
          <w:trHeight w:val="332"/>
        </w:trPr>
        <w:tc>
          <w:tcPr>
            <w:tcW w:w="2830" w:type="dxa"/>
            <w:tcBorders>
              <w:top w:val="nil"/>
              <w:left w:val="single" w:sz="4" w:space="0" w:color="auto"/>
              <w:bottom w:val="single" w:sz="4" w:space="0" w:color="auto"/>
              <w:right w:val="single" w:sz="4" w:space="0" w:color="auto"/>
            </w:tcBorders>
            <w:shd w:val="clear" w:color="auto" w:fill="auto"/>
            <w:hideMark/>
          </w:tcPr>
          <w:p w14:paraId="2C53657B" w14:textId="77777777" w:rsidR="00C6508A" w:rsidRPr="006D5382" w:rsidRDefault="00C6508A" w:rsidP="006D5382">
            <w:pPr>
              <w:spacing w:line="360" w:lineRule="auto"/>
            </w:pPr>
            <w:r w:rsidRPr="006D5382">
              <w:t>Adequacy of follow up of cohorts</w:t>
            </w:r>
          </w:p>
        </w:tc>
        <w:tc>
          <w:tcPr>
            <w:tcW w:w="1276" w:type="dxa"/>
            <w:tcBorders>
              <w:top w:val="nil"/>
              <w:left w:val="nil"/>
              <w:bottom w:val="single" w:sz="4" w:space="0" w:color="auto"/>
              <w:right w:val="single" w:sz="4" w:space="0" w:color="auto"/>
            </w:tcBorders>
            <w:shd w:val="clear" w:color="auto" w:fill="auto"/>
            <w:hideMark/>
          </w:tcPr>
          <w:p w14:paraId="1668EBE3" w14:textId="77777777" w:rsidR="00C6508A" w:rsidRPr="006D5382" w:rsidRDefault="00C6508A" w:rsidP="006D5382">
            <w:pPr>
              <w:spacing w:line="360" w:lineRule="auto"/>
            </w:pPr>
          </w:p>
        </w:tc>
        <w:tc>
          <w:tcPr>
            <w:tcW w:w="1276" w:type="dxa"/>
            <w:tcBorders>
              <w:top w:val="nil"/>
              <w:left w:val="nil"/>
              <w:bottom w:val="single" w:sz="4" w:space="0" w:color="auto"/>
              <w:right w:val="single" w:sz="4" w:space="0" w:color="auto"/>
            </w:tcBorders>
            <w:shd w:val="clear" w:color="auto" w:fill="auto"/>
            <w:hideMark/>
          </w:tcPr>
          <w:p w14:paraId="522E32E3" w14:textId="77777777" w:rsidR="00C6508A" w:rsidRPr="006D5382" w:rsidRDefault="00C6508A" w:rsidP="006D5382">
            <w:pPr>
              <w:spacing w:line="360" w:lineRule="auto"/>
            </w:pPr>
            <w:r w:rsidRPr="006D5382">
              <w:t>4</w:t>
            </w:r>
            <w:r w:rsidR="00A61ECD" w:rsidRPr="006D5382">
              <w:t>7</w:t>
            </w:r>
          </w:p>
        </w:tc>
        <w:tc>
          <w:tcPr>
            <w:tcW w:w="1350" w:type="dxa"/>
            <w:tcBorders>
              <w:top w:val="nil"/>
              <w:left w:val="nil"/>
              <w:bottom w:val="single" w:sz="4" w:space="0" w:color="auto"/>
              <w:right w:val="single" w:sz="4" w:space="0" w:color="auto"/>
            </w:tcBorders>
            <w:shd w:val="clear" w:color="auto" w:fill="auto"/>
            <w:hideMark/>
          </w:tcPr>
          <w:p w14:paraId="51631CFC" w14:textId="77777777" w:rsidR="00C6508A" w:rsidRPr="006D5382" w:rsidRDefault="00C6508A" w:rsidP="006D5382">
            <w:pPr>
              <w:spacing w:line="360" w:lineRule="auto"/>
            </w:pPr>
            <w:r w:rsidRPr="006D5382">
              <w:t>8</w:t>
            </w:r>
          </w:p>
        </w:tc>
        <w:tc>
          <w:tcPr>
            <w:tcW w:w="1333" w:type="dxa"/>
            <w:tcBorders>
              <w:top w:val="nil"/>
              <w:left w:val="nil"/>
              <w:bottom w:val="single" w:sz="4" w:space="0" w:color="auto"/>
              <w:right w:val="single" w:sz="4" w:space="0" w:color="auto"/>
            </w:tcBorders>
            <w:shd w:val="clear" w:color="auto" w:fill="auto"/>
            <w:hideMark/>
          </w:tcPr>
          <w:p w14:paraId="625BC650" w14:textId="77777777" w:rsidR="00C6508A" w:rsidRPr="006D5382" w:rsidRDefault="00C6508A" w:rsidP="006D5382">
            <w:pPr>
              <w:spacing w:line="360" w:lineRule="auto"/>
            </w:pPr>
            <w:r w:rsidRPr="006D5382">
              <w:t>5</w:t>
            </w:r>
            <w:r w:rsidR="00A61ECD" w:rsidRPr="006D5382">
              <w:t>5</w:t>
            </w:r>
          </w:p>
        </w:tc>
      </w:tr>
    </w:tbl>
    <w:p w14:paraId="5A29CD16" w14:textId="77777777" w:rsidR="00C6508A" w:rsidRPr="006D5382" w:rsidRDefault="00C6508A" w:rsidP="006D5382">
      <w:pPr>
        <w:spacing w:line="360" w:lineRule="auto"/>
      </w:pPr>
    </w:p>
    <w:p w14:paraId="10ADAA39" w14:textId="77777777" w:rsidR="00EF4106" w:rsidRPr="006D5382" w:rsidRDefault="00EF4106" w:rsidP="006D5382">
      <w:pPr>
        <w:spacing w:line="360" w:lineRule="auto"/>
        <w:rPr>
          <w:b/>
        </w:rPr>
      </w:pPr>
    </w:p>
    <w:p w14:paraId="71680F64" w14:textId="77777777" w:rsidR="00EF4106" w:rsidRPr="006D5382" w:rsidRDefault="00EF4106" w:rsidP="006D5382">
      <w:pPr>
        <w:spacing w:line="360" w:lineRule="auto"/>
        <w:rPr>
          <w:b/>
        </w:rPr>
      </w:pPr>
    </w:p>
    <w:p w14:paraId="4023627E" w14:textId="77777777" w:rsidR="00C6508A" w:rsidRPr="006D5382" w:rsidRDefault="00F5593D" w:rsidP="006D5382">
      <w:pPr>
        <w:spacing w:line="360" w:lineRule="auto"/>
      </w:pPr>
      <w:r w:rsidRPr="006D5382">
        <w:rPr>
          <w:b/>
        </w:rPr>
        <w:t xml:space="preserve">Supplemental Digital Content </w:t>
      </w:r>
      <w:r w:rsidR="007931E8" w:rsidRPr="006D5382">
        <w:rPr>
          <w:b/>
        </w:rPr>
        <w:t>2</w:t>
      </w:r>
      <w:r w:rsidR="00C6508A" w:rsidRPr="006D5382">
        <w:rPr>
          <w:b/>
        </w:rPr>
        <w:t xml:space="preserve">, Table 2: </w:t>
      </w:r>
      <w:r w:rsidR="00C6508A" w:rsidRPr="006D5382">
        <w:t>Summary of Newcastle-Ottawa score for case-control/case series studies</w:t>
      </w:r>
    </w:p>
    <w:p w14:paraId="28865CA8" w14:textId="77777777" w:rsidR="00EF4106" w:rsidRPr="006D5382" w:rsidRDefault="00EF4106" w:rsidP="006D5382">
      <w:pPr>
        <w:spacing w:line="360" w:lineRule="auto"/>
      </w:pPr>
    </w:p>
    <w:tbl>
      <w:tblPr>
        <w:tblW w:w="8040" w:type="dxa"/>
        <w:tblLook w:val="04A0" w:firstRow="1" w:lastRow="0" w:firstColumn="1" w:lastColumn="0" w:noHBand="0" w:noVBand="1"/>
      </w:tblPr>
      <w:tblGrid>
        <w:gridCol w:w="2840"/>
        <w:gridCol w:w="1300"/>
        <w:gridCol w:w="1300"/>
        <w:gridCol w:w="1300"/>
        <w:gridCol w:w="1300"/>
      </w:tblGrid>
      <w:tr w:rsidR="006D5382" w:rsidRPr="006D5382" w14:paraId="0EB0831A" w14:textId="77777777" w:rsidTr="008D2B81">
        <w:trPr>
          <w:trHeight w:val="34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D6D8D" w14:textId="77777777" w:rsidR="00C6508A" w:rsidRPr="006D5382" w:rsidRDefault="00C6508A" w:rsidP="006D5382">
            <w:pPr>
              <w:spacing w:line="360" w:lineRule="auto"/>
              <w:rPr>
                <w:b/>
                <w:bCs/>
              </w:rPr>
            </w:pPr>
            <w:r w:rsidRPr="006D5382">
              <w:rPr>
                <w:b/>
                <w:bCs/>
              </w:rPr>
              <w:t>Case control/case studies (n=4)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3808FDE" w14:textId="77777777" w:rsidR="00C6508A" w:rsidRPr="006D5382" w:rsidRDefault="00C6508A" w:rsidP="006D5382">
            <w:pPr>
              <w:spacing w:line="360" w:lineRule="auto"/>
              <w:rPr>
                <w:b/>
                <w:bCs/>
              </w:rPr>
            </w:pPr>
            <w:r w:rsidRPr="006D5382">
              <w:rPr>
                <w:b/>
                <w:bCs/>
              </w:rPr>
              <w:t>2 stars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61C02BA" w14:textId="77777777" w:rsidR="00C6508A" w:rsidRPr="006D5382" w:rsidRDefault="00C6508A" w:rsidP="006D5382">
            <w:pPr>
              <w:spacing w:line="360" w:lineRule="auto"/>
              <w:rPr>
                <w:b/>
                <w:bCs/>
              </w:rPr>
            </w:pPr>
            <w:r w:rsidRPr="006D5382">
              <w:rPr>
                <w:b/>
                <w:bCs/>
              </w:rPr>
              <w:t>1 star</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BA1738F" w14:textId="77777777" w:rsidR="00C6508A" w:rsidRPr="006D5382" w:rsidRDefault="00C6508A" w:rsidP="006D5382">
            <w:pPr>
              <w:spacing w:line="360" w:lineRule="auto"/>
              <w:rPr>
                <w:b/>
                <w:bCs/>
              </w:rPr>
            </w:pPr>
            <w:r w:rsidRPr="006D5382">
              <w:rPr>
                <w:b/>
                <w:bCs/>
              </w:rPr>
              <w:t>No star</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BDB148F" w14:textId="77777777" w:rsidR="00C6508A" w:rsidRPr="006D5382" w:rsidRDefault="00C6508A" w:rsidP="006D5382">
            <w:pPr>
              <w:spacing w:line="360" w:lineRule="auto"/>
              <w:rPr>
                <w:b/>
                <w:bCs/>
              </w:rPr>
            </w:pPr>
            <w:r w:rsidRPr="006D5382">
              <w:rPr>
                <w:b/>
                <w:bCs/>
              </w:rPr>
              <w:t>Total</w:t>
            </w:r>
          </w:p>
        </w:tc>
      </w:tr>
      <w:tr w:rsidR="006D5382" w:rsidRPr="006D5382" w14:paraId="5F2FBD34" w14:textId="77777777" w:rsidTr="008D2B81">
        <w:trPr>
          <w:trHeight w:val="6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4A2250F" w14:textId="77777777" w:rsidR="00C6508A" w:rsidRPr="006D5382" w:rsidRDefault="00C6508A" w:rsidP="006D5382">
            <w:pPr>
              <w:spacing w:line="360" w:lineRule="auto"/>
            </w:pPr>
            <w:r w:rsidRPr="006D5382">
              <w:t>Is the case definition adequate?</w:t>
            </w:r>
          </w:p>
        </w:tc>
        <w:tc>
          <w:tcPr>
            <w:tcW w:w="1300" w:type="dxa"/>
            <w:tcBorders>
              <w:top w:val="nil"/>
              <w:left w:val="nil"/>
              <w:bottom w:val="single" w:sz="4" w:space="0" w:color="auto"/>
              <w:right w:val="single" w:sz="4" w:space="0" w:color="auto"/>
            </w:tcBorders>
            <w:shd w:val="clear" w:color="auto" w:fill="auto"/>
            <w:noWrap/>
            <w:vAlign w:val="center"/>
            <w:hideMark/>
          </w:tcPr>
          <w:p w14:paraId="7B747528" w14:textId="77777777" w:rsidR="00C6508A" w:rsidRPr="006D5382" w:rsidRDefault="00C6508A" w:rsidP="006D5382">
            <w:pPr>
              <w:spacing w:line="360" w:lineRule="auto"/>
            </w:pPr>
            <w:r w:rsidRPr="006D5382">
              <w:t> </w:t>
            </w:r>
          </w:p>
        </w:tc>
        <w:tc>
          <w:tcPr>
            <w:tcW w:w="1300" w:type="dxa"/>
            <w:tcBorders>
              <w:top w:val="nil"/>
              <w:left w:val="nil"/>
              <w:bottom w:val="single" w:sz="4" w:space="0" w:color="auto"/>
              <w:right w:val="single" w:sz="4" w:space="0" w:color="auto"/>
            </w:tcBorders>
            <w:shd w:val="clear" w:color="auto" w:fill="auto"/>
            <w:noWrap/>
            <w:vAlign w:val="center"/>
            <w:hideMark/>
          </w:tcPr>
          <w:p w14:paraId="3DBF6F06" w14:textId="77777777" w:rsidR="00C6508A" w:rsidRPr="006D5382" w:rsidRDefault="00C6508A" w:rsidP="006D5382">
            <w:pPr>
              <w:spacing w:line="360" w:lineRule="auto"/>
            </w:pPr>
            <w:r w:rsidRPr="006D5382">
              <w:t>3</w:t>
            </w:r>
          </w:p>
        </w:tc>
        <w:tc>
          <w:tcPr>
            <w:tcW w:w="1300" w:type="dxa"/>
            <w:tcBorders>
              <w:top w:val="nil"/>
              <w:left w:val="nil"/>
              <w:bottom w:val="single" w:sz="4" w:space="0" w:color="auto"/>
              <w:right w:val="single" w:sz="4" w:space="0" w:color="auto"/>
            </w:tcBorders>
            <w:shd w:val="clear" w:color="auto" w:fill="auto"/>
            <w:noWrap/>
            <w:vAlign w:val="center"/>
            <w:hideMark/>
          </w:tcPr>
          <w:p w14:paraId="74131DCE" w14:textId="77777777" w:rsidR="00C6508A" w:rsidRPr="006D5382" w:rsidRDefault="00C6508A" w:rsidP="006D5382">
            <w:pPr>
              <w:spacing w:line="360" w:lineRule="auto"/>
            </w:pPr>
            <w:r w:rsidRPr="006D5382">
              <w:t>1</w:t>
            </w:r>
          </w:p>
        </w:tc>
        <w:tc>
          <w:tcPr>
            <w:tcW w:w="1300" w:type="dxa"/>
            <w:tcBorders>
              <w:top w:val="nil"/>
              <w:left w:val="nil"/>
              <w:bottom w:val="single" w:sz="4" w:space="0" w:color="auto"/>
              <w:right w:val="single" w:sz="4" w:space="0" w:color="auto"/>
            </w:tcBorders>
            <w:shd w:val="clear" w:color="auto" w:fill="auto"/>
            <w:noWrap/>
            <w:vAlign w:val="center"/>
            <w:hideMark/>
          </w:tcPr>
          <w:p w14:paraId="1C6B65DE" w14:textId="77777777" w:rsidR="00C6508A" w:rsidRPr="006D5382" w:rsidRDefault="00C6508A" w:rsidP="006D5382">
            <w:pPr>
              <w:spacing w:line="360" w:lineRule="auto"/>
            </w:pPr>
            <w:r w:rsidRPr="006D5382">
              <w:t>4</w:t>
            </w:r>
          </w:p>
        </w:tc>
      </w:tr>
      <w:tr w:rsidR="006D5382" w:rsidRPr="006D5382" w14:paraId="6BB02E0F" w14:textId="77777777" w:rsidTr="008D2B81">
        <w:trPr>
          <w:trHeight w:val="6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57A5FA3" w14:textId="77777777" w:rsidR="00C6508A" w:rsidRPr="006D5382" w:rsidRDefault="00C6508A" w:rsidP="006D5382">
            <w:pPr>
              <w:spacing w:line="360" w:lineRule="auto"/>
            </w:pPr>
            <w:r w:rsidRPr="006D5382">
              <w:lastRenderedPageBreak/>
              <w:t>Representativeness of cases</w:t>
            </w:r>
          </w:p>
        </w:tc>
        <w:tc>
          <w:tcPr>
            <w:tcW w:w="1300" w:type="dxa"/>
            <w:tcBorders>
              <w:top w:val="nil"/>
              <w:left w:val="nil"/>
              <w:bottom w:val="single" w:sz="4" w:space="0" w:color="auto"/>
              <w:right w:val="single" w:sz="4" w:space="0" w:color="auto"/>
            </w:tcBorders>
            <w:shd w:val="clear" w:color="auto" w:fill="auto"/>
            <w:noWrap/>
            <w:vAlign w:val="center"/>
            <w:hideMark/>
          </w:tcPr>
          <w:p w14:paraId="02B3D1B3" w14:textId="77777777" w:rsidR="00C6508A" w:rsidRPr="006D5382" w:rsidRDefault="00C6508A" w:rsidP="006D5382">
            <w:pPr>
              <w:spacing w:line="360" w:lineRule="auto"/>
            </w:pPr>
            <w:r w:rsidRPr="006D5382">
              <w:t> </w:t>
            </w:r>
          </w:p>
        </w:tc>
        <w:tc>
          <w:tcPr>
            <w:tcW w:w="1300" w:type="dxa"/>
            <w:tcBorders>
              <w:top w:val="nil"/>
              <w:left w:val="nil"/>
              <w:bottom w:val="single" w:sz="4" w:space="0" w:color="auto"/>
              <w:right w:val="single" w:sz="4" w:space="0" w:color="auto"/>
            </w:tcBorders>
            <w:shd w:val="clear" w:color="auto" w:fill="auto"/>
            <w:noWrap/>
            <w:vAlign w:val="center"/>
            <w:hideMark/>
          </w:tcPr>
          <w:p w14:paraId="47807F91" w14:textId="77777777" w:rsidR="00C6508A" w:rsidRPr="006D5382" w:rsidRDefault="00C6508A" w:rsidP="006D5382">
            <w:pPr>
              <w:spacing w:line="360" w:lineRule="auto"/>
            </w:pPr>
            <w:r w:rsidRPr="006D5382">
              <w:t>2</w:t>
            </w:r>
          </w:p>
        </w:tc>
        <w:tc>
          <w:tcPr>
            <w:tcW w:w="1300" w:type="dxa"/>
            <w:tcBorders>
              <w:top w:val="nil"/>
              <w:left w:val="nil"/>
              <w:bottom w:val="single" w:sz="4" w:space="0" w:color="auto"/>
              <w:right w:val="single" w:sz="4" w:space="0" w:color="auto"/>
            </w:tcBorders>
            <w:shd w:val="clear" w:color="auto" w:fill="auto"/>
            <w:noWrap/>
            <w:vAlign w:val="center"/>
            <w:hideMark/>
          </w:tcPr>
          <w:p w14:paraId="27AAB8B8" w14:textId="77777777" w:rsidR="00C6508A" w:rsidRPr="006D5382" w:rsidRDefault="00C6508A" w:rsidP="006D5382">
            <w:pPr>
              <w:spacing w:line="360" w:lineRule="auto"/>
            </w:pPr>
            <w:r w:rsidRPr="006D5382">
              <w:t>2</w:t>
            </w:r>
          </w:p>
        </w:tc>
        <w:tc>
          <w:tcPr>
            <w:tcW w:w="1300" w:type="dxa"/>
            <w:tcBorders>
              <w:top w:val="nil"/>
              <w:left w:val="nil"/>
              <w:bottom w:val="single" w:sz="4" w:space="0" w:color="auto"/>
              <w:right w:val="single" w:sz="4" w:space="0" w:color="auto"/>
            </w:tcBorders>
            <w:shd w:val="clear" w:color="auto" w:fill="auto"/>
            <w:noWrap/>
            <w:vAlign w:val="center"/>
            <w:hideMark/>
          </w:tcPr>
          <w:p w14:paraId="5B7D298F" w14:textId="77777777" w:rsidR="00C6508A" w:rsidRPr="006D5382" w:rsidRDefault="00C6508A" w:rsidP="006D5382">
            <w:pPr>
              <w:spacing w:line="360" w:lineRule="auto"/>
            </w:pPr>
            <w:r w:rsidRPr="006D5382">
              <w:t>4</w:t>
            </w:r>
          </w:p>
        </w:tc>
      </w:tr>
      <w:tr w:rsidR="006D5382" w:rsidRPr="006D5382" w14:paraId="445F21F8" w14:textId="77777777" w:rsidTr="008D2B81">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0E3F0DB" w14:textId="77777777" w:rsidR="00C6508A" w:rsidRPr="006D5382" w:rsidRDefault="00C6508A" w:rsidP="006D5382">
            <w:pPr>
              <w:spacing w:line="360" w:lineRule="auto"/>
            </w:pPr>
            <w:r w:rsidRPr="006D5382">
              <w:t>Selection of controls</w:t>
            </w:r>
          </w:p>
        </w:tc>
        <w:tc>
          <w:tcPr>
            <w:tcW w:w="1300" w:type="dxa"/>
            <w:tcBorders>
              <w:top w:val="nil"/>
              <w:left w:val="nil"/>
              <w:bottom w:val="single" w:sz="4" w:space="0" w:color="auto"/>
              <w:right w:val="single" w:sz="4" w:space="0" w:color="auto"/>
            </w:tcBorders>
            <w:shd w:val="clear" w:color="auto" w:fill="auto"/>
            <w:noWrap/>
            <w:hideMark/>
          </w:tcPr>
          <w:p w14:paraId="239BE1B2" w14:textId="77777777" w:rsidR="00C6508A" w:rsidRPr="006D5382" w:rsidRDefault="00C6508A" w:rsidP="006D5382">
            <w:pPr>
              <w:spacing w:line="360" w:lineRule="auto"/>
            </w:pPr>
            <w:r w:rsidRPr="006D5382">
              <w:t> </w:t>
            </w:r>
          </w:p>
        </w:tc>
        <w:tc>
          <w:tcPr>
            <w:tcW w:w="1300" w:type="dxa"/>
            <w:tcBorders>
              <w:top w:val="nil"/>
              <w:left w:val="nil"/>
              <w:bottom w:val="single" w:sz="4" w:space="0" w:color="auto"/>
              <w:right w:val="single" w:sz="4" w:space="0" w:color="auto"/>
            </w:tcBorders>
            <w:shd w:val="clear" w:color="auto" w:fill="auto"/>
            <w:noWrap/>
            <w:vAlign w:val="center"/>
            <w:hideMark/>
          </w:tcPr>
          <w:p w14:paraId="2E2E1EDD" w14:textId="77777777" w:rsidR="00C6508A" w:rsidRPr="006D5382" w:rsidRDefault="00C6508A" w:rsidP="006D5382">
            <w:pPr>
              <w:spacing w:line="360" w:lineRule="auto"/>
            </w:pPr>
            <w:r w:rsidRPr="006D5382">
              <w:t>2</w:t>
            </w:r>
          </w:p>
        </w:tc>
        <w:tc>
          <w:tcPr>
            <w:tcW w:w="1300" w:type="dxa"/>
            <w:tcBorders>
              <w:top w:val="nil"/>
              <w:left w:val="nil"/>
              <w:bottom w:val="single" w:sz="4" w:space="0" w:color="auto"/>
              <w:right w:val="single" w:sz="4" w:space="0" w:color="auto"/>
            </w:tcBorders>
            <w:shd w:val="clear" w:color="auto" w:fill="auto"/>
            <w:noWrap/>
            <w:vAlign w:val="center"/>
            <w:hideMark/>
          </w:tcPr>
          <w:p w14:paraId="3A62DCC7" w14:textId="77777777" w:rsidR="00C6508A" w:rsidRPr="006D5382" w:rsidRDefault="00C6508A" w:rsidP="006D5382">
            <w:pPr>
              <w:spacing w:line="360" w:lineRule="auto"/>
            </w:pPr>
            <w:r w:rsidRPr="006D5382">
              <w:t>2</w:t>
            </w:r>
          </w:p>
        </w:tc>
        <w:tc>
          <w:tcPr>
            <w:tcW w:w="1300" w:type="dxa"/>
            <w:tcBorders>
              <w:top w:val="nil"/>
              <w:left w:val="nil"/>
              <w:bottom w:val="single" w:sz="4" w:space="0" w:color="auto"/>
              <w:right w:val="single" w:sz="4" w:space="0" w:color="auto"/>
            </w:tcBorders>
            <w:shd w:val="clear" w:color="auto" w:fill="auto"/>
            <w:noWrap/>
            <w:vAlign w:val="center"/>
            <w:hideMark/>
          </w:tcPr>
          <w:p w14:paraId="7DBC859F" w14:textId="77777777" w:rsidR="00C6508A" w:rsidRPr="006D5382" w:rsidRDefault="00C6508A" w:rsidP="006D5382">
            <w:pPr>
              <w:spacing w:line="360" w:lineRule="auto"/>
            </w:pPr>
            <w:r w:rsidRPr="006D5382">
              <w:t>4</w:t>
            </w:r>
          </w:p>
        </w:tc>
      </w:tr>
      <w:tr w:rsidR="006D5382" w:rsidRPr="006D5382" w14:paraId="2AEADAEF" w14:textId="77777777" w:rsidTr="008D2B81">
        <w:trPr>
          <w:trHeight w:val="102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0A6EEA7" w14:textId="77777777" w:rsidR="00C6508A" w:rsidRPr="006D5382" w:rsidRDefault="00C6508A" w:rsidP="006D5382">
            <w:pPr>
              <w:spacing w:line="360" w:lineRule="auto"/>
            </w:pPr>
            <w:r w:rsidRPr="006D5382">
              <w:t>Definition of controls</w:t>
            </w:r>
          </w:p>
        </w:tc>
        <w:tc>
          <w:tcPr>
            <w:tcW w:w="1300" w:type="dxa"/>
            <w:tcBorders>
              <w:top w:val="nil"/>
              <w:left w:val="nil"/>
              <w:bottom w:val="single" w:sz="4" w:space="0" w:color="auto"/>
              <w:right w:val="single" w:sz="4" w:space="0" w:color="auto"/>
            </w:tcBorders>
            <w:shd w:val="clear" w:color="auto" w:fill="auto"/>
            <w:noWrap/>
            <w:hideMark/>
          </w:tcPr>
          <w:p w14:paraId="6F1E420D" w14:textId="77777777" w:rsidR="00C6508A" w:rsidRPr="006D5382" w:rsidRDefault="00C6508A" w:rsidP="006D5382">
            <w:pPr>
              <w:spacing w:line="360" w:lineRule="auto"/>
            </w:pPr>
            <w:r w:rsidRPr="006D5382">
              <w:t> </w:t>
            </w:r>
          </w:p>
        </w:tc>
        <w:tc>
          <w:tcPr>
            <w:tcW w:w="1300" w:type="dxa"/>
            <w:tcBorders>
              <w:top w:val="nil"/>
              <w:left w:val="nil"/>
              <w:bottom w:val="single" w:sz="4" w:space="0" w:color="auto"/>
              <w:right w:val="single" w:sz="4" w:space="0" w:color="auto"/>
            </w:tcBorders>
            <w:shd w:val="clear" w:color="auto" w:fill="auto"/>
            <w:noWrap/>
            <w:vAlign w:val="center"/>
            <w:hideMark/>
          </w:tcPr>
          <w:p w14:paraId="76D8CE34" w14:textId="77777777" w:rsidR="00C6508A" w:rsidRPr="006D5382" w:rsidRDefault="00C6508A" w:rsidP="006D5382">
            <w:pPr>
              <w:spacing w:line="360" w:lineRule="auto"/>
            </w:pPr>
            <w:r w:rsidRPr="006D5382">
              <w:t>1</w:t>
            </w:r>
          </w:p>
        </w:tc>
        <w:tc>
          <w:tcPr>
            <w:tcW w:w="1300" w:type="dxa"/>
            <w:tcBorders>
              <w:top w:val="nil"/>
              <w:left w:val="nil"/>
              <w:bottom w:val="single" w:sz="4" w:space="0" w:color="auto"/>
              <w:right w:val="single" w:sz="4" w:space="0" w:color="auto"/>
            </w:tcBorders>
            <w:shd w:val="clear" w:color="auto" w:fill="auto"/>
            <w:noWrap/>
            <w:vAlign w:val="center"/>
            <w:hideMark/>
          </w:tcPr>
          <w:p w14:paraId="766B86DD" w14:textId="77777777" w:rsidR="00C6508A" w:rsidRPr="006D5382" w:rsidRDefault="00C6508A" w:rsidP="006D5382">
            <w:pPr>
              <w:spacing w:line="360" w:lineRule="auto"/>
            </w:pPr>
            <w:r w:rsidRPr="006D5382">
              <w:t>3</w:t>
            </w:r>
          </w:p>
        </w:tc>
        <w:tc>
          <w:tcPr>
            <w:tcW w:w="1300" w:type="dxa"/>
            <w:tcBorders>
              <w:top w:val="nil"/>
              <w:left w:val="nil"/>
              <w:bottom w:val="single" w:sz="4" w:space="0" w:color="auto"/>
              <w:right w:val="single" w:sz="4" w:space="0" w:color="auto"/>
            </w:tcBorders>
            <w:shd w:val="clear" w:color="auto" w:fill="auto"/>
            <w:noWrap/>
            <w:vAlign w:val="center"/>
            <w:hideMark/>
          </w:tcPr>
          <w:p w14:paraId="1621D4BC" w14:textId="77777777" w:rsidR="00C6508A" w:rsidRPr="006D5382" w:rsidRDefault="00C6508A" w:rsidP="006D5382">
            <w:pPr>
              <w:spacing w:line="360" w:lineRule="auto"/>
            </w:pPr>
            <w:r w:rsidRPr="006D5382">
              <w:t>4</w:t>
            </w:r>
          </w:p>
        </w:tc>
      </w:tr>
      <w:tr w:rsidR="006D5382" w:rsidRPr="006D5382" w14:paraId="74AE6822" w14:textId="77777777" w:rsidTr="008D2B81">
        <w:trPr>
          <w:trHeight w:val="13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EDDC3DE" w14:textId="77777777" w:rsidR="00C6508A" w:rsidRPr="006D5382" w:rsidRDefault="00C6508A" w:rsidP="006D5382">
            <w:pPr>
              <w:spacing w:line="360" w:lineRule="auto"/>
            </w:pPr>
            <w:r w:rsidRPr="006D5382">
              <w:t>Comparability of cohorts on the basis of the design or analysis controlled for confounders</w:t>
            </w:r>
          </w:p>
        </w:tc>
        <w:tc>
          <w:tcPr>
            <w:tcW w:w="1300" w:type="dxa"/>
            <w:tcBorders>
              <w:top w:val="nil"/>
              <w:left w:val="nil"/>
              <w:bottom w:val="single" w:sz="4" w:space="0" w:color="auto"/>
              <w:right w:val="single" w:sz="4" w:space="0" w:color="auto"/>
            </w:tcBorders>
            <w:shd w:val="clear" w:color="auto" w:fill="auto"/>
            <w:noWrap/>
            <w:vAlign w:val="center"/>
            <w:hideMark/>
          </w:tcPr>
          <w:p w14:paraId="6CAFC23C" w14:textId="77777777" w:rsidR="00C6508A" w:rsidRPr="006D5382" w:rsidRDefault="00C6508A" w:rsidP="006D5382">
            <w:pPr>
              <w:spacing w:line="360" w:lineRule="auto"/>
            </w:pPr>
            <w:r w:rsidRPr="006D5382">
              <w:t>2</w:t>
            </w:r>
          </w:p>
        </w:tc>
        <w:tc>
          <w:tcPr>
            <w:tcW w:w="1300" w:type="dxa"/>
            <w:tcBorders>
              <w:top w:val="nil"/>
              <w:left w:val="nil"/>
              <w:bottom w:val="single" w:sz="4" w:space="0" w:color="auto"/>
              <w:right w:val="single" w:sz="4" w:space="0" w:color="auto"/>
            </w:tcBorders>
            <w:shd w:val="clear" w:color="auto" w:fill="auto"/>
            <w:noWrap/>
            <w:vAlign w:val="center"/>
            <w:hideMark/>
          </w:tcPr>
          <w:p w14:paraId="2DBB668B" w14:textId="77777777" w:rsidR="00C6508A" w:rsidRPr="006D5382" w:rsidRDefault="00C6508A" w:rsidP="006D5382">
            <w:pPr>
              <w:spacing w:line="360" w:lineRule="auto"/>
            </w:pPr>
            <w:r w:rsidRPr="006D5382">
              <w:t>2</w:t>
            </w:r>
          </w:p>
        </w:tc>
        <w:tc>
          <w:tcPr>
            <w:tcW w:w="1300" w:type="dxa"/>
            <w:tcBorders>
              <w:top w:val="nil"/>
              <w:left w:val="nil"/>
              <w:bottom w:val="single" w:sz="4" w:space="0" w:color="auto"/>
              <w:right w:val="single" w:sz="4" w:space="0" w:color="auto"/>
            </w:tcBorders>
            <w:shd w:val="clear" w:color="auto" w:fill="auto"/>
            <w:noWrap/>
            <w:vAlign w:val="center"/>
            <w:hideMark/>
          </w:tcPr>
          <w:p w14:paraId="0959A7F5" w14:textId="77777777" w:rsidR="00C6508A" w:rsidRPr="006D5382" w:rsidRDefault="00C6508A" w:rsidP="006D5382">
            <w:pPr>
              <w:spacing w:line="360" w:lineRule="auto"/>
            </w:pPr>
            <w:r w:rsidRPr="006D5382">
              <w:t>0</w:t>
            </w:r>
          </w:p>
        </w:tc>
        <w:tc>
          <w:tcPr>
            <w:tcW w:w="1300" w:type="dxa"/>
            <w:tcBorders>
              <w:top w:val="nil"/>
              <w:left w:val="nil"/>
              <w:bottom w:val="single" w:sz="4" w:space="0" w:color="auto"/>
              <w:right w:val="single" w:sz="4" w:space="0" w:color="auto"/>
            </w:tcBorders>
            <w:shd w:val="clear" w:color="auto" w:fill="auto"/>
            <w:noWrap/>
            <w:vAlign w:val="center"/>
            <w:hideMark/>
          </w:tcPr>
          <w:p w14:paraId="4F8D2417" w14:textId="77777777" w:rsidR="00C6508A" w:rsidRPr="006D5382" w:rsidRDefault="00C6508A" w:rsidP="006D5382">
            <w:pPr>
              <w:spacing w:line="360" w:lineRule="auto"/>
            </w:pPr>
            <w:r w:rsidRPr="006D5382">
              <w:t>4</w:t>
            </w:r>
          </w:p>
        </w:tc>
      </w:tr>
      <w:tr w:rsidR="006D5382" w:rsidRPr="006D5382" w14:paraId="07949D81" w14:textId="77777777" w:rsidTr="008D2B81">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1DDE220" w14:textId="77777777" w:rsidR="00C6508A" w:rsidRPr="006D5382" w:rsidRDefault="00C6508A" w:rsidP="006D5382">
            <w:pPr>
              <w:spacing w:line="360" w:lineRule="auto"/>
            </w:pPr>
            <w:r w:rsidRPr="006D5382">
              <w:t>Ascertainment of exposure</w:t>
            </w:r>
          </w:p>
        </w:tc>
        <w:tc>
          <w:tcPr>
            <w:tcW w:w="1300" w:type="dxa"/>
            <w:tcBorders>
              <w:top w:val="nil"/>
              <w:left w:val="nil"/>
              <w:bottom w:val="single" w:sz="4" w:space="0" w:color="auto"/>
              <w:right w:val="single" w:sz="4" w:space="0" w:color="auto"/>
            </w:tcBorders>
            <w:shd w:val="clear" w:color="auto" w:fill="auto"/>
            <w:noWrap/>
            <w:vAlign w:val="center"/>
            <w:hideMark/>
          </w:tcPr>
          <w:p w14:paraId="1838D68B" w14:textId="77777777" w:rsidR="00C6508A" w:rsidRPr="006D5382" w:rsidRDefault="00C6508A" w:rsidP="006D5382">
            <w:pPr>
              <w:spacing w:line="360" w:lineRule="auto"/>
            </w:pPr>
            <w:r w:rsidRPr="006D5382">
              <w:t> </w:t>
            </w:r>
          </w:p>
        </w:tc>
        <w:tc>
          <w:tcPr>
            <w:tcW w:w="1300" w:type="dxa"/>
            <w:tcBorders>
              <w:top w:val="nil"/>
              <w:left w:val="nil"/>
              <w:bottom w:val="single" w:sz="4" w:space="0" w:color="auto"/>
              <w:right w:val="single" w:sz="4" w:space="0" w:color="auto"/>
            </w:tcBorders>
            <w:shd w:val="clear" w:color="auto" w:fill="auto"/>
            <w:noWrap/>
            <w:vAlign w:val="center"/>
            <w:hideMark/>
          </w:tcPr>
          <w:p w14:paraId="578B6212" w14:textId="77777777" w:rsidR="00C6508A" w:rsidRPr="006D5382" w:rsidRDefault="00C6508A" w:rsidP="006D5382">
            <w:pPr>
              <w:spacing w:line="360" w:lineRule="auto"/>
            </w:pPr>
            <w:r w:rsidRPr="006D5382">
              <w:t>4</w:t>
            </w:r>
          </w:p>
        </w:tc>
        <w:tc>
          <w:tcPr>
            <w:tcW w:w="1300" w:type="dxa"/>
            <w:tcBorders>
              <w:top w:val="nil"/>
              <w:left w:val="nil"/>
              <w:bottom w:val="single" w:sz="4" w:space="0" w:color="auto"/>
              <w:right w:val="single" w:sz="4" w:space="0" w:color="auto"/>
            </w:tcBorders>
            <w:shd w:val="clear" w:color="auto" w:fill="auto"/>
            <w:noWrap/>
            <w:vAlign w:val="center"/>
            <w:hideMark/>
          </w:tcPr>
          <w:p w14:paraId="193E22A2" w14:textId="77777777" w:rsidR="00C6508A" w:rsidRPr="006D5382" w:rsidRDefault="00C6508A" w:rsidP="006D5382">
            <w:pPr>
              <w:spacing w:line="360" w:lineRule="auto"/>
            </w:pPr>
            <w:r w:rsidRPr="006D5382">
              <w:t>0</w:t>
            </w:r>
          </w:p>
        </w:tc>
        <w:tc>
          <w:tcPr>
            <w:tcW w:w="1300" w:type="dxa"/>
            <w:tcBorders>
              <w:top w:val="nil"/>
              <w:left w:val="nil"/>
              <w:bottom w:val="single" w:sz="4" w:space="0" w:color="auto"/>
              <w:right w:val="single" w:sz="4" w:space="0" w:color="auto"/>
            </w:tcBorders>
            <w:shd w:val="clear" w:color="auto" w:fill="auto"/>
            <w:noWrap/>
            <w:vAlign w:val="center"/>
            <w:hideMark/>
          </w:tcPr>
          <w:p w14:paraId="7FC36F5F" w14:textId="77777777" w:rsidR="00C6508A" w:rsidRPr="006D5382" w:rsidRDefault="00C6508A" w:rsidP="006D5382">
            <w:pPr>
              <w:spacing w:line="360" w:lineRule="auto"/>
            </w:pPr>
            <w:r w:rsidRPr="006D5382">
              <w:t>4</w:t>
            </w:r>
          </w:p>
        </w:tc>
      </w:tr>
      <w:tr w:rsidR="00C6508A" w:rsidRPr="006D5382" w14:paraId="6215C0D9" w14:textId="77777777" w:rsidTr="008D2B81">
        <w:trPr>
          <w:trHeight w:val="6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B6B196E" w14:textId="77777777" w:rsidR="00C6508A" w:rsidRPr="006D5382" w:rsidRDefault="00C6508A" w:rsidP="006D5382">
            <w:pPr>
              <w:spacing w:line="360" w:lineRule="auto"/>
            </w:pPr>
            <w:r w:rsidRPr="006D5382">
              <w:t>Same method of ascertainment for cases and control</w:t>
            </w:r>
          </w:p>
        </w:tc>
        <w:tc>
          <w:tcPr>
            <w:tcW w:w="1300" w:type="dxa"/>
            <w:tcBorders>
              <w:top w:val="nil"/>
              <w:left w:val="nil"/>
              <w:bottom w:val="single" w:sz="4" w:space="0" w:color="auto"/>
              <w:right w:val="single" w:sz="4" w:space="0" w:color="auto"/>
            </w:tcBorders>
            <w:shd w:val="clear" w:color="auto" w:fill="auto"/>
            <w:noWrap/>
            <w:vAlign w:val="center"/>
            <w:hideMark/>
          </w:tcPr>
          <w:p w14:paraId="06BB7A50" w14:textId="77777777" w:rsidR="00C6508A" w:rsidRPr="006D5382" w:rsidRDefault="00C6508A" w:rsidP="006D5382">
            <w:pPr>
              <w:spacing w:line="360" w:lineRule="auto"/>
            </w:pPr>
            <w:r w:rsidRPr="006D5382">
              <w:t> </w:t>
            </w:r>
          </w:p>
        </w:tc>
        <w:tc>
          <w:tcPr>
            <w:tcW w:w="1300" w:type="dxa"/>
            <w:tcBorders>
              <w:top w:val="nil"/>
              <w:left w:val="nil"/>
              <w:bottom w:val="single" w:sz="4" w:space="0" w:color="auto"/>
              <w:right w:val="single" w:sz="4" w:space="0" w:color="auto"/>
            </w:tcBorders>
            <w:shd w:val="clear" w:color="auto" w:fill="auto"/>
            <w:noWrap/>
            <w:vAlign w:val="center"/>
            <w:hideMark/>
          </w:tcPr>
          <w:p w14:paraId="61501186" w14:textId="77777777" w:rsidR="00C6508A" w:rsidRPr="006D5382" w:rsidRDefault="00C6508A" w:rsidP="006D5382">
            <w:pPr>
              <w:spacing w:line="360" w:lineRule="auto"/>
            </w:pPr>
            <w:r w:rsidRPr="006D5382">
              <w:t>3</w:t>
            </w:r>
          </w:p>
        </w:tc>
        <w:tc>
          <w:tcPr>
            <w:tcW w:w="1300" w:type="dxa"/>
            <w:tcBorders>
              <w:top w:val="nil"/>
              <w:left w:val="nil"/>
              <w:bottom w:val="single" w:sz="4" w:space="0" w:color="auto"/>
              <w:right w:val="single" w:sz="4" w:space="0" w:color="auto"/>
            </w:tcBorders>
            <w:shd w:val="clear" w:color="auto" w:fill="auto"/>
            <w:noWrap/>
            <w:vAlign w:val="center"/>
            <w:hideMark/>
          </w:tcPr>
          <w:p w14:paraId="57BD1FF0" w14:textId="77777777" w:rsidR="00C6508A" w:rsidRPr="006D5382" w:rsidRDefault="00C6508A" w:rsidP="006D5382">
            <w:pPr>
              <w:spacing w:line="360" w:lineRule="auto"/>
            </w:pPr>
            <w:r w:rsidRPr="006D5382">
              <w:t>1</w:t>
            </w:r>
          </w:p>
        </w:tc>
        <w:tc>
          <w:tcPr>
            <w:tcW w:w="1300" w:type="dxa"/>
            <w:tcBorders>
              <w:top w:val="nil"/>
              <w:left w:val="nil"/>
              <w:bottom w:val="single" w:sz="4" w:space="0" w:color="auto"/>
              <w:right w:val="single" w:sz="4" w:space="0" w:color="auto"/>
            </w:tcBorders>
            <w:shd w:val="clear" w:color="auto" w:fill="auto"/>
            <w:noWrap/>
            <w:vAlign w:val="center"/>
            <w:hideMark/>
          </w:tcPr>
          <w:p w14:paraId="0D7F275D" w14:textId="77777777" w:rsidR="00C6508A" w:rsidRPr="006D5382" w:rsidRDefault="00C6508A" w:rsidP="006D5382">
            <w:pPr>
              <w:spacing w:line="360" w:lineRule="auto"/>
            </w:pPr>
            <w:r w:rsidRPr="006D5382">
              <w:t>4</w:t>
            </w:r>
          </w:p>
        </w:tc>
      </w:tr>
    </w:tbl>
    <w:p w14:paraId="77942928" w14:textId="77777777" w:rsidR="00404C5E" w:rsidRPr="006D5382" w:rsidRDefault="00404C5E" w:rsidP="006D5382">
      <w:pPr>
        <w:spacing w:line="360" w:lineRule="auto"/>
      </w:pPr>
    </w:p>
    <w:p w14:paraId="09FBEC0E" w14:textId="77777777" w:rsidR="00F5593D" w:rsidRPr="006D5382" w:rsidRDefault="00F5593D" w:rsidP="006D5382">
      <w:pPr>
        <w:spacing w:line="360" w:lineRule="auto"/>
        <w:rPr>
          <w:b/>
        </w:rPr>
      </w:pPr>
    </w:p>
    <w:p w14:paraId="209B86C4" w14:textId="77777777" w:rsidR="00706FE5" w:rsidRPr="006D5382" w:rsidRDefault="00706FE5" w:rsidP="006D5382">
      <w:pPr>
        <w:spacing w:line="360" w:lineRule="auto"/>
        <w:rPr>
          <w:b/>
        </w:rPr>
        <w:sectPr w:rsidR="00706FE5" w:rsidRPr="006D5382" w:rsidSect="006D5382">
          <w:pgSz w:w="11900" w:h="16840"/>
          <w:pgMar w:top="1440" w:right="1440" w:bottom="1440" w:left="1440" w:header="720" w:footer="720" w:gutter="0"/>
          <w:cols w:space="720"/>
          <w:docGrid w:linePitch="360"/>
        </w:sectPr>
      </w:pPr>
    </w:p>
    <w:p w14:paraId="098DD118" w14:textId="006F34BC" w:rsidR="00DA1B98" w:rsidRPr="006D5382" w:rsidRDefault="00DA1B98" w:rsidP="006D5382">
      <w:pPr>
        <w:spacing w:line="360" w:lineRule="auto"/>
      </w:pPr>
      <w:r w:rsidRPr="006D5382">
        <w:rPr>
          <w:b/>
        </w:rPr>
        <w:lastRenderedPageBreak/>
        <w:t xml:space="preserve">Supplemental Digital Content 2, Table 3: </w:t>
      </w:r>
      <w:bookmarkStart w:id="1" w:name="_Hlk73291918"/>
      <w:r w:rsidRPr="006D5382">
        <w:t>Newcastle-Ottawa</w:t>
      </w:r>
      <w:r w:rsidR="00CE3E95" w:rsidRPr="006D5382">
        <w:t xml:space="preserve"> score</w:t>
      </w:r>
      <w:r w:rsidRPr="006D5382">
        <w:t xml:space="preserve"> </w:t>
      </w:r>
      <w:r w:rsidR="00F02B22" w:rsidRPr="006D5382">
        <w:t>breakdown</w:t>
      </w:r>
      <w:r w:rsidRPr="006D5382">
        <w:t xml:space="preserve"> for each cohort study.</w:t>
      </w:r>
      <w:bookmarkEnd w:id="1"/>
    </w:p>
    <w:p w14:paraId="209B2890" w14:textId="77777777" w:rsidR="00F5593D" w:rsidRPr="006D5382" w:rsidRDefault="00F5593D" w:rsidP="006D5382">
      <w:pPr>
        <w:spacing w:line="360" w:lineRule="auto"/>
        <w:rPr>
          <w:b/>
        </w:rPr>
      </w:pPr>
    </w:p>
    <w:p w14:paraId="7B6FE18B" w14:textId="77777777" w:rsidR="00DA1B98" w:rsidRPr="006D5382" w:rsidRDefault="00DA1B98" w:rsidP="006D5382">
      <w:pPr>
        <w:spacing w:line="36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592"/>
        <w:gridCol w:w="592"/>
        <w:gridCol w:w="591"/>
        <w:gridCol w:w="591"/>
        <w:gridCol w:w="591"/>
        <w:gridCol w:w="591"/>
        <w:gridCol w:w="591"/>
        <w:gridCol w:w="591"/>
        <w:gridCol w:w="591"/>
        <w:gridCol w:w="591"/>
        <w:gridCol w:w="703"/>
      </w:tblGrid>
      <w:tr w:rsidR="006D5382" w:rsidRPr="006D5382" w14:paraId="18639DEF" w14:textId="77777777" w:rsidTr="00706FE5">
        <w:trPr>
          <w:cantSplit/>
          <w:trHeight w:val="2928"/>
        </w:trPr>
        <w:tc>
          <w:tcPr>
            <w:tcW w:w="899" w:type="pct"/>
            <w:shd w:val="clear" w:color="auto" w:fill="auto"/>
            <w:noWrap/>
            <w:vAlign w:val="center"/>
            <w:hideMark/>
          </w:tcPr>
          <w:p w14:paraId="0E2C8B68" w14:textId="77777777" w:rsidR="00706FE5" w:rsidRPr="006D5382" w:rsidRDefault="00706FE5" w:rsidP="006D5382">
            <w:pPr>
              <w:spacing w:line="360" w:lineRule="auto"/>
              <w:rPr>
                <w:b/>
                <w:bCs/>
              </w:rPr>
            </w:pPr>
            <w:r w:rsidRPr="006D5382">
              <w:rPr>
                <w:b/>
                <w:bCs/>
              </w:rPr>
              <w:t>Author (first) and year</w:t>
            </w:r>
          </w:p>
        </w:tc>
        <w:tc>
          <w:tcPr>
            <w:tcW w:w="434" w:type="pct"/>
            <w:shd w:val="clear" w:color="auto" w:fill="auto"/>
            <w:noWrap/>
            <w:textDirection w:val="btLr"/>
            <w:hideMark/>
          </w:tcPr>
          <w:p w14:paraId="5DECDCA3" w14:textId="77777777" w:rsidR="00706FE5" w:rsidRPr="006D5382" w:rsidRDefault="00706FE5" w:rsidP="006D5382">
            <w:pPr>
              <w:spacing w:line="360" w:lineRule="auto"/>
              <w:ind w:left="113" w:right="113"/>
            </w:pPr>
            <w:r w:rsidRPr="006D5382">
              <w:t xml:space="preserve">Representativeness of the exposed cohort </w:t>
            </w:r>
          </w:p>
        </w:tc>
        <w:tc>
          <w:tcPr>
            <w:tcW w:w="985" w:type="pct"/>
            <w:shd w:val="clear" w:color="auto" w:fill="auto"/>
            <w:noWrap/>
            <w:textDirection w:val="btLr"/>
            <w:hideMark/>
          </w:tcPr>
          <w:p w14:paraId="62D93A78" w14:textId="77777777" w:rsidR="00706FE5" w:rsidRPr="006D5382" w:rsidRDefault="00706FE5" w:rsidP="006D5382">
            <w:pPr>
              <w:spacing w:line="360" w:lineRule="auto"/>
              <w:ind w:left="113" w:right="113"/>
            </w:pPr>
            <w:r w:rsidRPr="006D5382">
              <w:t xml:space="preserve">Selection of Non-Exposed Cohort </w:t>
            </w:r>
          </w:p>
        </w:tc>
        <w:tc>
          <w:tcPr>
            <w:tcW w:w="514" w:type="pct"/>
            <w:shd w:val="clear" w:color="auto" w:fill="auto"/>
            <w:noWrap/>
            <w:textDirection w:val="btLr"/>
            <w:hideMark/>
          </w:tcPr>
          <w:p w14:paraId="42A504F4" w14:textId="77777777" w:rsidR="00706FE5" w:rsidRPr="006D5382" w:rsidRDefault="00706FE5" w:rsidP="006D5382">
            <w:pPr>
              <w:spacing w:line="360" w:lineRule="auto"/>
              <w:ind w:left="113" w:right="113"/>
            </w:pPr>
            <w:r w:rsidRPr="006D5382">
              <w:t>Ascertainment of exposure</w:t>
            </w:r>
          </w:p>
        </w:tc>
        <w:tc>
          <w:tcPr>
            <w:tcW w:w="297" w:type="pct"/>
            <w:shd w:val="clear" w:color="auto" w:fill="auto"/>
            <w:textDirection w:val="btLr"/>
            <w:hideMark/>
          </w:tcPr>
          <w:p w14:paraId="4FBBEC0B" w14:textId="77777777" w:rsidR="00706FE5" w:rsidRPr="006D5382" w:rsidRDefault="00706FE5" w:rsidP="006D5382">
            <w:pPr>
              <w:spacing w:line="360" w:lineRule="auto"/>
              <w:ind w:left="113" w:right="113"/>
            </w:pPr>
            <w:r w:rsidRPr="006D5382">
              <w:t>Demonstration that outcome of interest was not present at the start of the study</w:t>
            </w:r>
          </w:p>
        </w:tc>
        <w:tc>
          <w:tcPr>
            <w:tcW w:w="321" w:type="pct"/>
            <w:shd w:val="clear" w:color="000000" w:fill="FFFF00"/>
            <w:noWrap/>
            <w:textDirection w:val="btLr"/>
            <w:hideMark/>
          </w:tcPr>
          <w:p w14:paraId="775B2EF2" w14:textId="77777777" w:rsidR="00706FE5" w:rsidRPr="006D5382" w:rsidRDefault="00706FE5" w:rsidP="006D5382">
            <w:pPr>
              <w:spacing w:line="360" w:lineRule="auto"/>
              <w:ind w:left="113" w:right="113"/>
              <w:rPr>
                <w:b/>
                <w:bCs/>
              </w:rPr>
            </w:pPr>
            <w:r w:rsidRPr="006D5382">
              <w:rPr>
                <w:b/>
                <w:bCs/>
              </w:rPr>
              <w:t xml:space="preserve">Selection Total </w:t>
            </w:r>
          </w:p>
        </w:tc>
        <w:tc>
          <w:tcPr>
            <w:tcW w:w="304" w:type="pct"/>
            <w:shd w:val="clear" w:color="000000" w:fill="92D050"/>
            <w:textDirection w:val="btLr"/>
            <w:hideMark/>
          </w:tcPr>
          <w:p w14:paraId="0024E8AA" w14:textId="77777777" w:rsidR="00706FE5" w:rsidRPr="006D5382" w:rsidRDefault="00706FE5" w:rsidP="006D5382">
            <w:pPr>
              <w:spacing w:line="360" w:lineRule="auto"/>
              <w:ind w:left="113" w:right="113"/>
            </w:pPr>
            <w:r w:rsidRPr="006D5382">
              <w:rPr>
                <w:b/>
                <w:bCs/>
              </w:rPr>
              <w:t xml:space="preserve">Comparability </w:t>
            </w:r>
            <w:r w:rsidRPr="006D5382">
              <w:t>of cohorts on the basis of the design or analysis</w:t>
            </w:r>
          </w:p>
        </w:tc>
        <w:tc>
          <w:tcPr>
            <w:tcW w:w="254" w:type="pct"/>
            <w:shd w:val="clear" w:color="auto" w:fill="auto"/>
            <w:textDirection w:val="btLr"/>
            <w:hideMark/>
          </w:tcPr>
          <w:p w14:paraId="22FE60DB" w14:textId="77777777" w:rsidR="00706FE5" w:rsidRPr="006D5382" w:rsidRDefault="00706FE5" w:rsidP="006D5382">
            <w:pPr>
              <w:spacing w:line="360" w:lineRule="auto"/>
              <w:ind w:left="113" w:right="113"/>
            </w:pPr>
            <w:r w:rsidRPr="006D5382">
              <w:t xml:space="preserve">Assessment of outcome </w:t>
            </w:r>
          </w:p>
        </w:tc>
        <w:tc>
          <w:tcPr>
            <w:tcW w:w="210" w:type="pct"/>
            <w:shd w:val="clear" w:color="auto" w:fill="auto"/>
            <w:textDirection w:val="btLr"/>
            <w:hideMark/>
          </w:tcPr>
          <w:p w14:paraId="13D673A6" w14:textId="77777777" w:rsidR="00706FE5" w:rsidRPr="006D5382" w:rsidRDefault="00706FE5" w:rsidP="006D5382">
            <w:pPr>
              <w:spacing w:line="360" w:lineRule="auto"/>
              <w:ind w:left="113" w:right="113"/>
            </w:pPr>
            <w:r w:rsidRPr="006D5382">
              <w:t>Was follow-up long enough for outcomes to occur?</w:t>
            </w:r>
          </w:p>
        </w:tc>
        <w:tc>
          <w:tcPr>
            <w:tcW w:w="221" w:type="pct"/>
            <w:shd w:val="clear" w:color="auto" w:fill="auto"/>
            <w:textDirection w:val="btLr"/>
            <w:hideMark/>
          </w:tcPr>
          <w:p w14:paraId="251F711C" w14:textId="77777777" w:rsidR="00706FE5" w:rsidRPr="006D5382" w:rsidRDefault="00706FE5" w:rsidP="006D5382">
            <w:pPr>
              <w:spacing w:line="360" w:lineRule="auto"/>
              <w:ind w:left="113" w:right="113"/>
            </w:pPr>
            <w:r w:rsidRPr="006D5382">
              <w:t>Was follow-up complete?</w:t>
            </w:r>
          </w:p>
        </w:tc>
        <w:tc>
          <w:tcPr>
            <w:tcW w:w="299" w:type="pct"/>
            <w:shd w:val="clear" w:color="000000" w:fill="00B0F0"/>
            <w:noWrap/>
            <w:textDirection w:val="btLr"/>
            <w:hideMark/>
          </w:tcPr>
          <w:p w14:paraId="424315CA" w14:textId="77777777" w:rsidR="00706FE5" w:rsidRPr="006D5382" w:rsidRDefault="00706FE5" w:rsidP="006D5382">
            <w:pPr>
              <w:spacing w:line="360" w:lineRule="auto"/>
              <w:ind w:left="113" w:right="113"/>
            </w:pPr>
            <w:r w:rsidRPr="006D5382">
              <w:t xml:space="preserve">Outcome Total </w:t>
            </w:r>
          </w:p>
        </w:tc>
        <w:tc>
          <w:tcPr>
            <w:tcW w:w="265" w:type="pct"/>
            <w:shd w:val="clear" w:color="auto" w:fill="auto"/>
            <w:noWrap/>
            <w:textDirection w:val="btLr"/>
            <w:hideMark/>
          </w:tcPr>
          <w:p w14:paraId="22A7BF53" w14:textId="77777777" w:rsidR="00706FE5" w:rsidRPr="006D5382" w:rsidRDefault="00706FE5" w:rsidP="006D5382">
            <w:pPr>
              <w:spacing w:line="360" w:lineRule="auto"/>
              <w:ind w:left="113" w:right="113"/>
              <w:rPr>
                <w:b/>
                <w:bCs/>
              </w:rPr>
            </w:pPr>
            <w:r w:rsidRPr="006D5382">
              <w:rPr>
                <w:b/>
                <w:bCs/>
              </w:rPr>
              <w:t xml:space="preserve">Rating </w:t>
            </w:r>
          </w:p>
        </w:tc>
      </w:tr>
      <w:tr w:rsidR="006D5382" w:rsidRPr="006D5382" w14:paraId="74893C75" w14:textId="77777777" w:rsidTr="00706FE5">
        <w:trPr>
          <w:trHeight w:val="324"/>
        </w:trPr>
        <w:tc>
          <w:tcPr>
            <w:tcW w:w="899" w:type="pct"/>
            <w:shd w:val="clear" w:color="auto" w:fill="auto"/>
            <w:noWrap/>
            <w:hideMark/>
          </w:tcPr>
          <w:p w14:paraId="40AE97F1" w14:textId="77777777" w:rsidR="00706FE5" w:rsidRPr="006D5382" w:rsidRDefault="00706FE5" w:rsidP="006D5382">
            <w:pPr>
              <w:spacing w:line="360" w:lineRule="auto"/>
            </w:pPr>
            <w:r w:rsidRPr="006D5382">
              <w:t xml:space="preserve">Abbasi M, </w:t>
            </w:r>
            <w:r w:rsidRPr="006D5382">
              <w:rPr>
                <w:i/>
              </w:rPr>
              <w:t>2004</w:t>
            </w:r>
            <w:r w:rsidR="00DA1B98" w:rsidRPr="006D5382">
              <w:rPr>
                <w:noProof/>
                <w:vertAlign w:val="superscript"/>
              </w:rPr>
              <w:t>3</w:t>
            </w:r>
          </w:p>
        </w:tc>
        <w:tc>
          <w:tcPr>
            <w:tcW w:w="434" w:type="pct"/>
            <w:shd w:val="clear" w:color="auto" w:fill="auto"/>
            <w:noWrap/>
            <w:hideMark/>
          </w:tcPr>
          <w:p w14:paraId="0507C249" w14:textId="77777777" w:rsidR="00706FE5" w:rsidRPr="006D5382" w:rsidRDefault="00706FE5" w:rsidP="006D5382">
            <w:pPr>
              <w:spacing w:line="360" w:lineRule="auto"/>
            </w:pPr>
            <w:r w:rsidRPr="006D5382">
              <w:t>1</w:t>
            </w:r>
          </w:p>
        </w:tc>
        <w:tc>
          <w:tcPr>
            <w:tcW w:w="985" w:type="pct"/>
            <w:shd w:val="clear" w:color="auto" w:fill="auto"/>
            <w:noWrap/>
            <w:hideMark/>
          </w:tcPr>
          <w:p w14:paraId="15B513CF" w14:textId="77777777" w:rsidR="00706FE5" w:rsidRPr="006D5382" w:rsidRDefault="00706FE5" w:rsidP="006D5382">
            <w:pPr>
              <w:spacing w:line="360" w:lineRule="auto"/>
            </w:pPr>
            <w:r w:rsidRPr="006D5382">
              <w:t>1</w:t>
            </w:r>
          </w:p>
        </w:tc>
        <w:tc>
          <w:tcPr>
            <w:tcW w:w="514" w:type="pct"/>
            <w:shd w:val="clear" w:color="auto" w:fill="auto"/>
            <w:noWrap/>
            <w:hideMark/>
          </w:tcPr>
          <w:p w14:paraId="5EC5A2E5" w14:textId="77777777" w:rsidR="00706FE5" w:rsidRPr="006D5382" w:rsidRDefault="00706FE5" w:rsidP="006D5382">
            <w:pPr>
              <w:spacing w:line="360" w:lineRule="auto"/>
            </w:pPr>
            <w:r w:rsidRPr="006D5382">
              <w:t>1</w:t>
            </w:r>
          </w:p>
        </w:tc>
        <w:tc>
          <w:tcPr>
            <w:tcW w:w="297" w:type="pct"/>
            <w:shd w:val="clear" w:color="auto" w:fill="auto"/>
            <w:noWrap/>
            <w:hideMark/>
          </w:tcPr>
          <w:p w14:paraId="5F071BF5" w14:textId="77777777" w:rsidR="00706FE5" w:rsidRPr="006D5382" w:rsidRDefault="00706FE5" w:rsidP="006D5382">
            <w:pPr>
              <w:spacing w:line="360" w:lineRule="auto"/>
            </w:pPr>
            <w:r w:rsidRPr="006D5382">
              <w:t>0</w:t>
            </w:r>
          </w:p>
        </w:tc>
        <w:tc>
          <w:tcPr>
            <w:tcW w:w="321" w:type="pct"/>
            <w:shd w:val="clear" w:color="000000" w:fill="FFFF00"/>
            <w:noWrap/>
            <w:hideMark/>
          </w:tcPr>
          <w:p w14:paraId="2EC86E01" w14:textId="77777777" w:rsidR="00706FE5" w:rsidRPr="006D5382" w:rsidRDefault="00706FE5" w:rsidP="006D5382">
            <w:pPr>
              <w:spacing w:line="360" w:lineRule="auto"/>
            </w:pPr>
            <w:r w:rsidRPr="006D5382">
              <w:t>3</w:t>
            </w:r>
          </w:p>
        </w:tc>
        <w:tc>
          <w:tcPr>
            <w:tcW w:w="304" w:type="pct"/>
            <w:shd w:val="clear" w:color="000000" w:fill="92D050"/>
            <w:noWrap/>
            <w:hideMark/>
          </w:tcPr>
          <w:p w14:paraId="5A30FAB2" w14:textId="77777777" w:rsidR="00706FE5" w:rsidRPr="006D5382" w:rsidRDefault="00706FE5" w:rsidP="006D5382">
            <w:pPr>
              <w:spacing w:line="360" w:lineRule="auto"/>
            </w:pPr>
            <w:r w:rsidRPr="006D5382">
              <w:t>1</w:t>
            </w:r>
          </w:p>
        </w:tc>
        <w:tc>
          <w:tcPr>
            <w:tcW w:w="254" w:type="pct"/>
            <w:shd w:val="clear" w:color="auto" w:fill="auto"/>
            <w:noWrap/>
            <w:hideMark/>
          </w:tcPr>
          <w:p w14:paraId="240E72CE" w14:textId="77777777" w:rsidR="00706FE5" w:rsidRPr="006D5382" w:rsidRDefault="00706FE5" w:rsidP="006D5382">
            <w:pPr>
              <w:spacing w:line="360" w:lineRule="auto"/>
            </w:pPr>
            <w:r w:rsidRPr="006D5382">
              <w:t>1</w:t>
            </w:r>
          </w:p>
        </w:tc>
        <w:tc>
          <w:tcPr>
            <w:tcW w:w="210" w:type="pct"/>
            <w:shd w:val="clear" w:color="auto" w:fill="auto"/>
            <w:noWrap/>
            <w:hideMark/>
          </w:tcPr>
          <w:p w14:paraId="59571124" w14:textId="77777777" w:rsidR="00706FE5" w:rsidRPr="006D5382" w:rsidRDefault="00706FE5" w:rsidP="006D5382">
            <w:pPr>
              <w:spacing w:line="360" w:lineRule="auto"/>
            </w:pPr>
            <w:r w:rsidRPr="006D5382">
              <w:t>1</w:t>
            </w:r>
          </w:p>
        </w:tc>
        <w:tc>
          <w:tcPr>
            <w:tcW w:w="221" w:type="pct"/>
            <w:shd w:val="clear" w:color="auto" w:fill="auto"/>
            <w:noWrap/>
            <w:hideMark/>
          </w:tcPr>
          <w:p w14:paraId="7C3976C7" w14:textId="77777777" w:rsidR="00706FE5" w:rsidRPr="006D5382" w:rsidRDefault="00706FE5" w:rsidP="006D5382">
            <w:pPr>
              <w:spacing w:line="360" w:lineRule="auto"/>
            </w:pPr>
            <w:r w:rsidRPr="006D5382">
              <w:t>1</w:t>
            </w:r>
          </w:p>
        </w:tc>
        <w:tc>
          <w:tcPr>
            <w:tcW w:w="299" w:type="pct"/>
            <w:shd w:val="clear" w:color="000000" w:fill="00B0F0"/>
            <w:noWrap/>
            <w:hideMark/>
          </w:tcPr>
          <w:p w14:paraId="438EB54A" w14:textId="77777777" w:rsidR="00706FE5" w:rsidRPr="006D5382" w:rsidRDefault="00706FE5" w:rsidP="006D5382">
            <w:pPr>
              <w:spacing w:line="360" w:lineRule="auto"/>
            </w:pPr>
            <w:r w:rsidRPr="006D5382">
              <w:t>3</w:t>
            </w:r>
          </w:p>
        </w:tc>
        <w:tc>
          <w:tcPr>
            <w:tcW w:w="265" w:type="pct"/>
            <w:shd w:val="clear" w:color="auto" w:fill="auto"/>
            <w:noWrap/>
            <w:hideMark/>
          </w:tcPr>
          <w:p w14:paraId="54CDC19B" w14:textId="77777777" w:rsidR="00706FE5" w:rsidRPr="006D5382" w:rsidRDefault="00706FE5" w:rsidP="006D5382">
            <w:pPr>
              <w:spacing w:line="360" w:lineRule="auto"/>
              <w:rPr>
                <w:b/>
                <w:bCs/>
              </w:rPr>
            </w:pPr>
            <w:r w:rsidRPr="006D5382">
              <w:rPr>
                <w:b/>
                <w:bCs/>
              </w:rPr>
              <w:t xml:space="preserve">Good </w:t>
            </w:r>
          </w:p>
        </w:tc>
      </w:tr>
      <w:tr w:rsidR="006D5382" w:rsidRPr="006D5382" w14:paraId="7E033144" w14:textId="77777777" w:rsidTr="00706FE5">
        <w:trPr>
          <w:trHeight w:val="324"/>
        </w:trPr>
        <w:tc>
          <w:tcPr>
            <w:tcW w:w="899" w:type="pct"/>
            <w:shd w:val="clear" w:color="auto" w:fill="auto"/>
            <w:noWrap/>
            <w:hideMark/>
          </w:tcPr>
          <w:p w14:paraId="4FE15CF3" w14:textId="77777777" w:rsidR="00706FE5" w:rsidRPr="006D5382" w:rsidRDefault="00706FE5" w:rsidP="006D5382">
            <w:pPr>
              <w:spacing w:line="360" w:lineRule="auto"/>
            </w:pPr>
            <w:r w:rsidRPr="006D5382">
              <w:t xml:space="preserve">Al </w:t>
            </w:r>
            <w:proofErr w:type="spellStart"/>
            <w:r w:rsidRPr="006D5382">
              <w:t>Nimer</w:t>
            </w:r>
            <w:proofErr w:type="spellEnd"/>
            <w:r w:rsidRPr="006D5382">
              <w:t xml:space="preserve"> F, </w:t>
            </w:r>
            <w:r w:rsidRPr="006D5382">
              <w:rPr>
                <w:i/>
              </w:rPr>
              <w:t>2015</w:t>
            </w:r>
            <w:r w:rsidRPr="006D5382">
              <w:t xml:space="preserve"> (e)</w:t>
            </w:r>
            <w:r w:rsidR="00DA1B98" w:rsidRPr="006D5382">
              <w:rPr>
                <w:noProof/>
                <w:vertAlign w:val="superscript"/>
              </w:rPr>
              <w:t>4</w:t>
            </w:r>
          </w:p>
        </w:tc>
        <w:tc>
          <w:tcPr>
            <w:tcW w:w="434" w:type="pct"/>
            <w:shd w:val="clear" w:color="auto" w:fill="auto"/>
            <w:noWrap/>
            <w:hideMark/>
          </w:tcPr>
          <w:p w14:paraId="13B7A747" w14:textId="77777777" w:rsidR="00706FE5" w:rsidRPr="006D5382" w:rsidRDefault="00706FE5" w:rsidP="006D5382">
            <w:pPr>
              <w:spacing w:line="360" w:lineRule="auto"/>
            </w:pPr>
            <w:r w:rsidRPr="006D5382">
              <w:t>0</w:t>
            </w:r>
          </w:p>
        </w:tc>
        <w:tc>
          <w:tcPr>
            <w:tcW w:w="985" w:type="pct"/>
            <w:shd w:val="clear" w:color="auto" w:fill="auto"/>
            <w:noWrap/>
            <w:hideMark/>
          </w:tcPr>
          <w:p w14:paraId="07990FD6" w14:textId="77777777" w:rsidR="00706FE5" w:rsidRPr="006D5382" w:rsidRDefault="00706FE5" w:rsidP="006D5382">
            <w:pPr>
              <w:spacing w:line="360" w:lineRule="auto"/>
            </w:pPr>
            <w:r w:rsidRPr="006D5382">
              <w:t>1</w:t>
            </w:r>
          </w:p>
        </w:tc>
        <w:tc>
          <w:tcPr>
            <w:tcW w:w="514" w:type="pct"/>
            <w:shd w:val="clear" w:color="auto" w:fill="auto"/>
            <w:noWrap/>
            <w:hideMark/>
          </w:tcPr>
          <w:p w14:paraId="16012B55" w14:textId="77777777" w:rsidR="00706FE5" w:rsidRPr="006D5382" w:rsidRDefault="00706FE5" w:rsidP="006D5382">
            <w:pPr>
              <w:spacing w:line="360" w:lineRule="auto"/>
            </w:pPr>
            <w:r w:rsidRPr="006D5382">
              <w:t>1</w:t>
            </w:r>
          </w:p>
        </w:tc>
        <w:tc>
          <w:tcPr>
            <w:tcW w:w="297" w:type="pct"/>
            <w:shd w:val="clear" w:color="auto" w:fill="auto"/>
            <w:noWrap/>
            <w:hideMark/>
          </w:tcPr>
          <w:p w14:paraId="45E82442" w14:textId="77777777" w:rsidR="00706FE5" w:rsidRPr="006D5382" w:rsidRDefault="00706FE5" w:rsidP="006D5382">
            <w:pPr>
              <w:spacing w:line="360" w:lineRule="auto"/>
            </w:pPr>
            <w:r w:rsidRPr="006D5382">
              <w:t>0</w:t>
            </w:r>
          </w:p>
        </w:tc>
        <w:tc>
          <w:tcPr>
            <w:tcW w:w="321" w:type="pct"/>
            <w:shd w:val="clear" w:color="000000" w:fill="FFFF00"/>
            <w:noWrap/>
            <w:hideMark/>
          </w:tcPr>
          <w:p w14:paraId="75C3E3A5" w14:textId="77777777" w:rsidR="00706FE5" w:rsidRPr="006D5382" w:rsidRDefault="00706FE5" w:rsidP="006D5382">
            <w:pPr>
              <w:spacing w:line="360" w:lineRule="auto"/>
            </w:pPr>
            <w:r w:rsidRPr="006D5382">
              <w:t>2</w:t>
            </w:r>
          </w:p>
        </w:tc>
        <w:tc>
          <w:tcPr>
            <w:tcW w:w="304" w:type="pct"/>
            <w:shd w:val="clear" w:color="000000" w:fill="92D050"/>
            <w:noWrap/>
            <w:hideMark/>
          </w:tcPr>
          <w:p w14:paraId="770131D1" w14:textId="77777777" w:rsidR="00706FE5" w:rsidRPr="006D5382" w:rsidRDefault="00706FE5" w:rsidP="006D5382">
            <w:pPr>
              <w:spacing w:line="360" w:lineRule="auto"/>
            </w:pPr>
            <w:r w:rsidRPr="006D5382">
              <w:t>0</w:t>
            </w:r>
          </w:p>
        </w:tc>
        <w:tc>
          <w:tcPr>
            <w:tcW w:w="254" w:type="pct"/>
            <w:shd w:val="clear" w:color="auto" w:fill="auto"/>
            <w:noWrap/>
            <w:hideMark/>
          </w:tcPr>
          <w:p w14:paraId="03E108F4" w14:textId="77777777" w:rsidR="00706FE5" w:rsidRPr="006D5382" w:rsidRDefault="00706FE5" w:rsidP="006D5382">
            <w:pPr>
              <w:spacing w:line="360" w:lineRule="auto"/>
            </w:pPr>
            <w:r w:rsidRPr="006D5382">
              <w:t>0</w:t>
            </w:r>
          </w:p>
        </w:tc>
        <w:tc>
          <w:tcPr>
            <w:tcW w:w="210" w:type="pct"/>
            <w:shd w:val="clear" w:color="auto" w:fill="auto"/>
            <w:noWrap/>
            <w:hideMark/>
          </w:tcPr>
          <w:p w14:paraId="6B212D03" w14:textId="77777777" w:rsidR="00706FE5" w:rsidRPr="006D5382" w:rsidRDefault="00706FE5" w:rsidP="006D5382">
            <w:pPr>
              <w:spacing w:line="360" w:lineRule="auto"/>
            </w:pPr>
            <w:r w:rsidRPr="006D5382">
              <w:t>1</w:t>
            </w:r>
          </w:p>
        </w:tc>
        <w:tc>
          <w:tcPr>
            <w:tcW w:w="221" w:type="pct"/>
            <w:shd w:val="clear" w:color="auto" w:fill="auto"/>
            <w:noWrap/>
            <w:hideMark/>
          </w:tcPr>
          <w:p w14:paraId="72C8CB04" w14:textId="77777777" w:rsidR="00706FE5" w:rsidRPr="006D5382" w:rsidRDefault="00706FE5" w:rsidP="006D5382">
            <w:pPr>
              <w:spacing w:line="360" w:lineRule="auto"/>
            </w:pPr>
            <w:r w:rsidRPr="006D5382">
              <w:t>1</w:t>
            </w:r>
          </w:p>
        </w:tc>
        <w:tc>
          <w:tcPr>
            <w:tcW w:w="299" w:type="pct"/>
            <w:shd w:val="clear" w:color="000000" w:fill="00B0F0"/>
            <w:noWrap/>
            <w:hideMark/>
          </w:tcPr>
          <w:p w14:paraId="1C214D45" w14:textId="77777777" w:rsidR="00706FE5" w:rsidRPr="006D5382" w:rsidRDefault="00706FE5" w:rsidP="006D5382">
            <w:pPr>
              <w:spacing w:line="360" w:lineRule="auto"/>
            </w:pPr>
            <w:r w:rsidRPr="006D5382">
              <w:t>2</w:t>
            </w:r>
          </w:p>
        </w:tc>
        <w:tc>
          <w:tcPr>
            <w:tcW w:w="265" w:type="pct"/>
            <w:shd w:val="clear" w:color="auto" w:fill="auto"/>
            <w:noWrap/>
            <w:hideMark/>
          </w:tcPr>
          <w:p w14:paraId="449E0A70" w14:textId="77777777" w:rsidR="00706FE5" w:rsidRPr="006D5382" w:rsidRDefault="00706FE5" w:rsidP="006D5382">
            <w:pPr>
              <w:spacing w:line="360" w:lineRule="auto"/>
              <w:rPr>
                <w:b/>
                <w:bCs/>
              </w:rPr>
            </w:pPr>
            <w:r w:rsidRPr="006D5382">
              <w:rPr>
                <w:b/>
                <w:bCs/>
              </w:rPr>
              <w:t xml:space="preserve">Poor </w:t>
            </w:r>
          </w:p>
        </w:tc>
      </w:tr>
      <w:tr w:rsidR="006D5382" w:rsidRPr="006D5382" w14:paraId="1C665806" w14:textId="77777777" w:rsidTr="00706FE5">
        <w:trPr>
          <w:trHeight w:val="324"/>
        </w:trPr>
        <w:tc>
          <w:tcPr>
            <w:tcW w:w="899" w:type="pct"/>
            <w:shd w:val="clear" w:color="auto" w:fill="auto"/>
            <w:noWrap/>
            <w:hideMark/>
          </w:tcPr>
          <w:p w14:paraId="5B8601F3" w14:textId="77777777" w:rsidR="00706FE5" w:rsidRPr="006D5382" w:rsidRDefault="00706FE5" w:rsidP="006D5382">
            <w:pPr>
              <w:spacing w:line="360" w:lineRule="auto"/>
            </w:pPr>
            <w:proofErr w:type="spellStart"/>
            <w:r w:rsidRPr="006D5382">
              <w:t>Bogoslovsky</w:t>
            </w:r>
            <w:proofErr w:type="spellEnd"/>
            <w:r w:rsidRPr="006D5382">
              <w:t xml:space="preserve"> T, </w:t>
            </w:r>
            <w:r w:rsidRPr="006D5382">
              <w:rPr>
                <w:i/>
              </w:rPr>
              <w:t>2017</w:t>
            </w:r>
            <w:r w:rsidR="00DA1B98" w:rsidRPr="006D5382">
              <w:rPr>
                <w:noProof/>
                <w:vertAlign w:val="superscript"/>
              </w:rPr>
              <w:t>5</w:t>
            </w:r>
          </w:p>
        </w:tc>
        <w:tc>
          <w:tcPr>
            <w:tcW w:w="434" w:type="pct"/>
            <w:shd w:val="clear" w:color="auto" w:fill="auto"/>
            <w:noWrap/>
            <w:hideMark/>
          </w:tcPr>
          <w:p w14:paraId="3F05B80B" w14:textId="77777777" w:rsidR="00706FE5" w:rsidRPr="006D5382" w:rsidRDefault="00706FE5" w:rsidP="006D5382">
            <w:pPr>
              <w:spacing w:line="360" w:lineRule="auto"/>
            </w:pPr>
            <w:r w:rsidRPr="006D5382">
              <w:t>0</w:t>
            </w:r>
          </w:p>
        </w:tc>
        <w:tc>
          <w:tcPr>
            <w:tcW w:w="985" w:type="pct"/>
            <w:shd w:val="clear" w:color="auto" w:fill="auto"/>
            <w:noWrap/>
            <w:hideMark/>
          </w:tcPr>
          <w:p w14:paraId="597265FF" w14:textId="77777777" w:rsidR="00706FE5" w:rsidRPr="006D5382" w:rsidRDefault="00706FE5" w:rsidP="006D5382">
            <w:pPr>
              <w:spacing w:line="360" w:lineRule="auto"/>
            </w:pPr>
            <w:r w:rsidRPr="006D5382">
              <w:t>1</w:t>
            </w:r>
          </w:p>
        </w:tc>
        <w:tc>
          <w:tcPr>
            <w:tcW w:w="514" w:type="pct"/>
            <w:shd w:val="clear" w:color="auto" w:fill="auto"/>
            <w:noWrap/>
            <w:hideMark/>
          </w:tcPr>
          <w:p w14:paraId="14BFC5F9" w14:textId="77777777" w:rsidR="00706FE5" w:rsidRPr="006D5382" w:rsidRDefault="00706FE5" w:rsidP="006D5382">
            <w:pPr>
              <w:spacing w:line="360" w:lineRule="auto"/>
            </w:pPr>
            <w:r w:rsidRPr="006D5382">
              <w:t>1</w:t>
            </w:r>
          </w:p>
        </w:tc>
        <w:tc>
          <w:tcPr>
            <w:tcW w:w="297" w:type="pct"/>
            <w:shd w:val="clear" w:color="auto" w:fill="auto"/>
            <w:noWrap/>
            <w:hideMark/>
          </w:tcPr>
          <w:p w14:paraId="1C1AAF3C" w14:textId="77777777" w:rsidR="00706FE5" w:rsidRPr="006D5382" w:rsidRDefault="00706FE5" w:rsidP="006D5382">
            <w:pPr>
              <w:spacing w:line="360" w:lineRule="auto"/>
            </w:pPr>
            <w:r w:rsidRPr="006D5382">
              <w:t>0</w:t>
            </w:r>
          </w:p>
        </w:tc>
        <w:tc>
          <w:tcPr>
            <w:tcW w:w="321" w:type="pct"/>
            <w:shd w:val="clear" w:color="000000" w:fill="FFFF00"/>
            <w:noWrap/>
            <w:hideMark/>
          </w:tcPr>
          <w:p w14:paraId="46C1591A" w14:textId="77777777" w:rsidR="00706FE5" w:rsidRPr="006D5382" w:rsidRDefault="00706FE5" w:rsidP="006D5382">
            <w:pPr>
              <w:spacing w:line="360" w:lineRule="auto"/>
            </w:pPr>
            <w:r w:rsidRPr="006D5382">
              <w:t>2</w:t>
            </w:r>
          </w:p>
        </w:tc>
        <w:tc>
          <w:tcPr>
            <w:tcW w:w="304" w:type="pct"/>
            <w:shd w:val="clear" w:color="000000" w:fill="92D050"/>
            <w:noWrap/>
            <w:hideMark/>
          </w:tcPr>
          <w:p w14:paraId="02841F27" w14:textId="77777777" w:rsidR="00706FE5" w:rsidRPr="006D5382" w:rsidRDefault="00706FE5" w:rsidP="006D5382">
            <w:pPr>
              <w:spacing w:line="360" w:lineRule="auto"/>
            </w:pPr>
            <w:r w:rsidRPr="006D5382">
              <w:t>1</w:t>
            </w:r>
          </w:p>
        </w:tc>
        <w:tc>
          <w:tcPr>
            <w:tcW w:w="254" w:type="pct"/>
            <w:shd w:val="clear" w:color="auto" w:fill="auto"/>
            <w:noWrap/>
            <w:hideMark/>
          </w:tcPr>
          <w:p w14:paraId="21ABD371" w14:textId="77777777" w:rsidR="00706FE5" w:rsidRPr="006D5382" w:rsidRDefault="00706FE5" w:rsidP="006D5382">
            <w:pPr>
              <w:spacing w:line="360" w:lineRule="auto"/>
            </w:pPr>
            <w:r w:rsidRPr="006D5382">
              <w:t>1</w:t>
            </w:r>
          </w:p>
        </w:tc>
        <w:tc>
          <w:tcPr>
            <w:tcW w:w="210" w:type="pct"/>
            <w:shd w:val="clear" w:color="auto" w:fill="auto"/>
            <w:noWrap/>
            <w:hideMark/>
          </w:tcPr>
          <w:p w14:paraId="57DB5956" w14:textId="77777777" w:rsidR="00706FE5" w:rsidRPr="006D5382" w:rsidRDefault="00706FE5" w:rsidP="006D5382">
            <w:pPr>
              <w:spacing w:line="360" w:lineRule="auto"/>
            </w:pPr>
            <w:r w:rsidRPr="006D5382">
              <w:t>1</w:t>
            </w:r>
          </w:p>
        </w:tc>
        <w:tc>
          <w:tcPr>
            <w:tcW w:w="221" w:type="pct"/>
            <w:shd w:val="clear" w:color="auto" w:fill="auto"/>
            <w:noWrap/>
            <w:hideMark/>
          </w:tcPr>
          <w:p w14:paraId="14FF2D6F" w14:textId="77777777" w:rsidR="00706FE5" w:rsidRPr="006D5382" w:rsidRDefault="00706FE5" w:rsidP="006D5382">
            <w:pPr>
              <w:spacing w:line="360" w:lineRule="auto"/>
            </w:pPr>
            <w:r w:rsidRPr="006D5382">
              <w:t>1</w:t>
            </w:r>
          </w:p>
        </w:tc>
        <w:tc>
          <w:tcPr>
            <w:tcW w:w="299" w:type="pct"/>
            <w:shd w:val="clear" w:color="000000" w:fill="00B0F0"/>
            <w:noWrap/>
            <w:hideMark/>
          </w:tcPr>
          <w:p w14:paraId="1C7EB219" w14:textId="77777777" w:rsidR="00706FE5" w:rsidRPr="006D5382" w:rsidRDefault="00706FE5" w:rsidP="006D5382">
            <w:pPr>
              <w:spacing w:line="360" w:lineRule="auto"/>
            </w:pPr>
            <w:r w:rsidRPr="006D5382">
              <w:t>3</w:t>
            </w:r>
          </w:p>
        </w:tc>
        <w:tc>
          <w:tcPr>
            <w:tcW w:w="265" w:type="pct"/>
            <w:shd w:val="clear" w:color="auto" w:fill="auto"/>
            <w:noWrap/>
            <w:hideMark/>
          </w:tcPr>
          <w:p w14:paraId="43833A74" w14:textId="77777777" w:rsidR="00706FE5" w:rsidRPr="006D5382" w:rsidRDefault="00706FE5" w:rsidP="006D5382">
            <w:pPr>
              <w:spacing w:line="360" w:lineRule="auto"/>
              <w:rPr>
                <w:b/>
                <w:bCs/>
              </w:rPr>
            </w:pPr>
            <w:r w:rsidRPr="006D5382">
              <w:rPr>
                <w:b/>
                <w:bCs/>
              </w:rPr>
              <w:t xml:space="preserve">Fair </w:t>
            </w:r>
          </w:p>
        </w:tc>
      </w:tr>
      <w:tr w:rsidR="006D5382" w:rsidRPr="006D5382" w14:paraId="6938DB61" w14:textId="77777777" w:rsidTr="00706FE5">
        <w:trPr>
          <w:trHeight w:val="324"/>
        </w:trPr>
        <w:tc>
          <w:tcPr>
            <w:tcW w:w="899" w:type="pct"/>
            <w:shd w:val="clear" w:color="auto" w:fill="auto"/>
            <w:noWrap/>
            <w:hideMark/>
          </w:tcPr>
          <w:p w14:paraId="1D4B9687" w14:textId="77777777" w:rsidR="00706FE5" w:rsidRPr="006D5382" w:rsidRDefault="00706FE5" w:rsidP="006D5382">
            <w:pPr>
              <w:spacing w:line="360" w:lineRule="auto"/>
            </w:pPr>
            <w:proofErr w:type="spellStart"/>
            <w:r w:rsidRPr="006D5382">
              <w:t>Carabias</w:t>
            </w:r>
            <w:proofErr w:type="spellEnd"/>
            <w:r w:rsidRPr="006D5382">
              <w:t xml:space="preserve"> CS, 2020</w:t>
            </w:r>
            <w:r w:rsidR="00DA1B98" w:rsidRPr="006D5382">
              <w:rPr>
                <w:noProof/>
                <w:vertAlign w:val="superscript"/>
              </w:rPr>
              <w:t>6</w:t>
            </w:r>
          </w:p>
        </w:tc>
        <w:tc>
          <w:tcPr>
            <w:tcW w:w="434" w:type="pct"/>
            <w:shd w:val="clear" w:color="auto" w:fill="auto"/>
            <w:noWrap/>
            <w:hideMark/>
          </w:tcPr>
          <w:p w14:paraId="77DA834B" w14:textId="77777777" w:rsidR="00706FE5" w:rsidRPr="006D5382" w:rsidRDefault="00706FE5" w:rsidP="006D5382">
            <w:pPr>
              <w:spacing w:line="360" w:lineRule="auto"/>
            </w:pPr>
            <w:r w:rsidRPr="006D5382">
              <w:t>1</w:t>
            </w:r>
          </w:p>
        </w:tc>
        <w:tc>
          <w:tcPr>
            <w:tcW w:w="985" w:type="pct"/>
            <w:shd w:val="clear" w:color="auto" w:fill="auto"/>
            <w:noWrap/>
            <w:hideMark/>
          </w:tcPr>
          <w:p w14:paraId="14EBD4AD" w14:textId="77777777" w:rsidR="00706FE5" w:rsidRPr="006D5382" w:rsidRDefault="00706FE5" w:rsidP="006D5382">
            <w:pPr>
              <w:spacing w:line="360" w:lineRule="auto"/>
            </w:pPr>
            <w:r w:rsidRPr="006D5382">
              <w:t>0</w:t>
            </w:r>
          </w:p>
        </w:tc>
        <w:tc>
          <w:tcPr>
            <w:tcW w:w="514" w:type="pct"/>
            <w:shd w:val="clear" w:color="auto" w:fill="auto"/>
            <w:noWrap/>
            <w:hideMark/>
          </w:tcPr>
          <w:p w14:paraId="364AB136" w14:textId="77777777" w:rsidR="00706FE5" w:rsidRPr="006D5382" w:rsidRDefault="00706FE5" w:rsidP="006D5382">
            <w:pPr>
              <w:spacing w:line="360" w:lineRule="auto"/>
            </w:pPr>
            <w:r w:rsidRPr="006D5382">
              <w:t>1</w:t>
            </w:r>
          </w:p>
        </w:tc>
        <w:tc>
          <w:tcPr>
            <w:tcW w:w="297" w:type="pct"/>
            <w:shd w:val="clear" w:color="auto" w:fill="auto"/>
            <w:noWrap/>
            <w:hideMark/>
          </w:tcPr>
          <w:p w14:paraId="6A7D3F94" w14:textId="77777777" w:rsidR="00706FE5" w:rsidRPr="006D5382" w:rsidRDefault="00706FE5" w:rsidP="006D5382">
            <w:pPr>
              <w:spacing w:line="360" w:lineRule="auto"/>
            </w:pPr>
            <w:r w:rsidRPr="006D5382">
              <w:t>1</w:t>
            </w:r>
          </w:p>
        </w:tc>
        <w:tc>
          <w:tcPr>
            <w:tcW w:w="321" w:type="pct"/>
            <w:shd w:val="clear" w:color="000000" w:fill="FFFF00"/>
            <w:noWrap/>
            <w:hideMark/>
          </w:tcPr>
          <w:p w14:paraId="61FCFE3C" w14:textId="77777777" w:rsidR="00706FE5" w:rsidRPr="006D5382" w:rsidRDefault="00706FE5" w:rsidP="006D5382">
            <w:pPr>
              <w:spacing w:line="360" w:lineRule="auto"/>
            </w:pPr>
            <w:r w:rsidRPr="006D5382">
              <w:t>3</w:t>
            </w:r>
          </w:p>
        </w:tc>
        <w:tc>
          <w:tcPr>
            <w:tcW w:w="304" w:type="pct"/>
            <w:shd w:val="clear" w:color="000000" w:fill="92D050"/>
            <w:noWrap/>
            <w:hideMark/>
          </w:tcPr>
          <w:p w14:paraId="41B22C19" w14:textId="77777777" w:rsidR="00706FE5" w:rsidRPr="006D5382" w:rsidRDefault="00706FE5" w:rsidP="006D5382">
            <w:pPr>
              <w:spacing w:line="360" w:lineRule="auto"/>
            </w:pPr>
            <w:r w:rsidRPr="006D5382">
              <w:t>1</w:t>
            </w:r>
          </w:p>
        </w:tc>
        <w:tc>
          <w:tcPr>
            <w:tcW w:w="254" w:type="pct"/>
            <w:shd w:val="clear" w:color="auto" w:fill="auto"/>
            <w:noWrap/>
            <w:hideMark/>
          </w:tcPr>
          <w:p w14:paraId="6B528EED" w14:textId="77777777" w:rsidR="00706FE5" w:rsidRPr="006D5382" w:rsidRDefault="00706FE5" w:rsidP="006D5382">
            <w:pPr>
              <w:spacing w:line="360" w:lineRule="auto"/>
            </w:pPr>
            <w:r w:rsidRPr="006D5382">
              <w:t>1</w:t>
            </w:r>
          </w:p>
        </w:tc>
        <w:tc>
          <w:tcPr>
            <w:tcW w:w="210" w:type="pct"/>
            <w:shd w:val="clear" w:color="auto" w:fill="auto"/>
            <w:noWrap/>
            <w:hideMark/>
          </w:tcPr>
          <w:p w14:paraId="5941FDC0" w14:textId="77777777" w:rsidR="00706FE5" w:rsidRPr="006D5382" w:rsidRDefault="00706FE5" w:rsidP="006D5382">
            <w:pPr>
              <w:spacing w:line="360" w:lineRule="auto"/>
            </w:pPr>
            <w:r w:rsidRPr="006D5382">
              <w:t>1</w:t>
            </w:r>
          </w:p>
        </w:tc>
        <w:tc>
          <w:tcPr>
            <w:tcW w:w="221" w:type="pct"/>
            <w:shd w:val="clear" w:color="auto" w:fill="auto"/>
            <w:noWrap/>
            <w:hideMark/>
          </w:tcPr>
          <w:p w14:paraId="53B09F11" w14:textId="77777777" w:rsidR="00706FE5" w:rsidRPr="006D5382" w:rsidRDefault="00706FE5" w:rsidP="006D5382">
            <w:pPr>
              <w:spacing w:line="360" w:lineRule="auto"/>
            </w:pPr>
            <w:r w:rsidRPr="006D5382">
              <w:t>1</w:t>
            </w:r>
          </w:p>
        </w:tc>
        <w:tc>
          <w:tcPr>
            <w:tcW w:w="299" w:type="pct"/>
            <w:shd w:val="clear" w:color="000000" w:fill="00B0F0"/>
            <w:noWrap/>
            <w:hideMark/>
          </w:tcPr>
          <w:p w14:paraId="39D333BB" w14:textId="77777777" w:rsidR="00706FE5" w:rsidRPr="006D5382" w:rsidRDefault="00706FE5" w:rsidP="006D5382">
            <w:pPr>
              <w:spacing w:line="360" w:lineRule="auto"/>
            </w:pPr>
            <w:r w:rsidRPr="006D5382">
              <w:t>3</w:t>
            </w:r>
          </w:p>
        </w:tc>
        <w:tc>
          <w:tcPr>
            <w:tcW w:w="265" w:type="pct"/>
            <w:shd w:val="clear" w:color="auto" w:fill="auto"/>
            <w:noWrap/>
            <w:hideMark/>
          </w:tcPr>
          <w:p w14:paraId="76745DA1" w14:textId="77777777" w:rsidR="00706FE5" w:rsidRPr="006D5382" w:rsidRDefault="00706FE5" w:rsidP="006D5382">
            <w:pPr>
              <w:spacing w:line="360" w:lineRule="auto"/>
              <w:rPr>
                <w:b/>
                <w:bCs/>
              </w:rPr>
            </w:pPr>
            <w:r w:rsidRPr="006D5382">
              <w:rPr>
                <w:b/>
                <w:bCs/>
              </w:rPr>
              <w:t>Good</w:t>
            </w:r>
          </w:p>
        </w:tc>
      </w:tr>
      <w:tr w:rsidR="006D5382" w:rsidRPr="006D5382" w14:paraId="2FD07997" w14:textId="77777777" w:rsidTr="00706FE5">
        <w:trPr>
          <w:trHeight w:val="324"/>
        </w:trPr>
        <w:tc>
          <w:tcPr>
            <w:tcW w:w="899" w:type="pct"/>
            <w:shd w:val="clear" w:color="auto" w:fill="auto"/>
            <w:noWrap/>
            <w:hideMark/>
          </w:tcPr>
          <w:p w14:paraId="4544F5AD" w14:textId="77777777" w:rsidR="00706FE5" w:rsidRPr="006D5382" w:rsidRDefault="00706FE5" w:rsidP="006D5382">
            <w:pPr>
              <w:spacing w:line="360" w:lineRule="auto"/>
            </w:pPr>
            <w:r w:rsidRPr="006D5382">
              <w:t xml:space="preserve">Castello LM, </w:t>
            </w:r>
            <w:r w:rsidRPr="006D5382">
              <w:rPr>
                <w:i/>
              </w:rPr>
              <w:t>2018</w:t>
            </w:r>
            <w:r w:rsidR="00DA1B98" w:rsidRPr="006D5382">
              <w:rPr>
                <w:noProof/>
                <w:vertAlign w:val="superscript"/>
              </w:rPr>
              <w:t>7</w:t>
            </w:r>
          </w:p>
        </w:tc>
        <w:tc>
          <w:tcPr>
            <w:tcW w:w="434" w:type="pct"/>
            <w:shd w:val="clear" w:color="auto" w:fill="auto"/>
            <w:noWrap/>
            <w:hideMark/>
          </w:tcPr>
          <w:p w14:paraId="0191B4BC" w14:textId="77777777" w:rsidR="00706FE5" w:rsidRPr="006D5382" w:rsidRDefault="00706FE5" w:rsidP="006D5382">
            <w:pPr>
              <w:spacing w:line="360" w:lineRule="auto"/>
            </w:pPr>
            <w:r w:rsidRPr="006D5382">
              <w:t>1</w:t>
            </w:r>
          </w:p>
        </w:tc>
        <w:tc>
          <w:tcPr>
            <w:tcW w:w="985" w:type="pct"/>
            <w:shd w:val="clear" w:color="auto" w:fill="auto"/>
            <w:noWrap/>
            <w:hideMark/>
          </w:tcPr>
          <w:p w14:paraId="4DCF3D54" w14:textId="77777777" w:rsidR="00706FE5" w:rsidRPr="006D5382" w:rsidRDefault="00706FE5" w:rsidP="006D5382">
            <w:pPr>
              <w:spacing w:line="360" w:lineRule="auto"/>
            </w:pPr>
            <w:r w:rsidRPr="006D5382">
              <w:t>0</w:t>
            </w:r>
          </w:p>
        </w:tc>
        <w:tc>
          <w:tcPr>
            <w:tcW w:w="514" w:type="pct"/>
            <w:shd w:val="clear" w:color="auto" w:fill="auto"/>
            <w:noWrap/>
            <w:hideMark/>
          </w:tcPr>
          <w:p w14:paraId="22709FBA" w14:textId="77777777" w:rsidR="00706FE5" w:rsidRPr="006D5382" w:rsidRDefault="00706FE5" w:rsidP="006D5382">
            <w:pPr>
              <w:spacing w:line="360" w:lineRule="auto"/>
            </w:pPr>
            <w:r w:rsidRPr="006D5382">
              <w:t>1</w:t>
            </w:r>
          </w:p>
        </w:tc>
        <w:tc>
          <w:tcPr>
            <w:tcW w:w="297" w:type="pct"/>
            <w:shd w:val="clear" w:color="auto" w:fill="auto"/>
            <w:noWrap/>
            <w:hideMark/>
          </w:tcPr>
          <w:p w14:paraId="55AC6A33" w14:textId="77777777" w:rsidR="00706FE5" w:rsidRPr="006D5382" w:rsidRDefault="00706FE5" w:rsidP="006D5382">
            <w:pPr>
              <w:spacing w:line="360" w:lineRule="auto"/>
            </w:pPr>
            <w:r w:rsidRPr="006D5382">
              <w:t>1</w:t>
            </w:r>
          </w:p>
        </w:tc>
        <w:tc>
          <w:tcPr>
            <w:tcW w:w="321" w:type="pct"/>
            <w:shd w:val="clear" w:color="000000" w:fill="FFFF00"/>
            <w:noWrap/>
            <w:hideMark/>
          </w:tcPr>
          <w:p w14:paraId="5273193E" w14:textId="77777777" w:rsidR="00706FE5" w:rsidRPr="006D5382" w:rsidRDefault="00706FE5" w:rsidP="006D5382">
            <w:pPr>
              <w:spacing w:line="360" w:lineRule="auto"/>
            </w:pPr>
            <w:r w:rsidRPr="006D5382">
              <w:t>3</w:t>
            </w:r>
          </w:p>
        </w:tc>
        <w:tc>
          <w:tcPr>
            <w:tcW w:w="304" w:type="pct"/>
            <w:shd w:val="clear" w:color="000000" w:fill="92D050"/>
            <w:noWrap/>
            <w:hideMark/>
          </w:tcPr>
          <w:p w14:paraId="249C3CE3" w14:textId="77777777" w:rsidR="00706FE5" w:rsidRPr="006D5382" w:rsidRDefault="00706FE5" w:rsidP="006D5382">
            <w:pPr>
              <w:spacing w:line="360" w:lineRule="auto"/>
            </w:pPr>
            <w:r w:rsidRPr="006D5382">
              <w:t>2</w:t>
            </w:r>
          </w:p>
        </w:tc>
        <w:tc>
          <w:tcPr>
            <w:tcW w:w="254" w:type="pct"/>
            <w:shd w:val="clear" w:color="auto" w:fill="auto"/>
            <w:noWrap/>
            <w:hideMark/>
          </w:tcPr>
          <w:p w14:paraId="18D89062" w14:textId="77777777" w:rsidR="00706FE5" w:rsidRPr="006D5382" w:rsidRDefault="00706FE5" w:rsidP="006D5382">
            <w:pPr>
              <w:spacing w:line="360" w:lineRule="auto"/>
            </w:pPr>
            <w:r w:rsidRPr="006D5382">
              <w:t>1</w:t>
            </w:r>
          </w:p>
        </w:tc>
        <w:tc>
          <w:tcPr>
            <w:tcW w:w="210" w:type="pct"/>
            <w:shd w:val="clear" w:color="auto" w:fill="auto"/>
            <w:noWrap/>
            <w:hideMark/>
          </w:tcPr>
          <w:p w14:paraId="4727B0C1" w14:textId="77777777" w:rsidR="00706FE5" w:rsidRPr="006D5382" w:rsidRDefault="00706FE5" w:rsidP="006D5382">
            <w:pPr>
              <w:spacing w:line="360" w:lineRule="auto"/>
            </w:pPr>
            <w:r w:rsidRPr="006D5382">
              <w:t>1</w:t>
            </w:r>
          </w:p>
        </w:tc>
        <w:tc>
          <w:tcPr>
            <w:tcW w:w="221" w:type="pct"/>
            <w:shd w:val="clear" w:color="auto" w:fill="auto"/>
            <w:noWrap/>
            <w:hideMark/>
          </w:tcPr>
          <w:p w14:paraId="58B4BBF2" w14:textId="77777777" w:rsidR="00706FE5" w:rsidRPr="006D5382" w:rsidRDefault="00706FE5" w:rsidP="006D5382">
            <w:pPr>
              <w:spacing w:line="360" w:lineRule="auto"/>
            </w:pPr>
            <w:r w:rsidRPr="006D5382">
              <w:t>1</w:t>
            </w:r>
          </w:p>
        </w:tc>
        <w:tc>
          <w:tcPr>
            <w:tcW w:w="299" w:type="pct"/>
            <w:shd w:val="clear" w:color="000000" w:fill="00B0F0"/>
            <w:noWrap/>
            <w:hideMark/>
          </w:tcPr>
          <w:p w14:paraId="289B18F8" w14:textId="77777777" w:rsidR="00706FE5" w:rsidRPr="006D5382" w:rsidRDefault="00706FE5" w:rsidP="006D5382">
            <w:pPr>
              <w:spacing w:line="360" w:lineRule="auto"/>
            </w:pPr>
            <w:r w:rsidRPr="006D5382">
              <w:t>3</w:t>
            </w:r>
          </w:p>
        </w:tc>
        <w:tc>
          <w:tcPr>
            <w:tcW w:w="265" w:type="pct"/>
            <w:shd w:val="clear" w:color="auto" w:fill="auto"/>
            <w:noWrap/>
            <w:hideMark/>
          </w:tcPr>
          <w:p w14:paraId="6119A4B4" w14:textId="77777777" w:rsidR="00706FE5" w:rsidRPr="006D5382" w:rsidRDefault="00706FE5" w:rsidP="006D5382">
            <w:pPr>
              <w:spacing w:line="360" w:lineRule="auto"/>
              <w:rPr>
                <w:b/>
                <w:bCs/>
              </w:rPr>
            </w:pPr>
            <w:r w:rsidRPr="006D5382">
              <w:rPr>
                <w:b/>
                <w:bCs/>
              </w:rPr>
              <w:t xml:space="preserve">Good </w:t>
            </w:r>
          </w:p>
        </w:tc>
      </w:tr>
      <w:tr w:rsidR="006D5382" w:rsidRPr="006D5382" w14:paraId="0262C020" w14:textId="77777777" w:rsidTr="00706FE5">
        <w:trPr>
          <w:trHeight w:val="324"/>
        </w:trPr>
        <w:tc>
          <w:tcPr>
            <w:tcW w:w="899" w:type="pct"/>
            <w:shd w:val="clear" w:color="auto" w:fill="auto"/>
            <w:noWrap/>
            <w:hideMark/>
          </w:tcPr>
          <w:p w14:paraId="6BD5546B" w14:textId="77777777" w:rsidR="00706FE5" w:rsidRPr="006D5382" w:rsidRDefault="00706FE5" w:rsidP="006D5382">
            <w:pPr>
              <w:spacing w:line="360" w:lineRule="auto"/>
            </w:pPr>
            <w:r w:rsidRPr="006D5382">
              <w:t xml:space="preserve">De Oliveira CO, </w:t>
            </w:r>
            <w:r w:rsidRPr="006D5382">
              <w:rPr>
                <w:i/>
              </w:rPr>
              <w:t>2007</w:t>
            </w:r>
            <w:r w:rsidR="00DA1B98" w:rsidRPr="006D5382">
              <w:rPr>
                <w:noProof/>
                <w:vertAlign w:val="superscript"/>
              </w:rPr>
              <w:t>8</w:t>
            </w:r>
          </w:p>
        </w:tc>
        <w:tc>
          <w:tcPr>
            <w:tcW w:w="434" w:type="pct"/>
            <w:shd w:val="clear" w:color="auto" w:fill="auto"/>
            <w:noWrap/>
            <w:hideMark/>
          </w:tcPr>
          <w:p w14:paraId="72148068" w14:textId="77777777" w:rsidR="00706FE5" w:rsidRPr="006D5382" w:rsidRDefault="00706FE5" w:rsidP="006D5382">
            <w:pPr>
              <w:spacing w:line="360" w:lineRule="auto"/>
            </w:pPr>
            <w:r w:rsidRPr="006D5382">
              <w:t>0</w:t>
            </w:r>
          </w:p>
        </w:tc>
        <w:tc>
          <w:tcPr>
            <w:tcW w:w="985" w:type="pct"/>
            <w:shd w:val="clear" w:color="auto" w:fill="auto"/>
            <w:noWrap/>
            <w:hideMark/>
          </w:tcPr>
          <w:p w14:paraId="178F1995" w14:textId="77777777" w:rsidR="00706FE5" w:rsidRPr="006D5382" w:rsidRDefault="00706FE5" w:rsidP="006D5382">
            <w:pPr>
              <w:spacing w:line="360" w:lineRule="auto"/>
            </w:pPr>
            <w:r w:rsidRPr="006D5382">
              <w:t>0</w:t>
            </w:r>
          </w:p>
        </w:tc>
        <w:tc>
          <w:tcPr>
            <w:tcW w:w="514" w:type="pct"/>
            <w:shd w:val="clear" w:color="auto" w:fill="auto"/>
            <w:noWrap/>
            <w:hideMark/>
          </w:tcPr>
          <w:p w14:paraId="67D53015" w14:textId="77777777" w:rsidR="00706FE5" w:rsidRPr="006D5382" w:rsidRDefault="00706FE5" w:rsidP="006D5382">
            <w:pPr>
              <w:spacing w:line="360" w:lineRule="auto"/>
            </w:pPr>
            <w:r w:rsidRPr="006D5382">
              <w:t>1</w:t>
            </w:r>
          </w:p>
        </w:tc>
        <w:tc>
          <w:tcPr>
            <w:tcW w:w="297" w:type="pct"/>
            <w:shd w:val="clear" w:color="auto" w:fill="auto"/>
            <w:noWrap/>
            <w:hideMark/>
          </w:tcPr>
          <w:p w14:paraId="78A2965A" w14:textId="77777777" w:rsidR="00706FE5" w:rsidRPr="006D5382" w:rsidRDefault="00706FE5" w:rsidP="006D5382">
            <w:pPr>
              <w:spacing w:line="360" w:lineRule="auto"/>
            </w:pPr>
            <w:r w:rsidRPr="006D5382">
              <w:t>1</w:t>
            </w:r>
          </w:p>
        </w:tc>
        <w:tc>
          <w:tcPr>
            <w:tcW w:w="321" w:type="pct"/>
            <w:shd w:val="clear" w:color="000000" w:fill="FFFF00"/>
            <w:noWrap/>
            <w:hideMark/>
          </w:tcPr>
          <w:p w14:paraId="106EFD26" w14:textId="77777777" w:rsidR="00706FE5" w:rsidRPr="006D5382" w:rsidRDefault="00706FE5" w:rsidP="006D5382">
            <w:pPr>
              <w:spacing w:line="360" w:lineRule="auto"/>
            </w:pPr>
            <w:r w:rsidRPr="006D5382">
              <w:t>2</w:t>
            </w:r>
          </w:p>
        </w:tc>
        <w:tc>
          <w:tcPr>
            <w:tcW w:w="304" w:type="pct"/>
            <w:shd w:val="clear" w:color="000000" w:fill="92D050"/>
            <w:noWrap/>
            <w:hideMark/>
          </w:tcPr>
          <w:p w14:paraId="0CF2576D" w14:textId="77777777" w:rsidR="00706FE5" w:rsidRPr="006D5382" w:rsidRDefault="00706FE5" w:rsidP="006D5382">
            <w:pPr>
              <w:spacing w:line="360" w:lineRule="auto"/>
            </w:pPr>
            <w:r w:rsidRPr="006D5382">
              <w:t>2</w:t>
            </w:r>
          </w:p>
        </w:tc>
        <w:tc>
          <w:tcPr>
            <w:tcW w:w="254" w:type="pct"/>
            <w:shd w:val="clear" w:color="auto" w:fill="auto"/>
            <w:noWrap/>
            <w:hideMark/>
          </w:tcPr>
          <w:p w14:paraId="4810A20D" w14:textId="77777777" w:rsidR="00706FE5" w:rsidRPr="006D5382" w:rsidRDefault="00706FE5" w:rsidP="006D5382">
            <w:pPr>
              <w:spacing w:line="360" w:lineRule="auto"/>
            </w:pPr>
            <w:r w:rsidRPr="006D5382">
              <w:t>1</w:t>
            </w:r>
          </w:p>
        </w:tc>
        <w:tc>
          <w:tcPr>
            <w:tcW w:w="210" w:type="pct"/>
            <w:shd w:val="clear" w:color="auto" w:fill="auto"/>
            <w:noWrap/>
            <w:hideMark/>
          </w:tcPr>
          <w:p w14:paraId="4125A211" w14:textId="77777777" w:rsidR="00706FE5" w:rsidRPr="006D5382" w:rsidRDefault="00706FE5" w:rsidP="006D5382">
            <w:pPr>
              <w:spacing w:line="360" w:lineRule="auto"/>
            </w:pPr>
            <w:r w:rsidRPr="006D5382">
              <w:t>1</w:t>
            </w:r>
          </w:p>
        </w:tc>
        <w:tc>
          <w:tcPr>
            <w:tcW w:w="221" w:type="pct"/>
            <w:shd w:val="clear" w:color="auto" w:fill="auto"/>
            <w:noWrap/>
            <w:hideMark/>
          </w:tcPr>
          <w:p w14:paraId="5BC73BBE" w14:textId="77777777" w:rsidR="00706FE5" w:rsidRPr="006D5382" w:rsidRDefault="00706FE5" w:rsidP="006D5382">
            <w:pPr>
              <w:spacing w:line="360" w:lineRule="auto"/>
            </w:pPr>
            <w:r w:rsidRPr="006D5382">
              <w:t>0</w:t>
            </w:r>
          </w:p>
        </w:tc>
        <w:tc>
          <w:tcPr>
            <w:tcW w:w="299" w:type="pct"/>
            <w:shd w:val="clear" w:color="000000" w:fill="00B0F0"/>
            <w:noWrap/>
            <w:hideMark/>
          </w:tcPr>
          <w:p w14:paraId="054BD280" w14:textId="77777777" w:rsidR="00706FE5" w:rsidRPr="006D5382" w:rsidRDefault="00706FE5" w:rsidP="006D5382">
            <w:pPr>
              <w:spacing w:line="360" w:lineRule="auto"/>
            </w:pPr>
            <w:r w:rsidRPr="006D5382">
              <w:t>2</w:t>
            </w:r>
          </w:p>
        </w:tc>
        <w:tc>
          <w:tcPr>
            <w:tcW w:w="265" w:type="pct"/>
            <w:shd w:val="clear" w:color="auto" w:fill="auto"/>
            <w:noWrap/>
            <w:hideMark/>
          </w:tcPr>
          <w:p w14:paraId="48D7303F" w14:textId="77777777" w:rsidR="00706FE5" w:rsidRPr="006D5382" w:rsidRDefault="00706FE5" w:rsidP="006D5382">
            <w:pPr>
              <w:spacing w:line="360" w:lineRule="auto"/>
              <w:rPr>
                <w:b/>
                <w:bCs/>
              </w:rPr>
            </w:pPr>
            <w:r w:rsidRPr="006D5382">
              <w:rPr>
                <w:b/>
                <w:bCs/>
              </w:rPr>
              <w:t xml:space="preserve">Fair </w:t>
            </w:r>
          </w:p>
        </w:tc>
      </w:tr>
      <w:tr w:rsidR="006D5382" w:rsidRPr="006D5382" w14:paraId="191ECD85" w14:textId="77777777" w:rsidTr="00706FE5">
        <w:trPr>
          <w:trHeight w:val="324"/>
        </w:trPr>
        <w:tc>
          <w:tcPr>
            <w:tcW w:w="899" w:type="pct"/>
            <w:shd w:val="clear" w:color="auto" w:fill="auto"/>
            <w:noWrap/>
            <w:hideMark/>
          </w:tcPr>
          <w:p w14:paraId="217139EF" w14:textId="77777777" w:rsidR="00706FE5" w:rsidRPr="006D5382" w:rsidRDefault="00706FE5" w:rsidP="006D5382">
            <w:pPr>
              <w:spacing w:line="360" w:lineRule="auto"/>
            </w:pPr>
            <w:r w:rsidRPr="006D5382">
              <w:t xml:space="preserve">Dickens AM, </w:t>
            </w:r>
            <w:r w:rsidRPr="006D5382">
              <w:rPr>
                <w:i/>
              </w:rPr>
              <w:t>2018</w:t>
            </w:r>
            <w:r w:rsidR="00DA1B98" w:rsidRPr="006D5382">
              <w:rPr>
                <w:noProof/>
                <w:vertAlign w:val="superscript"/>
              </w:rPr>
              <w:t>9</w:t>
            </w:r>
          </w:p>
        </w:tc>
        <w:tc>
          <w:tcPr>
            <w:tcW w:w="434" w:type="pct"/>
            <w:shd w:val="clear" w:color="auto" w:fill="auto"/>
            <w:noWrap/>
            <w:hideMark/>
          </w:tcPr>
          <w:p w14:paraId="0FC8430C" w14:textId="77777777" w:rsidR="00706FE5" w:rsidRPr="006D5382" w:rsidRDefault="00706FE5" w:rsidP="006D5382">
            <w:pPr>
              <w:spacing w:line="360" w:lineRule="auto"/>
            </w:pPr>
            <w:r w:rsidRPr="006D5382">
              <w:t>1</w:t>
            </w:r>
          </w:p>
        </w:tc>
        <w:tc>
          <w:tcPr>
            <w:tcW w:w="985" w:type="pct"/>
            <w:shd w:val="clear" w:color="auto" w:fill="auto"/>
            <w:noWrap/>
            <w:hideMark/>
          </w:tcPr>
          <w:p w14:paraId="10C0D6D7" w14:textId="77777777" w:rsidR="00706FE5" w:rsidRPr="006D5382" w:rsidRDefault="00706FE5" w:rsidP="006D5382">
            <w:pPr>
              <w:spacing w:line="360" w:lineRule="auto"/>
            </w:pPr>
            <w:r w:rsidRPr="006D5382">
              <w:t>1</w:t>
            </w:r>
          </w:p>
        </w:tc>
        <w:tc>
          <w:tcPr>
            <w:tcW w:w="514" w:type="pct"/>
            <w:shd w:val="clear" w:color="auto" w:fill="auto"/>
            <w:noWrap/>
            <w:hideMark/>
          </w:tcPr>
          <w:p w14:paraId="50FEA16A" w14:textId="77777777" w:rsidR="00706FE5" w:rsidRPr="006D5382" w:rsidRDefault="00706FE5" w:rsidP="006D5382">
            <w:pPr>
              <w:spacing w:line="360" w:lineRule="auto"/>
            </w:pPr>
            <w:r w:rsidRPr="006D5382">
              <w:t>1</w:t>
            </w:r>
          </w:p>
        </w:tc>
        <w:tc>
          <w:tcPr>
            <w:tcW w:w="297" w:type="pct"/>
            <w:shd w:val="clear" w:color="auto" w:fill="auto"/>
            <w:noWrap/>
            <w:hideMark/>
          </w:tcPr>
          <w:p w14:paraId="538338E5" w14:textId="77777777" w:rsidR="00706FE5" w:rsidRPr="006D5382" w:rsidRDefault="00706FE5" w:rsidP="006D5382">
            <w:pPr>
              <w:spacing w:line="360" w:lineRule="auto"/>
            </w:pPr>
            <w:r w:rsidRPr="006D5382">
              <w:t>1</w:t>
            </w:r>
          </w:p>
        </w:tc>
        <w:tc>
          <w:tcPr>
            <w:tcW w:w="321" w:type="pct"/>
            <w:shd w:val="clear" w:color="000000" w:fill="FFFF00"/>
            <w:noWrap/>
            <w:hideMark/>
          </w:tcPr>
          <w:p w14:paraId="6C2A9DC7" w14:textId="77777777" w:rsidR="00706FE5" w:rsidRPr="006D5382" w:rsidRDefault="00706FE5" w:rsidP="006D5382">
            <w:pPr>
              <w:spacing w:line="360" w:lineRule="auto"/>
            </w:pPr>
            <w:r w:rsidRPr="006D5382">
              <w:t>4</w:t>
            </w:r>
          </w:p>
        </w:tc>
        <w:tc>
          <w:tcPr>
            <w:tcW w:w="304" w:type="pct"/>
            <w:shd w:val="clear" w:color="000000" w:fill="92D050"/>
            <w:noWrap/>
            <w:hideMark/>
          </w:tcPr>
          <w:p w14:paraId="39F3CD69" w14:textId="77777777" w:rsidR="00706FE5" w:rsidRPr="006D5382" w:rsidRDefault="00706FE5" w:rsidP="006D5382">
            <w:pPr>
              <w:spacing w:line="360" w:lineRule="auto"/>
            </w:pPr>
            <w:r w:rsidRPr="006D5382">
              <w:t>1</w:t>
            </w:r>
          </w:p>
        </w:tc>
        <w:tc>
          <w:tcPr>
            <w:tcW w:w="254" w:type="pct"/>
            <w:shd w:val="clear" w:color="auto" w:fill="auto"/>
            <w:noWrap/>
            <w:hideMark/>
          </w:tcPr>
          <w:p w14:paraId="591C0132" w14:textId="77777777" w:rsidR="00706FE5" w:rsidRPr="006D5382" w:rsidRDefault="00706FE5" w:rsidP="006D5382">
            <w:pPr>
              <w:spacing w:line="360" w:lineRule="auto"/>
            </w:pPr>
            <w:r w:rsidRPr="006D5382">
              <w:t>1</w:t>
            </w:r>
          </w:p>
        </w:tc>
        <w:tc>
          <w:tcPr>
            <w:tcW w:w="210" w:type="pct"/>
            <w:shd w:val="clear" w:color="auto" w:fill="auto"/>
            <w:noWrap/>
            <w:hideMark/>
          </w:tcPr>
          <w:p w14:paraId="2266C304" w14:textId="77777777" w:rsidR="00706FE5" w:rsidRPr="006D5382" w:rsidRDefault="00706FE5" w:rsidP="006D5382">
            <w:pPr>
              <w:spacing w:line="360" w:lineRule="auto"/>
            </w:pPr>
            <w:r w:rsidRPr="006D5382">
              <w:t>1</w:t>
            </w:r>
          </w:p>
        </w:tc>
        <w:tc>
          <w:tcPr>
            <w:tcW w:w="221" w:type="pct"/>
            <w:shd w:val="clear" w:color="auto" w:fill="auto"/>
            <w:noWrap/>
            <w:hideMark/>
          </w:tcPr>
          <w:p w14:paraId="5B5440DA" w14:textId="77777777" w:rsidR="00706FE5" w:rsidRPr="006D5382" w:rsidRDefault="00706FE5" w:rsidP="006D5382">
            <w:pPr>
              <w:spacing w:line="360" w:lineRule="auto"/>
            </w:pPr>
            <w:r w:rsidRPr="006D5382">
              <w:t>1</w:t>
            </w:r>
          </w:p>
        </w:tc>
        <w:tc>
          <w:tcPr>
            <w:tcW w:w="299" w:type="pct"/>
            <w:shd w:val="clear" w:color="000000" w:fill="00B0F0"/>
            <w:noWrap/>
            <w:hideMark/>
          </w:tcPr>
          <w:p w14:paraId="4A48C136" w14:textId="77777777" w:rsidR="00706FE5" w:rsidRPr="006D5382" w:rsidRDefault="00706FE5" w:rsidP="006D5382">
            <w:pPr>
              <w:spacing w:line="360" w:lineRule="auto"/>
            </w:pPr>
            <w:r w:rsidRPr="006D5382">
              <w:t>3</w:t>
            </w:r>
          </w:p>
        </w:tc>
        <w:tc>
          <w:tcPr>
            <w:tcW w:w="265" w:type="pct"/>
            <w:shd w:val="clear" w:color="auto" w:fill="auto"/>
            <w:noWrap/>
            <w:hideMark/>
          </w:tcPr>
          <w:p w14:paraId="64292289" w14:textId="77777777" w:rsidR="00706FE5" w:rsidRPr="006D5382" w:rsidRDefault="00706FE5" w:rsidP="006D5382">
            <w:pPr>
              <w:spacing w:line="360" w:lineRule="auto"/>
              <w:rPr>
                <w:b/>
                <w:bCs/>
              </w:rPr>
            </w:pPr>
            <w:r w:rsidRPr="006D5382">
              <w:rPr>
                <w:b/>
                <w:bCs/>
              </w:rPr>
              <w:t xml:space="preserve">Good </w:t>
            </w:r>
          </w:p>
        </w:tc>
      </w:tr>
      <w:tr w:rsidR="006D5382" w:rsidRPr="006D5382" w14:paraId="04A0A981" w14:textId="77777777" w:rsidTr="00706FE5">
        <w:trPr>
          <w:trHeight w:val="324"/>
        </w:trPr>
        <w:tc>
          <w:tcPr>
            <w:tcW w:w="899" w:type="pct"/>
            <w:shd w:val="clear" w:color="auto" w:fill="auto"/>
            <w:noWrap/>
            <w:hideMark/>
          </w:tcPr>
          <w:p w14:paraId="4DBF226F" w14:textId="77777777" w:rsidR="00706FE5" w:rsidRPr="006D5382" w:rsidRDefault="00706FE5" w:rsidP="006D5382">
            <w:pPr>
              <w:spacing w:line="360" w:lineRule="auto"/>
            </w:pPr>
            <w:proofErr w:type="spellStart"/>
            <w:r w:rsidRPr="006D5382">
              <w:t>Egea</w:t>
            </w:r>
            <w:proofErr w:type="spellEnd"/>
            <w:r w:rsidRPr="006D5382">
              <w:t xml:space="preserve">-Guerrero JJ, </w:t>
            </w:r>
            <w:r w:rsidRPr="006D5382">
              <w:rPr>
                <w:i/>
              </w:rPr>
              <w:t>2012</w:t>
            </w:r>
            <w:r w:rsidR="00DA1B98" w:rsidRPr="006D5382">
              <w:rPr>
                <w:noProof/>
                <w:vertAlign w:val="superscript"/>
              </w:rPr>
              <w:t>10</w:t>
            </w:r>
          </w:p>
        </w:tc>
        <w:tc>
          <w:tcPr>
            <w:tcW w:w="434" w:type="pct"/>
            <w:shd w:val="clear" w:color="auto" w:fill="auto"/>
            <w:noWrap/>
            <w:hideMark/>
          </w:tcPr>
          <w:p w14:paraId="3898E23A" w14:textId="77777777" w:rsidR="00706FE5" w:rsidRPr="006D5382" w:rsidRDefault="00706FE5" w:rsidP="006D5382">
            <w:pPr>
              <w:spacing w:line="360" w:lineRule="auto"/>
            </w:pPr>
            <w:r w:rsidRPr="006D5382">
              <w:t>0</w:t>
            </w:r>
          </w:p>
        </w:tc>
        <w:tc>
          <w:tcPr>
            <w:tcW w:w="985" w:type="pct"/>
            <w:shd w:val="clear" w:color="auto" w:fill="auto"/>
            <w:noWrap/>
            <w:hideMark/>
          </w:tcPr>
          <w:p w14:paraId="5C2BA61B" w14:textId="77777777" w:rsidR="00706FE5" w:rsidRPr="006D5382" w:rsidRDefault="00706FE5" w:rsidP="006D5382">
            <w:pPr>
              <w:spacing w:line="360" w:lineRule="auto"/>
            </w:pPr>
            <w:r w:rsidRPr="006D5382">
              <w:t>1</w:t>
            </w:r>
          </w:p>
        </w:tc>
        <w:tc>
          <w:tcPr>
            <w:tcW w:w="514" w:type="pct"/>
            <w:shd w:val="clear" w:color="auto" w:fill="auto"/>
            <w:noWrap/>
            <w:hideMark/>
          </w:tcPr>
          <w:p w14:paraId="11904E40" w14:textId="77777777" w:rsidR="00706FE5" w:rsidRPr="006D5382" w:rsidRDefault="00706FE5" w:rsidP="006D5382">
            <w:pPr>
              <w:spacing w:line="360" w:lineRule="auto"/>
            </w:pPr>
            <w:r w:rsidRPr="006D5382">
              <w:t>1</w:t>
            </w:r>
          </w:p>
        </w:tc>
        <w:tc>
          <w:tcPr>
            <w:tcW w:w="297" w:type="pct"/>
            <w:shd w:val="clear" w:color="auto" w:fill="auto"/>
            <w:noWrap/>
            <w:hideMark/>
          </w:tcPr>
          <w:p w14:paraId="6816AB10" w14:textId="77777777" w:rsidR="00706FE5" w:rsidRPr="006D5382" w:rsidRDefault="00706FE5" w:rsidP="006D5382">
            <w:pPr>
              <w:spacing w:line="360" w:lineRule="auto"/>
            </w:pPr>
            <w:r w:rsidRPr="006D5382">
              <w:t>1</w:t>
            </w:r>
          </w:p>
        </w:tc>
        <w:tc>
          <w:tcPr>
            <w:tcW w:w="321" w:type="pct"/>
            <w:shd w:val="clear" w:color="000000" w:fill="FFFF00"/>
            <w:noWrap/>
            <w:hideMark/>
          </w:tcPr>
          <w:p w14:paraId="48AD7F65" w14:textId="77777777" w:rsidR="00706FE5" w:rsidRPr="006D5382" w:rsidRDefault="00706FE5" w:rsidP="006D5382">
            <w:pPr>
              <w:spacing w:line="360" w:lineRule="auto"/>
            </w:pPr>
            <w:r w:rsidRPr="006D5382">
              <w:t>3</w:t>
            </w:r>
          </w:p>
        </w:tc>
        <w:tc>
          <w:tcPr>
            <w:tcW w:w="304" w:type="pct"/>
            <w:shd w:val="clear" w:color="000000" w:fill="92D050"/>
            <w:noWrap/>
            <w:hideMark/>
          </w:tcPr>
          <w:p w14:paraId="42FD25D3" w14:textId="77777777" w:rsidR="00706FE5" w:rsidRPr="006D5382" w:rsidRDefault="00706FE5" w:rsidP="006D5382">
            <w:pPr>
              <w:spacing w:line="360" w:lineRule="auto"/>
            </w:pPr>
            <w:r w:rsidRPr="006D5382">
              <w:t>2</w:t>
            </w:r>
          </w:p>
        </w:tc>
        <w:tc>
          <w:tcPr>
            <w:tcW w:w="254" w:type="pct"/>
            <w:shd w:val="clear" w:color="auto" w:fill="auto"/>
            <w:noWrap/>
            <w:hideMark/>
          </w:tcPr>
          <w:p w14:paraId="04A0EB38" w14:textId="77777777" w:rsidR="00706FE5" w:rsidRPr="006D5382" w:rsidRDefault="00706FE5" w:rsidP="006D5382">
            <w:pPr>
              <w:spacing w:line="360" w:lineRule="auto"/>
            </w:pPr>
            <w:r w:rsidRPr="006D5382">
              <w:t>1</w:t>
            </w:r>
          </w:p>
        </w:tc>
        <w:tc>
          <w:tcPr>
            <w:tcW w:w="210" w:type="pct"/>
            <w:shd w:val="clear" w:color="auto" w:fill="auto"/>
            <w:noWrap/>
            <w:hideMark/>
          </w:tcPr>
          <w:p w14:paraId="2C6C7579" w14:textId="77777777" w:rsidR="00706FE5" w:rsidRPr="006D5382" w:rsidRDefault="00706FE5" w:rsidP="006D5382">
            <w:pPr>
              <w:spacing w:line="360" w:lineRule="auto"/>
            </w:pPr>
            <w:r w:rsidRPr="006D5382">
              <w:t>1</w:t>
            </w:r>
          </w:p>
        </w:tc>
        <w:tc>
          <w:tcPr>
            <w:tcW w:w="221" w:type="pct"/>
            <w:shd w:val="clear" w:color="auto" w:fill="auto"/>
            <w:noWrap/>
            <w:hideMark/>
          </w:tcPr>
          <w:p w14:paraId="57E36A4A" w14:textId="77777777" w:rsidR="00706FE5" w:rsidRPr="006D5382" w:rsidRDefault="00706FE5" w:rsidP="006D5382">
            <w:pPr>
              <w:spacing w:line="360" w:lineRule="auto"/>
            </w:pPr>
            <w:r w:rsidRPr="006D5382">
              <w:t>1</w:t>
            </w:r>
          </w:p>
        </w:tc>
        <w:tc>
          <w:tcPr>
            <w:tcW w:w="299" w:type="pct"/>
            <w:shd w:val="clear" w:color="000000" w:fill="00B0F0"/>
            <w:noWrap/>
            <w:hideMark/>
          </w:tcPr>
          <w:p w14:paraId="4A716FB9" w14:textId="77777777" w:rsidR="00706FE5" w:rsidRPr="006D5382" w:rsidRDefault="00706FE5" w:rsidP="006D5382">
            <w:pPr>
              <w:spacing w:line="360" w:lineRule="auto"/>
            </w:pPr>
            <w:r w:rsidRPr="006D5382">
              <w:t>3</w:t>
            </w:r>
          </w:p>
        </w:tc>
        <w:tc>
          <w:tcPr>
            <w:tcW w:w="265" w:type="pct"/>
            <w:shd w:val="clear" w:color="auto" w:fill="auto"/>
            <w:noWrap/>
            <w:hideMark/>
          </w:tcPr>
          <w:p w14:paraId="7CD7FA0C" w14:textId="77777777" w:rsidR="00706FE5" w:rsidRPr="006D5382" w:rsidRDefault="00706FE5" w:rsidP="006D5382">
            <w:pPr>
              <w:spacing w:line="360" w:lineRule="auto"/>
              <w:rPr>
                <w:b/>
                <w:bCs/>
              </w:rPr>
            </w:pPr>
            <w:r w:rsidRPr="006D5382">
              <w:rPr>
                <w:b/>
                <w:bCs/>
              </w:rPr>
              <w:t xml:space="preserve">Good </w:t>
            </w:r>
          </w:p>
        </w:tc>
      </w:tr>
      <w:tr w:rsidR="006D5382" w:rsidRPr="006D5382" w14:paraId="6255A794" w14:textId="77777777" w:rsidTr="00706FE5">
        <w:trPr>
          <w:trHeight w:val="324"/>
        </w:trPr>
        <w:tc>
          <w:tcPr>
            <w:tcW w:w="899" w:type="pct"/>
            <w:shd w:val="clear" w:color="auto" w:fill="auto"/>
            <w:noWrap/>
            <w:hideMark/>
          </w:tcPr>
          <w:p w14:paraId="2293792E" w14:textId="77777777" w:rsidR="00706FE5" w:rsidRPr="006D5382" w:rsidRDefault="00706FE5" w:rsidP="006D5382">
            <w:pPr>
              <w:spacing w:line="360" w:lineRule="auto"/>
            </w:pPr>
            <w:proofErr w:type="spellStart"/>
            <w:r w:rsidRPr="006D5382">
              <w:t>Egea</w:t>
            </w:r>
            <w:proofErr w:type="spellEnd"/>
            <w:r w:rsidRPr="006D5382">
              <w:t xml:space="preserve">-Guerrero JJ, </w:t>
            </w:r>
            <w:r w:rsidRPr="006D5382">
              <w:rPr>
                <w:i/>
              </w:rPr>
              <w:t>2018</w:t>
            </w:r>
            <w:r w:rsidR="00DA1B98" w:rsidRPr="006D5382">
              <w:rPr>
                <w:noProof/>
                <w:vertAlign w:val="superscript"/>
              </w:rPr>
              <w:t>11</w:t>
            </w:r>
          </w:p>
        </w:tc>
        <w:tc>
          <w:tcPr>
            <w:tcW w:w="434" w:type="pct"/>
            <w:shd w:val="clear" w:color="auto" w:fill="auto"/>
            <w:noWrap/>
            <w:hideMark/>
          </w:tcPr>
          <w:p w14:paraId="0E9C9FD9" w14:textId="77777777" w:rsidR="00706FE5" w:rsidRPr="006D5382" w:rsidRDefault="00706FE5" w:rsidP="006D5382">
            <w:pPr>
              <w:spacing w:line="360" w:lineRule="auto"/>
            </w:pPr>
            <w:r w:rsidRPr="006D5382">
              <w:t>0</w:t>
            </w:r>
          </w:p>
        </w:tc>
        <w:tc>
          <w:tcPr>
            <w:tcW w:w="985" w:type="pct"/>
            <w:shd w:val="clear" w:color="auto" w:fill="auto"/>
            <w:noWrap/>
            <w:hideMark/>
          </w:tcPr>
          <w:p w14:paraId="29ACFBE9" w14:textId="77777777" w:rsidR="00706FE5" w:rsidRPr="006D5382" w:rsidRDefault="00706FE5" w:rsidP="006D5382">
            <w:pPr>
              <w:spacing w:line="360" w:lineRule="auto"/>
            </w:pPr>
            <w:r w:rsidRPr="006D5382">
              <w:t>1</w:t>
            </w:r>
          </w:p>
        </w:tc>
        <w:tc>
          <w:tcPr>
            <w:tcW w:w="514" w:type="pct"/>
            <w:shd w:val="clear" w:color="auto" w:fill="auto"/>
            <w:noWrap/>
            <w:hideMark/>
          </w:tcPr>
          <w:p w14:paraId="6C48D656" w14:textId="77777777" w:rsidR="00706FE5" w:rsidRPr="006D5382" w:rsidRDefault="00706FE5" w:rsidP="006D5382">
            <w:pPr>
              <w:spacing w:line="360" w:lineRule="auto"/>
            </w:pPr>
            <w:r w:rsidRPr="006D5382">
              <w:t>1</w:t>
            </w:r>
          </w:p>
        </w:tc>
        <w:tc>
          <w:tcPr>
            <w:tcW w:w="297" w:type="pct"/>
            <w:shd w:val="clear" w:color="auto" w:fill="auto"/>
            <w:noWrap/>
            <w:hideMark/>
          </w:tcPr>
          <w:p w14:paraId="41538007" w14:textId="77777777" w:rsidR="00706FE5" w:rsidRPr="006D5382" w:rsidRDefault="00706FE5" w:rsidP="006D5382">
            <w:pPr>
              <w:spacing w:line="360" w:lineRule="auto"/>
            </w:pPr>
            <w:r w:rsidRPr="006D5382">
              <w:t>0</w:t>
            </w:r>
          </w:p>
        </w:tc>
        <w:tc>
          <w:tcPr>
            <w:tcW w:w="321" w:type="pct"/>
            <w:shd w:val="clear" w:color="000000" w:fill="FFFF00"/>
            <w:noWrap/>
            <w:hideMark/>
          </w:tcPr>
          <w:p w14:paraId="3B635DD7" w14:textId="77777777" w:rsidR="00706FE5" w:rsidRPr="006D5382" w:rsidRDefault="00706FE5" w:rsidP="006D5382">
            <w:pPr>
              <w:spacing w:line="360" w:lineRule="auto"/>
            </w:pPr>
            <w:r w:rsidRPr="006D5382">
              <w:t>2</w:t>
            </w:r>
          </w:p>
        </w:tc>
        <w:tc>
          <w:tcPr>
            <w:tcW w:w="304" w:type="pct"/>
            <w:shd w:val="clear" w:color="000000" w:fill="92D050"/>
            <w:noWrap/>
            <w:hideMark/>
          </w:tcPr>
          <w:p w14:paraId="6E13DE04" w14:textId="77777777" w:rsidR="00706FE5" w:rsidRPr="006D5382" w:rsidRDefault="00706FE5" w:rsidP="006D5382">
            <w:pPr>
              <w:spacing w:line="360" w:lineRule="auto"/>
            </w:pPr>
            <w:r w:rsidRPr="006D5382">
              <w:t>2</w:t>
            </w:r>
          </w:p>
        </w:tc>
        <w:tc>
          <w:tcPr>
            <w:tcW w:w="254" w:type="pct"/>
            <w:shd w:val="clear" w:color="auto" w:fill="auto"/>
            <w:noWrap/>
            <w:hideMark/>
          </w:tcPr>
          <w:p w14:paraId="0B392249" w14:textId="77777777" w:rsidR="00706FE5" w:rsidRPr="006D5382" w:rsidRDefault="00706FE5" w:rsidP="006D5382">
            <w:pPr>
              <w:spacing w:line="360" w:lineRule="auto"/>
            </w:pPr>
            <w:r w:rsidRPr="006D5382">
              <w:t>1</w:t>
            </w:r>
          </w:p>
        </w:tc>
        <w:tc>
          <w:tcPr>
            <w:tcW w:w="210" w:type="pct"/>
            <w:shd w:val="clear" w:color="auto" w:fill="auto"/>
            <w:noWrap/>
            <w:hideMark/>
          </w:tcPr>
          <w:p w14:paraId="29E5147A" w14:textId="77777777" w:rsidR="00706FE5" w:rsidRPr="006D5382" w:rsidRDefault="00706FE5" w:rsidP="006D5382">
            <w:pPr>
              <w:spacing w:line="360" w:lineRule="auto"/>
            </w:pPr>
            <w:r w:rsidRPr="006D5382">
              <w:t>1</w:t>
            </w:r>
          </w:p>
        </w:tc>
        <w:tc>
          <w:tcPr>
            <w:tcW w:w="221" w:type="pct"/>
            <w:shd w:val="clear" w:color="auto" w:fill="auto"/>
            <w:noWrap/>
            <w:hideMark/>
          </w:tcPr>
          <w:p w14:paraId="544F4A83" w14:textId="77777777" w:rsidR="00706FE5" w:rsidRPr="006D5382" w:rsidRDefault="00706FE5" w:rsidP="006D5382">
            <w:pPr>
              <w:spacing w:line="360" w:lineRule="auto"/>
            </w:pPr>
            <w:r w:rsidRPr="006D5382">
              <w:t>1</w:t>
            </w:r>
          </w:p>
        </w:tc>
        <w:tc>
          <w:tcPr>
            <w:tcW w:w="299" w:type="pct"/>
            <w:shd w:val="clear" w:color="000000" w:fill="00B0F0"/>
            <w:noWrap/>
            <w:hideMark/>
          </w:tcPr>
          <w:p w14:paraId="00EA544B" w14:textId="77777777" w:rsidR="00706FE5" w:rsidRPr="006D5382" w:rsidRDefault="00706FE5" w:rsidP="006D5382">
            <w:pPr>
              <w:spacing w:line="360" w:lineRule="auto"/>
            </w:pPr>
            <w:r w:rsidRPr="006D5382">
              <w:t>3</w:t>
            </w:r>
          </w:p>
        </w:tc>
        <w:tc>
          <w:tcPr>
            <w:tcW w:w="265" w:type="pct"/>
            <w:shd w:val="clear" w:color="auto" w:fill="auto"/>
            <w:noWrap/>
            <w:hideMark/>
          </w:tcPr>
          <w:p w14:paraId="38B06669" w14:textId="77777777" w:rsidR="00706FE5" w:rsidRPr="006D5382" w:rsidRDefault="00706FE5" w:rsidP="006D5382">
            <w:pPr>
              <w:spacing w:line="360" w:lineRule="auto"/>
              <w:rPr>
                <w:b/>
                <w:bCs/>
              </w:rPr>
            </w:pPr>
            <w:r w:rsidRPr="006D5382">
              <w:rPr>
                <w:b/>
                <w:bCs/>
              </w:rPr>
              <w:t xml:space="preserve">Fair </w:t>
            </w:r>
          </w:p>
        </w:tc>
      </w:tr>
      <w:tr w:rsidR="006D5382" w:rsidRPr="006D5382" w14:paraId="4773AB49" w14:textId="77777777" w:rsidTr="00706FE5">
        <w:trPr>
          <w:trHeight w:val="324"/>
        </w:trPr>
        <w:tc>
          <w:tcPr>
            <w:tcW w:w="899" w:type="pct"/>
            <w:shd w:val="clear" w:color="auto" w:fill="auto"/>
            <w:noWrap/>
            <w:hideMark/>
          </w:tcPr>
          <w:p w14:paraId="0B0AD17B" w14:textId="77777777" w:rsidR="00706FE5" w:rsidRPr="006D5382" w:rsidRDefault="00706FE5" w:rsidP="006D5382">
            <w:pPr>
              <w:spacing w:line="360" w:lineRule="auto"/>
            </w:pPr>
            <w:proofErr w:type="spellStart"/>
            <w:r w:rsidRPr="006D5382">
              <w:t>Faulkinberry</w:t>
            </w:r>
            <w:proofErr w:type="spellEnd"/>
            <w:r w:rsidRPr="006D5382">
              <w:t xml:space="preserve"> S, </w:t>
            </w:r>
            <w:r w:rsidRPr="006D5382">
              <w:rPr>
                <w:i/>
              </w:rPr>
              <w:t>2019</w:t>
            </w:r>
            <w:r w:rsidR="00DA1B98" w:rsidRPr="006D5382">
              <w:rPr>
                <w:noProof/>
                <w:vertAlign w:val="superscript"/>
              </w:rPr>
              <w:t>12</w:t>
            </w:r>
          </w:p>
        </w:tc>
        <w:tc>
          <w:tcPr>
            <w:tcW w:w="434" w:type="pct"/>
            <w:shd w:val="clear" w:color="auto" w:fill="auto"/>
            <w:noWrap/>
            <w:hideMark/>
          </w:tcPr>
          <w:p w14:paraId="391300B3" w14:textId="77777777" w:rsidR="00706FE5" w:rsidRPr="006D5382" w:rsidRDefault="00706FE5" w:rsidP="006D5382">
            <w:pPr>
              <w:spacing w:line="360" w:lineRule="auto"/>
            </w:pPr>
            <w:r w:rsidRPr="006D5382">
              <w:t>0</w:t>
            </w:r>
          </w:p>
        </w:tc>
        <w:tc>
          <w:tcPr>
            <w:tcW w:w="985" w:type="pct"/>
            <w:shd w:val="clear" w:color="auto" w:fill="auto"/>
            <w:noWrap/>
            <w:hideMark/>
          </w:tcPr>
          <w:p w14:paraId="290EA287" w14:textId="77777777" w:rsidR="00706FE5" w:rsidRPr="006D5382" w:rsidRDefault="00706FE5" w:rsidP="006D5382">
            <w:pPr>
              <w:spacing w:line="360" w:lineRule="auto"/>
            </w:pPr>
            <w:r w:rsidRPr="006D5382">
              <w:t>0</w:t>
            </w:r>
          </w:p>
        </w:tc>
        <w:tc>
          <w:tcPr>
            <w:tcW w:w="514" w:type="pct"/>
            <w:shd w:val="clear" w:color="auto" w:fill="auto"/>
            <w:noWrap/>
            <w:hideMark/>
          </w:tcPr>
          <w:p w14:paraId="317DE42B" w14:textId="77777777" w:rsidR="00706FE5" w:rsidRPr="006D5382" w:rsidRDefault="00706FE5" w:rsidP="006D5382">
            <w:pPr>
              <w:spacing w:line="360" w:lineRule="auto"/>
            </w:pPr>
            <w:r w:rsidRPr="006D5382">
              <w:t>1</w:t>
            </w:r>
          </w:p>
        </w:tc>
        <w:tc>
          <w:tcPr>
            <w:tcW w:w="297" w:type="pct"/>
            <w:shd w:val="clear" w:color="auto" w:fill="auto"/>
            <w:noWrap/>
            <w:hideMark/>
          </w:tcPr>
          <w:p w14:paraId="45A71844" w14:textId="77777777" w:rsidR="00706FE5" w:rsidRPr="006D5382" w:rsidRDefault="00706FE5" w:rsidP="006D5382">
            <w:pPr>
              <w:spacing w:line="360" w:lineRule="auto"/>
            </w:pPr>
            <w:r w:rsidRPr="006D5382">
              <w:t>0</w:t>
            </w:r>
          </w:p>
        </w:tc>
        <w:tc>
          <w:tcPr>
            <w:tcW w:w="321" w:type="pct"/>
            <w:shd w:val="clear" w:color="000000" w:fill="FFFF00"/>
            <w:noWrap/>
            <w:hideMark/>
          </w:tcPr>
          <w:p w14:paraId="365ACFF5" w14:textId="77777777" w:rsidR="00706FE5" w:rsidRPr="006D5382" w:rsidRDefault="00706FE5" w:rsidP="006D5382">
            <w:pPr>
              <w:spacing w:line="360" w:lineRule="auto"/>
            </w:pPr>
            <w:r w:rsidRPr="006D5382">
              <w:t>1</w:t>
            </w:r>
          </w:p>
        </w:tc>
        <w:tc>
          <w:tcPr>
            <w:tcW w:w="304" w:type="pct"/>
            <w:shd w:val="clear" w:color="000000" w:fill="92D050"/>
            <w:noWrap/>
            <w:hideMark/>
          </w:tcPr>
          <w:p w14:paraId="54E8A905" w14:textId="77777777" w:rsidR="00706FE5" w:rsidRPr="006D5382" w:rsidRDefault="00706FE5" w:rsidP="006D5382">
            <w:pPr>
              <w:spacing w:line="360" w:lineRule="auto"/>
            </w:pPr>
            <w:r w:rsidRPr="006D5382">
              <w:t>2</w:t>
            </w:r>
          </w:p>
        </w:tc>
        <w:tc>
          <w:tcPr>
            <w:tcW w:w="254" w:type="pct"/>
            <w:shd w:val="clear" w:color="auto" w:fill="auto"/>
            <w:noWrap/>
            <w:hideMark/>
          </w:tcPr>
          <w:p w14:paraId="7CA8F570" w14:textId="77777777" w:rsidR="00706FE5" w:rsidRPr="006D5382" w:rsidRDefault="00706FE5" w:rsidP="006D5382">
            <w:pPr>
              <w:spacing w:line="360" w:lineRule="auto"/>
            </w:pPr>
            <w:r w:rsidRPr="006D5382">
              <w:t>0</w:t>
            </w:r>
          </w:p>
        </w:tc>
        <w:tc>
          <w:tcPr>
            <w:tcW w:w="210" w:type="pct"/>
            <w:shd w:val="clear" w:color="auto" w:fill="auto"/>
            <w:noWrap/>
            <w:hideMark/>
          </w:tcPr>
          <w:p w14:paraId="78DCB49B" w14:textId="77777777" w:rsidR="00706FE5" w:rsidRPr="006D5382" w:rsidRDefault="00706FE5" w:rsidP="006D5382">
            <w:pPr>
              <w:spacing w:line="360" w:lineRule="auto"/>
            </w:pPr>
            <w:r w:rsidRPr="006D5382">
              <w:t>1</w:t>
            </w:r>
          </w:p>
        </w:tc>
        <w:tc>
          <w:tcPr>
            <w:tcW w:w="221" w:type="pct"/>
            <w:shd w:val="clear" w:color="auto" w:fill="auto"/>
            <w:noWrap/>
            <w:hideMark/>
          </w:tcPr>
          <w:p w14:paraId="4609A64E" w14:textId="77777777" w:rsidR="00706FE5" w:rsidRPr="006D5382" w:rsidRDefault="00706FE5" w:rsidP="006D5382">
            <w:pPr>
              <w:spacing w:line="360" w:lineRule="auto"/>
            </w:pPr>
            <w:r w:rsidRPr="006D5382">
              <w:t>0</w:t>
            </w:r>
          </w:p>
        </w:tc>
        <w:tc>
          <w:tcPr>
            <w:tcW w:w="299" w:type="pct"/>
            <w:shd w:val="clear" w:color="000000" w:fill="00B0F0"/>
            <w:noWrap/>
            <w:hideMark/>
          </w:tcPr>
          <w:p w14:paraId="7B3DCBE2" w14:textId="77777777" w:rsidR="00706FE5" w:rsidRPr="006D5382" w:rsidRDefault="00706FE5" w:rsidP="006D5382">
            <w:pPr>
              <w:spacing w:line="360" w:lineRule="auto"/>
            </w:pPr>
            <w:r w:rsidRPr="006D5382">
              <w:t>1</w:t>
            </w:r>
          </w:p>
        </w:tc>
        <w:tc>
          <w:tcPr>
            <w:tcW w:w="265" w:type="pct"/>
            <w:shd w:val="clear" w:color="auto" w:fill="auto"/>
            <w:noWrap/>
            <w:hideMark/>
          </w:tcPr>
          <w:p w14:paraId="0CC39D3B" w14:textId="77777777" w:rsidR="00706FE5" w:rsidRPr="006D5382" w:rsidRDefault="00706FE5" w:rsidP="006D5382">
            <w:pPr>
              <w:spacing w:line="360" w:lineRule="auto"/>
              <w:rPr>
                <w:b/>
                <w:bCs/>
              </w:rPr>
            </w:pPr>
            <w:r w:rsidRPr="006D5382">
              <w:rPr>
                <w:b/>
                <w:bCs/>
              </w:rPr>
              <w:t xml:space="preserve">Poor </w:t>
            </w:r>
          </w:p>
        </w:tc>
      </w:tr>
      <w:tr w:rsidR="006D5382" w:rsidRPr="006D5382" w14:paraId="5980483B" w14:textId="77777777" w:rsidTr="00706FE5">
        <w:trPr>
          <w:trHeight w:val="480"/>
        </w:trPr>
        <w:tc>
          <w:tcPr>
            <w:tcW w:w="899" w:type="pct"/>
            <w:shd w:val="clear" w:color="auto" w:fill="auto"/>
            <w:noWrap/>
            <w:hideMark/>
          </w:tcPr>
          <w:p w14:paraId="3B7EFAF8" w14:textId="77777777" w:rsidR="00706FE5" w:rsidRPr="006D5382" w:rsidRDefault="00706FE5" w:rsidP="006D5382">
            <w:pPr>
              <w:spacing w:line="360" w:lineRule="auto"/>
            </w:pPr>
            <w:proofErr w:type="spellStart"/>
            <w:r w:rsidRPr="006D5382">
              <w:t>Ghonemi</w:t>
            </w:r>
            <w:proofErr w:type="spellEnd"/>
            <w:r w:rsidRPr="006D5382">
              <w:t xml:space="preserve"> MO, </w:t>
            </w:r>
            <w:r w:rsidRPr="006D5382">
              <w:rPr>
                <w:i/>
              </w:rPr>
              <w:t>2013</w:t>
            </w:r>
            <w:r w:rsidR="00DA1B98" w:rsidRPr="006D5382">
              <w:rPr>
                <w:noProof/>
                <w:vertAlign w:val="superscript"/>
              </w:rPr>
              <w:t>13</w:t>
            </w:r>
          </w:p>
        </w:tc>
        <w:tc>
          <w:tcPr>
            <w:tcW w:w="434" w:type="pct"/>
            <w:shd w:val="clear" w:color="auto" w:fill="auto"/>
            <w:noWrap/>
            <w:hideMark/>
          </w:tcPr>
          <w:p w14:paraId="116EC1B5" w14:textId="77777777" w:rsidR="00706FE5" w:rsidRPr="006D5382" w:rsidRDefault="00706FE5" w:rsidP="006D5382">
            <w:pPr>
              <w:spacing w:line="360" w:lineRule="auto"/>
            </w:pPr>
            <w:r w:rsidRPr="006D5382">
              <w:t>1</w:t>
            </w:r>
          </w:p>
        </w:tc>
        <w:tc>
          <w:tcPr>
            <w:tcW w:w="985" w:type="pct"/>
            <w:shd w:val="clear" w:color="auto" w:fill="auto"/>
            <w:noWrap/>
            <w:hideMark/>
          </w:tcPr>
          <w:p w14:paraId="6109E66A" w14:textId="77777777" w:rsidR="00706FE5" w:rsidRPr="006D5382" w:rsidRDefault="00706FE5" w:rsidP="006D5382">
            <w:pPr>
              <w:spacing w:line="360" w:lineRule="auto"/>
            </w:pPr>
            <w:r w:rsidRPr="006D5382">
              <w:t>1</w:t>
            </w:r>
          </w:p>
        </w:tc>
        <w:tc>
          <w:tcPr>
            <w:tcW w:w="514" w:type="pct"/>
            <w:shd w:val="clear" w:color="auto" w:fill="auto"/>
            <w:noWrap/>
            <w:hideMark/>
          </w:tcPr>
          <w:p w14:paraId="53D94A0C" w14:textId="77777777" w:rsidR="00706FE5" w:rsidRPr="006D5382" w:rsidRDefault="00706FE5" w:rsidP="006D5382">
            <w:pPr>
              <w:spacing w:line="360" w:lineRule="auto"/>
            </w:pPr>
            <w:r w:rsidRPr="006D5382">
              <w:t>1</w:t>
            </w:r>
          </w:p>
        </w:tc>
        <w:tc>
          <w:tcPr>
            <w:tcW w:w="297" w:type="pct"/>
            <w:shd w:val="clear" w:color="auto" w:fill="auto"/>
            <w:noWrap/>
            <w:hideMark/>
          </w:tcPr>
          <w:p w14:paraId="51FA8A85" w14:textId="77777777" w:rsidR="00706FE5" w:rsidRPr="006D5382" w:rsidRDefault="00706FE5" w:rsidP="006D5382">
            <w:pPr>
              <w:spacing w:line="360" w:lineRule="auto"/>
            </w:pPr>
            <w:r w:rsidRPr="006D5382">
              <w:t>0</w:t>
            </w:r>
          </w:p>
        </w:tc>
        <w:tc>
          <w:tcPr>
            <w:tcW w:w="321" w:type="pct"/>
            <w:shd w:val="clear" w:color="000000" w:fill="FFFF00"/>
            <w:noWrap/>
            <w:hideMark/>
          </w:tcPr>
          <w:p w14:paraId="13A0FA31" w14:textId="77777777" w:rsidR="00706FE5" w:rsidRPr="006D5382" w:rsidRDefault="00706FE5" w:rsidP="006D5382">
            <w:pPr>
              <w:spacing w:line="360" w:lineRule="auto"/>
            </w:pPr>
            <w:r w:rsidRPr="006D5382">
              <w:t>3</w:t>
            </w:r>
          </w:p>
        </w:tc>
        <w:tc>
          <w:tcPr>
            <w:tcW w:w="304" w:type="pct"/>
            <w:shd w:val="clear" w:color="000000" w:fill="92D050"/>
            <w:noWrap/>
            <w:hideMark/>
          </w:tcPr>
          <w:p w14:paraId="21AAF688" w14:textId="77777777" w:rsidR="00706FE5" w:rsidRPr="006D5382" w:rsidRDefault="00706FE5" w:rsidP="006D5382">
            <w:pPr>
              <w:spacing w:line="360" w:lineRule="auto"/>
            </w:pPr>
            <w:r w:rsidRPr="006D5382">
              <w:t>2</w:t>
            </w:r>
          </w:p>
        </w:tc>
        <w:tc>
          <w:tcPr>
            <w:tcW w:w="254" w:type="pct"/>
            <w:shd w:val="clear" w:color="auto" w:fill="auto"/>
            <w:noWrap/>
            <w:hideMark/>
          </w:tcPr>
          <w:p w14:paraId="36C072E2" w14:textId="77777777" w:rsidR="00706FE5" w:rsidRPr="006D5382" w:rsidRDefault="00706FE5" w:rsidP="006D5382">
            <w:pPr>
              <w:spacing w:line="360" w:lineRule="auto"/>
            </w:pPr>
            <w:r w:rsidRPr="006D5382">
              <w:t>1</w:t>
            </w:r>
          </w:p>
        </w:tc>
        <w:tc>
          <w:tcPr>
            <w:tcW w:w="210" w:type="pct"/>
            <w:shd w:val="clear" w:color="auto" w:fill="auto"/>
            <w:noWrap/>
            <w:hideMark/>
          </w:tcPr>
          <w:p w14:paraId="100419C7" w14:textId="77777777" w:rsidR="00706FE5" w:rsidRPr="006D5382" w:rsidRDefault="00706FE5" w:rsidP="006D5382">
            <w:pPr>
              <w:spacing w:line="360" w:lineRule="auto"/>
            </w:pPr>
            <w:r w:rsidRPr="006D5382">
              <w:t>1</w:t>
            </w:r>
          </w:p>
        </w:tc>
        <w:tc>
          <w:tcPr>
            <w:tcW w:w="221" w:type="pct"/>
            <w:shd w:val="clear" w:color="auto" w:fill="auto"/>
            <w:noWrap/>
            <w:hideMark/>
          </w:tcPr>
          <w:p w14:paraId="085D9A53" w14:textId="77777777" w:rsidR="00706FE5" w:rsidRPr="006D5382" w:rsidRDefault="00706FE5" w:rsidP="006D5382">
            <w:pPr>
              <w:spacing w:line="360" w:lineRule="auto"/>
            </w:pPr>
            <w:r w:rsidRPr="006D5382">
              <w:t>1</w:t>
            </w:r>
          </w:p>
        </w:tc>
        <w:tc>
          <w:tcPr>
            <w:tcW w:w="299" w:type="pct"/>
            <w:shd w:val="clear" w:color="000000" w:fill="00B0F0"/>
            <w:noWrap/>
            <w:hideMark/>
          </w:tcPr>
          <w:p w14:paraId="09F60A05" w14:textId="77777777" w:rsidR="00706FE5" w:rsidRPr="006D5382" w:rsidRDefault="00706FE5" w:rsidP="006D5382">
            <w:pPr>
              <w:spacing w:line="360" w:lineRule="auto"/>
            </w:pPr>
            <w:r w:rsidRPr="006D5382">
              <w:t>3</w:t>
            </w:r>
          </w:p>
        </w:tc>
        <w:tc>
          <w:tcPr>
            <w:tcW w:w="265" w:type="pct"/>
            <w:shd w:val="clear" w:color="auto" w:fill="auto"/>
            <w:noWrap/>
            <w:hideMark/>
          </w:tcPr>
          <w:p w14:paraId="3EEB0735" w14:textId="77777777" w:rsidR="00706FE5" w:rsidRPr="006D5382" w:rsidRDefault="00706FE5" w:rsidP="006D5382">
            <w:pPr>
              <w:spacing w:line="360" w:lineRule="auto"/>
              <w:rPr>
                <w:b/>
                <w:bCs/>
              </w:rPr>
            </w:pPr>
            <w:r w:rsidRPr="006D5382">
              <w:rPr>
                <w:b/>
                <w:bCs/>
              </w:rPr>
              <w:t xml:space="preserve">Good </w:t>
            </w:r>
          </w:p>
        </w:tc>
      </w:tr>
      <w:tr w:rsidR="006D5382" w:rsidRPr="006D5382" w14:paraId="61377B64" w14:textId="77777777" w:rsidTr="00706FE5">
        <w:trPr>
          <w:trHeight w:val="324"/>
        </w:trPr>
        <w:tc>
          <w:tcPr>
            <w:tcW w:w="899" w:type="pct"/>
            <w:shd w:val="clear" w:color="auto" w:fill="auto"/>
            <w:noWrap/>
            <w:hideMark/>
          </w:tcPr>
          <w:p w14:paraId="295FE051" w14:textId="77777777" w:rsidR="00706FE5" w:rsidRPr="006D5382" w:rsidRDefault="00706FE5" w:rsidP="006D5382">
            <w:pPr>
              <w:spacing w:line="360" w:lineRule="auto"/>
            </w:pPr>
            <w:proofErr w:type="spellStart"/>
            <w:r w:rsidRPr="006D5382">
              <w:lastRenderedPageBreak/>
              <w:t>Guzel</w:t>
            </w:r>
            <w:proofErr w:type="spellEnd"/>
            <w:r w:rsidRPr="006D5382">
              <w:t xml:space="preserve"> A, </w:t>
            </w:r>
            <w:r w:rsidRPr="006D5382">
              <w:rPr>
                <w:i/>
              </w:rPr>
              <w:t>2008</w:t>
            </w:r>
            <w:r w:rsidR="00DA1B98" w:rsidRPr="006D5382">
              <w:rPr>
                <w:noProof/>
                <w:vertAlign w:val="superscript"/>
              </w:rPr>
              <w:t>14</w:t>
            </w:r>
          </w:p>
        </w:tc>
        <w:tc>
          <w:tcPr>
            <w:tcW w:w="434" w:type="pct"/>
            <w:shd w:val="clear" w:color="auto" w:fill="auto"/>
            <w:noWrap/>
            <w:hideMark/>
          </w:tcPr>
          <w:p w14:paraId="5E2D57F2" w14:textId="77777777" w:rsidR="00706FE5" w:rsidRPr="006D5382" w:rsidRDefault="00706FE5" w:rsidP="006D5382">
            <w:pPr>
              <w:spacing w:line="360" w:lineRule="auto"/>
            </w:pPr>
            <w:r w:rsidRPr="006D5382">
              <w:t>1</w:t>
            </w:r>
          </w:p>
        </w:tc>
        <w:tc>
          <w:tcPr>
            <w:tcW w:w="985" w:type="pct"/>
            <w:shd w:val="clear" w:color="auto" w:fill="auto"/>
            <w:noWrap/>
            <w:hideMark/>
          </w:tcPr>
          <w:p w14:paraId="0C93B490" w14:textId="77777777" w:rsidR="00706FE5" w:rsidRPr="006D5382" w:rsidRDefault="00706FE5" w:rsidP="006D5382">
            <w:pPr>
              <w:spacing w:line="360" w:lineRule="auto"/>
            </w:pPr>
            <w:r w:rsidRPr="006D5382">
              <w:t>1</w:t>
            </w:r>
          </w:p>
        </w:tc>
        <w:tc>
          <w:tcPr>
            <w:tcW w:w="514" w:type="pct"/>
            <w:shd w:val="clear" w:color="auto" w:fill="auto"/>
            <w:noWrap/>
            <w:hideMark/>
          </w:tcPr>
          <w:p w14:paraId="19829D08" w14:textId="77777777" w:rsidR="00706FE5" w:rsidRPr="006D5382" w:rsidRDefault="00706FE5" w:rsidP="006D5382">
            <w:pPr>
              <w:spacing w:line="360" w:lineRule="auto"/>
            </w:pPr>
            <w:r w:rsidRPr="006D5382">
              <w:t>1</w:t>
            </w:r>
          </w:p>
        </w:tc>
        <w:tc>
          <w:tcPr>
            <w:tcW w:w="297" w:type="pct"/>
            <w:shd w:val="clear" w:color="auto" w:fill="auto"/>
            <w:noWrap/>
            <w:hideMark/>
          </w:tcPr>
          <w:p w14:paraId="42CEEF88" w14:textId="77777777" w:rsidR="00706FE5" w:rsidRPr="006D5382" w:rsidRDefault="00706FE5" w:rsidP="006D5382">
            <w:pPr>
              <w:spacing w:line="360" w:lineRule="auto"/>
            </w:pPr>
            <w:r w:rsidRPr="006D5382">
              <w:t>1</w:t>
            </w:r>
          </w:p>
        </w:tc>
        <w:tc>
          <w:tcPr>
            <w:tcW w:w="321" w:type="pct"/>
            <w:shd w:val="clear" w:color="000000" w:fill="FFFF00"/>
            <w:noWrap/>
            <w:hideMark/>
          </w:tcPr>
          <w:p w14:paraId="17C81404" w14:textId="77777777" w:rsidR="00706FE5" w:rsidRPr="006D5382" w:rsidRDefault="00706FE5" w:rsidP="006D5382">
            <w:pPr>
              <w:spacing w:line="360" w:lineRule="auto"/>
            </w:pPr>
            <w:r w:rsidRPr="006D5382">
              <w:t>4</w:t>
            </w:r>
          </w:p>
        </w:tc>
        <w:tc>
          <w:tcPr>
            <w:tcW w:w="304" w:type="pct"/>
            <w:shd w:val="clear" w:color="000000" w:fill="92D050"/>
            <w:noWrap/>
            <w:hideMark/>
          </w:tcPr>
          <w:p w14:paraId="71B4AE99" w14:textId="77777777" w:rsidR="00706FE5" w:rsidRPr="006D5382" w:rsidRDefault="00706FE5" w:rsidP="006D5382">
            <w:pPr>
              <w:spacing w:line="360" w:lineRule="auto"/>
            </w:pPr>
            <w:r w:rsidRPr="006D5382">
              <w:t>2</w:t>
            </w:r>
          </w:p>
        </w:tc>
        <w:tc>
          <w:tcPr>
            <w:tcW w:w="254" w:type="pct"/>
            <w:shd w:val="clear" w:color="auto" w:fill="auto"/>
            <w:noWrap/>
            <w:hideMark/>
          </w:tcPr>
          <w:p w14:paraId="3B9B18EC" w14:textId="77777777" w:rsidR="00706FE5" w:rsidRPr="006D5382" w:rsidRDefault="00706FE5" w:rsidP="006D5382">
            <w:pPr>
              <w:spacing w:line="360" w:lineRule="auto"/>
            </w:pPr>
            <w:r w:rsidRPr="006D5382">
              <w:t>0</w:t>
            </w:r>
          </w:p>
        </w:tc>
        <w:tc>
          <w:tcPr>
            <w:tcW w:w="210" w:type="pct"/>
            <w:shd w:val="clear" w:color="auto" w:fill="auto"/>
            <w:noWrap/>
            <w:hideMark/>
          </w:tcPr>
          <w:p w14:paraId="4817DA98" w14:textId="77777777" w:rsidR="00706FE5" w:rsidRPr="006D5382" w:rsidRDefault="00706FE5" w:rsidP="006D5382">
            <w:pPr>
              <w:spacing w:line="360" w:lineRule="auto"/>
            </w:pPr>
            <w:r w:rsidRPr="006D5382">
              <w:t>1</w:t>
            </w:r>
          </w:p>
        </w:tc>
        <w:tc>
          <w:tcPr>
            <w:tcW w:w="221" w:type="pct"/>
            <w:shd w:val="clear" w:color="auto" w:fill="auto"/>
            <w:noWrap/>
            <w:hideMark/>
          </w:tcPr>
          <w:p w14:paraId="5629D049" w14:textId="77777777" w:rsidR="00706FE5" w:rsidRPr="006D5382" w:rsidRDefault="00706FE5" w:rsidP="006D5382">
            <w:pPr>
              <w:spacing w:line="360" w:lineRule="auto"/>
            </w:pPr>
            <w:r w:rsidRPr="006D5382">
              <w:t>1</w:t>
            </w:r>
          </w:p>
        </w:tc>
        <w:tc>
          <w:tcPr>
            <w:tcW w:w="299" w:type="pct"/>
            <w:shd w:val="clear" w:color="000000" w:fill="00B0F0"/>
            <w:noWrap/>
            <w:hideMark/>
          </w:tcPr>
          <w:p w14:paraId="1D285CE9" w14:textId="77777777" w:rsidR="00706FE5" w:rsidRPr="006D5382" w:rsidRDefault="00706FE5" w:rsidP="006D5382">
            <w:pPr>
              <w:spacing w:line="360" w:lineRule="auto"/>
            </w:pPr>
            <w:r w:rsidRPr="006D5382">
              <w:t>2</w:t>
            </w:r>
          </w:p>
        </w:tc>
        <w:tc>
          <w:tcPr>
            <w:tcW w:w="265" w:type="pct"/>
            <w:shd w:val="clear" w:color="auto" w:fill="auto"/>
            <w:noWrap/>
            <w:hideMark/>
          </w:tcPr>
          <w:p w14:paraId="308108B3" w14:textId="77777777" w:rsidR="00706FE5" w:rsidRPr="006D5382" w:rsidRDefault="00706FE5" w:rsidP="006D5382">
            <w:pPr>
              <w:spacing w:line="360" w:lineRule="auto"/>
              <w:rPr>
                <w:b/>
                <w:bCs/>
              </w:rPr>
            </w:pPr>
            <w:r w:rsidRPr="006D5382">
              <w:rPr>
                <w:b/>
                <w:bCs/>
              </w:rPr>
              <w:t xml:space="preserve">Good </w:t>
            </w:r>
          </w:p>
        </w:tc>
      </w:tr>
      <w:tr w:rsidR="006D5382" w:rsidRPr="006D5382" w14:paraId="029CB666" w14:textId="77777777" w:rsidTr="00706FE5">
        <w:trPr>
          <w:trHeight w:val="324"/>
        </w:trPr>
        <w:tc>
          <w:tcPr>
            <w:tcW w:w="899" w:type="pct"/>
            <w:shd w:val="clear" w:color="auto" w:fill="auto"/>
            <w:noWrap/>
            <w:hideMark/>
          </w:tcPr>
          <w:p w14:paraId="2885864B" w14:textId="77777777" w:rsidR="00706FE5" w:rsidRPr="006D5382" w:rsidRDefault="00706FE5" w:rsidP="006D5382">
            <w:pPr>
              <w:spacing w:line="360" w:lineRule="auto"/>
            </w:pPr>
            <w:proofErr w:type="spellStart"/>
            <w:r w:rsidRPr="006D5382">
              <w:t>Hatefi</w:t>
            </w:r>
            <w:proofErr w:type="spellEnd"/>
            <w:r w:rsidRPr="006D5382">
              <w:t xml:space="preserve"> M, </w:t>
            </w:r>
            <w:r w:rsidRPr="006D5382">
              <w:rPr>
                <w:i/>
              </w:rPr>
              <w:t>2016</w:t>
            </w:r>
            <w:r w:rsidR="00DA1B98" w:rsidRPr="006D5382">
              <w:rPr>
                <w:noProof/>
                <w:vertAlign w:val="superscript"/>
              </w:rPr>
              <w:t>15</w:t>
            </w:r>
          </w:p>
        </w:tc>
        <w:tc>
          <w:tcPr>
            <w:tcW w:w="434" w:type="pct"/>
            <w:shd w:val="clear" w:color="auto" w:fill="auto"/>
            <w:noWrap/>
            <w:hideMark/>
          </w:tcPr>
          <w:p w14:paraId="257DB25B" w14:textId="77777777" w:rsidR="00706FE5" w:rsidRPr="006D5382" w:rsidRDefault="00706FE5" w:rsidP="006D5382">
            <w:pPr>
              <w:spacing w:line="360" w:lineRule="auto"/>
            </w:pPr>
            <w:r w:rsidRPr="006D5382">
              <w:t>1</w:t>
            </w:r>
          </w:p>
        </w:tc>
        <w:tc>
          <w:tcPr>
            <w:tcW w:w="985" w:type="pct"/>
            <w:shd w:val="clear" w:color="auto" w:fill="auto"/>
            <w:noWrap/>
            <w:hideMark/>
          </w:tcPr>
          <w:p w14:paraId="62300EFE" w14:textId="77777777" w:rsidR="00706FE5" w:rsidRPr="006D5382" w:rsidRDefault="00706FE5" w:rsidP="006D5382">
            <w:pPr>
              <w:spacing w:line="360" w:lineRule="auto"/>
            </w:pPr>
            <w:r w:rsidRPr="006D5382">
              <w:t>1</w:t>
            </w:r>
          </w:p>
        </w:tc>
        <w:tc>
          <w:tcPr>
            <w:tcW w:w="514" w:type="pct"/>
            <w:shd w:val="clear" w:color="auto" w:fill="auto"/>
            <w:noWrap/>
            <w:hideMark/>
          </w:tcPr>
          <w:p w14:paraId="68BC207B" w14:textId="77777777" w:rsidR="00706FE5" w:rsidRPr="006D5382" w:rsidRDefault="00706FE5" w:rsidP="006D5382">
            <w:pPr>
              <w:spacing w:line="360" w:lineRule="auto"/>
            </w:pPr>
            <w:r w:rsidRPr="006D5382">
              <w:t>1</w:t>
            </w:r>
          </w:p>
        </w:tc>
        <w:tc>
          <w:tcPr>
            <w:tcW w:w="297" w:type="pct"/>
            <w:shd w:val="clear" w:color="auto" w:fill="auto"/>
            <w:noWrap/>
            <w:hideMark/>
          </w:tcPr>
          <w:p w14:paraId="1436F257" w14:textId="77777777" w:rsidR="00706FE5" w:rsidRPr="006D5382" w:rsidRDefault="00706FE5" w:rsidP="006D5382">
            <w:pPr>
              <w:spacing w:line="360" w:lineRule="auto"/>
            </w:pPr>
            <w:r w:rsidRPr="006D5382">
              <w:t>0</w:t>
            </w:r>
          </w:p>
        </w:tc>
        <w:tc>
          <w:tcPr>
            <w:tcW w:w="321" w:type="pct"/>
            <w:shd w:val="clear" w:color="000000" w:fill="FFFF00"/>
            <w:noWrap/>
            <w:hideMark/>
          </w:tcPr>
          <w:p w14:paraId="1AFBBD6A" w14:textId="77777777" w:rsidR="00706FE5" w:rsidRPr="006D5382" w:rsidRDefault="00706FE5" w:rsidP="006D5382">
            <w:pPr>
              <w:spacing w:line="360" w:lineRule="auto"/>
            </w:pPr>
            <w:r w:rsidRPr="006D5382">
              <w:t>3</w:t>
            </w:r>
          </w:p>
        </w:tc>
        <w:tc>
          <w:tcPr>
            <w:tcW w:w="304" w:type="pct"/>
            <w:shd w:val="clear" w:color="000000" w:fill="92D050"/>
            <w:noWrap/>
            <w:hideMark/>
          </w:tcPr>
          <w:p w14:paraId="469E3BC3" w14:textId="77777777" w:rsidR="00706FE5" w:rsidRPr="006D5382" w:rsidRDefault="00706FE5" w:rsidP="006D5382">
            <w:pPr>
              <w:spacing w:line="360" w:lineRule="auto"/>
            </w:pPr>
            <w:r w:rsidRPr="006D5382">
              <w:t>1</w:t>
            </w:r>
          </w:p>
        </w:tc>
        <w:tc>
          <w:tcPr>
            <w:tcW w:w="254" w:type="pct"/>
            <w:shd w:val="clear" w:color="auto" w:fill="auto"/>
            <w:noWrap/>
            <w:hideMark/>
          </w:tcPr>
          <w:p w14:paraId="3F6780C8" w14:textId="77777777" w:rsidR="00706FE5" w:rsidRPr="006D5382" w:rsidRDefault="00706FE5" w:rsidP="006D5382">
            <w:pPr>
              <w:spacing w:line="360" w:lineRule="auto"/>
            </w:pPr>
            <w:r w:rsidRPr="006D5382">
              <w:t>0</w:t>
            </w:r>
          </w:p>
        </w:tc>
        <w:tc>
          <w:tcPr>
            <w:tcW w:w="210" w:type="pct"/>
            <w:shd w:val="clear" w:color="auto" w:fill="auto"/>
            <w:noWrap/>
            <w:hideMark/>
          </w:tcPr>
          <w:p w14:paraId="00C44370" w14:textId="77777777" w:rsidR="00706FE5" w:rsidRPr="006D5382" w:rsidRDefault="00706FE5" w:rsidP="006D5382">
            <w:pPr>
              <w:spacing w:line="360" w:lineRule="auto"/>
            </w:pPr>
            <w:r w:rsidRPr="006D5382">
              <w:t>1</w:t>
            </w:r>
          </w:p>
        </w:tc>
        <w:tc>
          <w:tcPr>
            <w:tcW w:w="221" w:type="pct"/>
            <w:shd w:val="clear" w:color="auto" w:fill="auto"/>
            <w:noWrap/>
            <w:hideMark/>
          </w:tcPr>
          <w:p w14:paraId="045BDDCF" w14:textId="77777777" w:rsidR="00706FE5" w:rsidRPr="006D5382" w:rsidRDefault="00706FE5" w:rsidP="006D5382">
            <w:pPr>
              <w:spacing w:line="360" w:lineRule="auto"/>
            </w:pPr>
            <w:r w:rsidRPr="006D5382">
              <w:t>1</w:t>
            </w:r>
          </w:p>
        </w:tc>
        <w:tc>
          <w:tcPr>
            <w:tcW w:w="299" w:type="pct"/>
            <w:shd w:val="clear" w:color="000000" w:fill="00B0F0"/>
            <w:noWrap/>
            <w:hideMark/>
          </w:tcPr>
          <w:p w14:paraId="5358F191" w14:textId="77777777" w:rsidR="00706FE5" w:rsidRPr="006D5382" w:rsidRDefault="00706FE5" w:rsidP="006D5382">
            <w:pPr>
              <w:spacing w:line="360" w:lineRule="auto"/>
            </w:pPr>
            <w:r w:rsidRPr="006D5382">
              <w:t>2</w:t>
            </w:r>
          </w:p>
        </w:tc>
        <w:tc>
          <w:tcPr>
            <w:tcW w:w="265" w:type="pct"/>
            <w:shd w:val="clear" w:color="auto" w:fill="auto"/>
            <w:noWrap/>
            <w:hideMark/>
          </w:tcPr>
          <w:p w14:paraId="163822D3" w14:textId="77777777" w:rsidR="00706FE5" w:rsidRPr="006D5382" w:rsidRDefault="00706FE5" w:rsidP="006D5382">
            <w:pPr>
              <w:spacing w:line="360" w:lineRule="auto"/>
              <w:rPr>
                <w:b/>
                <w:bCs/>
              </w:rPr>
            </w:pPr>
            <w:r w:rsidRPr="006D5382">
              <w:rPr>
                <w:b/>
                <w:bCs/>
              </w:rPr>
              <w:t xml:space="preserve">Good </w:t>
            </w:r>
          </w:p>
        </w:tc>
      </w:tr>
      <w:tr w:rsidR="006D5382" w:rsidRPr="006D5382" w14:paraId="4BF557DD" w14:textId="77777777" w:rsidTr="00706FE5">
        <w:trPr>
          <w:trHeight w:val="324"/>
        </w:trPr>
        <w:tc>
          <w:tcPr>
            <w:tcW w:w="899" w:type="pct"/>
            <w:shd w:val="clear" w:color="auto" w:fill="auto"/>
            <w:noWrap/>
            <w:hideMark/>
          </w:tcPr>
          <w:p w14:paraId="510E0DF1" w14:textId="77777777" w:rsidR="00706FE5" w:rsidRPr="006D5382" w:rsidRDefault="00706FE5" w:rsidP="006D5382">
            <w:pPr>
              <w:spacing w:line="360" w:lineRule="auto"/>
            </w:pPr>
            <w:proofErr w:type="spellStart"/>
            <w:r w:rsidRPr="006D5382">
              <w:t>Heidari</w:t>
            </w:r>
            <w:proofErr w:type="spellEnd"/>
            <w:r w:rsidRPr="006D5382">
              <w:t xml:space="preserve"> K, </w:t>
            </w:r>
            <w:r w:rsidRPr="006D5382">
              <w:rPr>
                <w:i/>
              </w:rPr>
              <w:t>2015</w:t>
            </w:r>
            <w:r w:rsidR="00DA1B98" w:rsidRPr="006D5382">
              <w:rPr>
                <w:noProof/>
                <w:vertAlign w:val="superscript"/>
              </w:rPr>
              <w:t>16</w:t>
            </w:r>
          </w:p>
        </w:tc>
        <w:tc>
          <w:tcPr>
            <w:tcW w:w="434" w:type="pct"/>
            <w:shd w:val="clear" w:color="auto" w:fill="auto"/>
            <w:noWrap/>
            <w:hideMark/>
          </w:tcPr>
          <w:p w14:paraId="2339BACF" w14:textId="77777777" w:rsidR="00706FE5" w:rsidRPr="006D5382" w:rsidRDefault="00706FE5" w:rsidP="006D5382">
            <w:pPr>
              <w:spacing w:line="360" w:lineRule="auto"/>
            </w:pPr>
            <w:r w:rsidRPr="006D5382">
              <w:t>1</w:t>
            </w:r>
          </w:p>
        </w:tc>
        <w:tc>
          <w:tcPr>
            <w:tcW w:w="985" w:type="pct"/>
            <w:shd w:val="clear" w:color="auto" w:fill="auto"/>
            <w:noWrap/>
            <w:hideMark/>
          </w:tcPr>
          <w:p w14:paraId="78C06306" w14:textId="77777777" w:rsidR="00706FE5" w:rsidRPr="006D5382" w:rsidRDefault="00706FE5" w:rsidP="006D5382">
            <w:pPr>
              <w:spacing w:line="360" w:lineRule="auto"/>
            </w:pPr>
            <w:r w:rsidRPr="006D5382">
              <w:t>1</w:t>
            </w:r>
          </w:p>
        </w:tc>
        <w:tc>
          <w:tcPr>
            <w:tcW w:w="514" w:type="pct"/>
            <w:shd w:val="clear" w:color="auto" w:fill="auto"/>
            <w:noWrap/>
            <w:hideMark/>
          </w:tcPr>
          <w:p w14:paraId="07A3D67E" w14:textId="77777777" w:rsidR="00706FE5" w:rsidRPr="006D5382" w:rsidRDefault="00706FE5" w:rsidP="006D5382">
            <w:pPr>
              <w:spacing w:line="360" w:lineRule="auto"/>
            </w:pPr>
            <w:r w:rsidRPr="006D5382">
              <w:t>1</w:t>
            </w:r>
          </w:p>
        </w:tc>
        <w:tc>
          <w:tcPr>
            <w:tcW w:w="297" w:type="pct"/>
            <w:shd w:val="clear" w:color="auto" w:fill="auto"/>
            <w:noWrap/>
            <w:hideMark/>
          </w:tcPr>
          <w:p w14:paraId="3368563F" w14:textId="77777777" w:rsidR="00706FE5" w:rsidRPr="006D5382" w:rsidRDefault="00706FE5" w:rsidP="006D5382">
            <w:pPr>
              <w:spacing w:line="360" w:lineRule="auto"/>
            </w:pPr>
            <w:r w:rsidRPr="006D5382">
              <w:t>1</w:t>
            </w:r>
          </w:p>
        </w:tc>
        <w:tc>
          <w:tcPr>
            <w:tcW w:w="321" w:type="pct"/>
            <w:shd w:val="clear" w:color="000000" w:fill="FFFF00"/>
            <w:noWrap/>
            <w:hideMark/>
          </w:tcPr>
          <w:p w14:paraId="44C18AC0" w14:textId="77777777" w:rsidR="00706FE5" w:rsidRPr="006D5382" w:rsidRDefault="00706FE5" w:rsidP="006D5382">
            <w:pPr>
              <w:spacing w:line="360" w:lineRule="auto"/>
            </w:pPr>
            <w:r w:rsidRPr="006D5382">
              <w:t>4</w:t>
            </w:r>
          </w:p>
        </w:tc>
        <w:tc>
          <w:tcPr>
            <w:tcW w:w="304" w:type="pct"/>
            <w:shd w:val="clear" w:color="000000" w:fill="92D050"/>
            <w:noWrap/>
            <w:hideMark/>
          </w:tcPr>
          <w:p w14:paraId="4FF4B5C0" w14:textId="77777777" w:rsidR="00706FE5" w:rsidRPr="006D5382" w:rsidRDefault="00706FE5" w:rsidP="006D5382">
            <w:pPr>
              <w:spacing w:line="360" w:lineRule="auto"/>
            </w:pPr>
            <w:r w:rsidRPr="006D5382">
              <w:t>2</w:t>
            </w:r>
          </w:p>
        </w:tc>
        <w:tc>
          <w:tcPr>
            <w:tcW w:w="254" w:type="pct"/>
            <w:shd w:val="clear" w:color="auto" w:fill="auto"/>
            <w:noWrap/>
            <w:hideMark/>
          </w:tcPr>
          <w:p w14:paraId="79ED63F5" w14:textId="77777777" w:rsidR="00706FE5" w:rsidRPr="006D5382" w:rsidRDefault="00706FE5" w:rsidP="006D5382">
            <w:pPr>
              <w:spacing w:line="360" w:lineRule="auto"/>
            </w:pPr>
            <w:r w:rsidRPr="006D5382">
              <w:t>0</w:t>
            </w:r>
          </w:p>
        </w:tc>
        <w:tc>
          <w:tcPr>
            <w:tcW w:w="210" w:type="pct"/>
            <w:shd w:val="clear" w:color="auto" w:fill="auto"/>
            <w:noWrap/>
            <w:hideMark/>
          </w:tcPr>
          <w:p w14:paraId="2320ACB6" w14:textId="77777777" w:rsidR="00706FE5" w:rsidRPr="006D5382" w:rsidRDefault="00706FE5" w:rsidP="006D5382">
            <w:pPr>
              <w:spacing w:line="360" w:lineRule="auto"/>
            </w:pPr>
            <w:r w:rsidRPr="006D5382">
              <w:t>1</w:t>
            </w:r>
          </w:p>
        </w:tc>
        <w:tc>
          <w:tcPr>
            <w:tcW w:w="221" w:type="pct"/>
            <w:shd w:val="clear" w:color="auto" w:fill="auto"/>
            <w:noWrap/>
            <w:hideMark/>
          </w:tcPr>
          <w:p w14:paraId="378E7B97" w14:textId="77777777" w:rsidR="00706FE5" w:rsidRPr="006D5382" w:rsidRDefault="00706FE5" w:rsidP="006D5382">
            <w:pPr>
              <w:spacing w:line="360" w:lineRule="auto"/>
            </w:pPr>
            <w:r w:rsidRPr="006D5382">
              <w:t>1</w:t>
            </w:r>
          </w:p>
        </w:tc>
        <w:tc>
          <w:tcPr>
            <w:tcW w:w="299" w:type="pct"/>
            <w:shd w:val="clear" w:color="000000" w:fill="00B0F0"/>
            <w:noWrap/>
            <w:hideMark/>
          </w:tcPr>
          <w:p w14:paraId="70280F8B" w14:textId="77777777" w:rsidR="00706FE5" w:rsidRPr="006D5382" w:rsidRDefault="00706FE5" w:rsidP="006D5382">
            <w:pPr>
              <w:spacing w:line="360" w:lineRule="auto"/>
            </w:pPr>
            <w:r w:rsidRPr="006D5382">
              <w:t>2</w:t>
            </w:r>
          </w:p>
        </w:tc>
        <w:tc>
          <w:tcPr>
            <w:tcW w:w="265" w:type="pct"/>
            <w:shd w:val="clear" w:color="auto" w:fill="auto"/>
            <w:noWrap/>
            <w:hideMark/>
          </w:tcPr>
          <w:p w14:paraId="4BE93078" w14:textId="77777777" w:rsidR="00706FE5" w:rsidRPr="006D5382" w:rsidRDefault="00706FE5" w:rsidP="006D5382">
            <w:pPr>
              <w:spacing w:line="360" w:lineRule="auto"/>
              <w:rPr>
                <w:b/>
                <w:bCs/>
              </w:rPr>
            </w:pPr>
            <w:r w:rsidRPr="006D5382">
              <w:rPr>
                <w:b/>
                <w:bCs/>
              </w:rPr>
              <w:t xml:space="preserve">Good </w:t>
            </w:r>
          </w:p>
        </w:tc>
      </w:tr>
      <w:tr w:rsidR="006D5382" w:rsidRPr="006D5382" w14:paraId="47C11F45" w14:textId="77777777" w:rsidTr="00706FE5">
        <w:trPr>
          <w:trHeight w:val="324"/>
        </w:trPr>
        <w:tc>
          <w:tcPr>
            <w:tcW w:w="899" w:type="pct"/>
            <w:shd w:val="clear" w:color="auto" w:fill="auto"/>
            <w:noWrap/>
            <w:vAlign w:val="center"/>
            <w:hideMark/>
          </w:tcPr>
          <w:p w14:paraId="1E38A52F" w14:textId="77777777" w:rsidR="00706FE5" w:rsidRPr="006D5382" w:rsidRDefault="00706FE5" w:rsidP="006D5382">
            <w:pPr>
              <w:spacing w:line="360" w:lineRule="auto"/>
            </w:pPr>
            <w:r w:rsidRPr="006D5382">
              <w:t xml:space="preserve">Herrmann M, </w:t>
            </w:r>
            <w:r w:rsidRPr="006D5382">
              <w:rPr>
                <w:i/>
              </w:rPr>
              <w:t>2000</w:t>
            </w:r>
            <w:r w:rsidR="00DA1B98" w:rsidRPr="006D5382">
              <w:rPr>
                <w:noProof/>
                <w:vertAlign w:val="superscript"/>
              </w:rPr>
              <w:t>17</w:t>
            </w:r>
          </w:p>
        </w:tc>
        <w:tc>
          <w:tcPr>
            <w:tcW w:w="434" w:type="pct"/>
            <w:shd w:val="clear" w:color="auto" w:fill="auto"/>
            <w:noWrap/>
            <w:hideMark/>
          </w:tcPr>
          <w:p w14:paraId="7E25C520" w14:textId="77777777" w:rsidR="00706FE5" w:rsidRPr="006D5382" w:rsidRDefault="00706FE5" w:rsidP="006D5382">
            <w:pPr>
              <w:spacing w:line="360" w:lineRule="auto"/>
            </w:pPr>
            <w:r w:rsidRPr="006D5382">
              <w:t>1</w:t>
            </w:r>
          </w:p>
        </w:tc>
        <w:tc>
          <w:tcPr>
            <w:tcW w:w="985" w:type="pct"/>
            <w:shd w:val="clear" w:color="auto" w:fill="auto"/>
            <w:noWrap/>
            <w:hideMark/>
          </w:tcPr>
          <w:p w14:paraId="0A0860A7" w14:textId="77777777" w:rsidR="00706FE5" w:rsidRPr="006D5382" w:rsidRDefault="00706FE5" w:rsidP="006D5382">
            <w:pPr>
              <w:spacing w:line="360" w:lineRule="auto"/>
            </w:pPr>
            <w:r w:rsidRPr="006D5382">
              <w:t>1</w:t>
            </w:r>
          </w:p>
        </w:tc>
        <w:tc>
          <w:tcPr>
            <w:tcW w:w="514" w:type="pct"/>
            <w:shd w:val="clear" w:color="auto" w:fill="auto"/>
            <w:noWrap/>
            <w:hideMark/>
          </w:tcPr>
          <w:p w14:paraId="7E709C3D" w14:textId="77777777" w:rsidR="00706FE5" w:rsidRPr="006D5382" w:rsidRDefault="00706FE5" w:rsidP="006D5382">
            <w:pPr>
              <w:spacing w:line="360" w:lineRule="auto"/>
            </w:pPr>
            <w:r w:rsidRPr="006D5382">
              <w:t>1</w:t>
            </w:r>
          </w:p>
        </w:tc>
        <w:tc>
          <w:tcPr>
            <w:tcW w:w="297" w:type="pct"/>
            <w:shd w:val="clear" w:color="auto" w:fill="auto"/>
            <w:noWrap/>
            <w:hideMark/>
          </w:tcPr>
          <w:p w14:paraId="4126CB7E" w14:textId="77777777" w:rsidR="00706FE5" w:rsidRPr="006D5382" w:rsidRDefault="00706FE5" w:rsidP="006D5382">
            <w:pPr>
              <w:spacing w:line="360" w:lineRule="auto"/>
            </w:pPr>
            <w:r w:rsidRPr="006D5382">
              <w:t>0</w:t>
            </w:r>
          </w:p>
        </w:tc>
        <w:tc>
          <w:tcPr>
            <w:tcW w:w="321" w:type="pct"/>
            <w:shd w:val="clear" w:color="000000" w:fill="FFFF00"/>
            <w:noWrap/>
            <w:hideMark/>
          </w:tcPr>
          <w:p w14:paraId="08597A04" w14:textId="77777777" w:rsidR="00706FE5" w:rsidRPr="006D5382" w:rsidRDefault="00706FE5" w:rsidP="006D5382">
            <w:pPr>
              <w:spacing w:line="360" w:lineRule="auto"/>
            </w:pPr>
            <w:r w:rsidRPr="006D5382">
              <w:t>3</w:t>
            </w:r>
          </w:p>
        </w:tc>
        <w:tc>
          <w:tcPr>
            <w:tcW w:w="304" w:type="pct"/>
            <w:shd w:val="clear" w:color="000000" w:fill="92D050"/>
            <w:noWrap/>
            <w:hideMark/>
          </w:tcPr>
          <w:p w14:paraId="6BAAABBD" w14:textId="77777777" w:rsidR="00706FE5" w:rsidRPr="006D5382" w:rsidRDefault="00706FE5" w:rsidP="006D5382">
            <w:pPr>
              <w:spacing w:line="360" w:lineRule="auto"/>
            </w:pPr>
            <w:r w:rsidRPr="006D5382">
              <w:t>1</w:t>
            </w:r>
          </w:p>
        </w:tc>
        <w:tc>
          <w:tcPr>
            <w:tcW w:w="254" w:type="pct"/>
            <w:shd w:val="clear" w:color="auto" w:fill="auto"/>
            <w:noWrap/>
            <w:hideMark/>
          </w:tcPr>
          <w:p w14:paraId="0D8B6C05" w14:textId="77777777" w:rsidR="00706FE5" w:rsidRPr="006D5382" w:rsidRDefault="00706FE5" w:rsidP="006D5382">
            <w:pPr>
              <w:spacing w:line="360" w:lineRule="auto"/>
            </w:pPr>
            <w:r w:rsidRPr="006D5382">
              <w:t>1</w:t>
            </w:r>
          </w:p>
        </w:tc>
        <w:tc>
          <w:tcPr>
            <w:tcW w:w="210" w:type="pct"/>
            <w:shd w:val="clear" w:color="auto" w:fill="auto"/>
            <w:noWrap/>
            <w:hideMark/>
          </w:tcPr>
          <w:p w14:paraId="38BBC71F" w14:textId="77777777" w:rsidR="00706FE5" w:rsidRPr="006D5382" w:rsidRDefault="00706FE5" w:rsidP="006D5382">
            <w:pPr>
              <w:spacing w:line="360" w:lineRule="auto"/>
            </w:pPr>
            <w:r w:rsidRPr="006D5382">
              <w:t>1</w:t>
            </w:r>
          </w:p>
        </w:tc>
        <w:tc>
          <w:tcPr>
            <w:tcW w:w="221" w:type="pct"/>
            <w:shd w:val="clear" w:color="auto" w:fill="auto"/>
            <w:noWrap/>
            <w:hideMark/>
          </w:tcPr>
          <w:p w14:paraId="16D2B8CC" w14:textId="77777777" w:rsidR="00706FE5" w:rsidRPr="006D5382" w:rsidRDefault="00706FE5" w:rsidP="006D5382">
            <w:pPr>
              <w:spacing w:line="360" w:lineRule="auto"/>
            </w:pPr>
            <w:r w:rsidRPr="006D5382">
              <w:t>1</w:t>
            </w:r>
          </w:p>
        </w:tc>
        <w:tc>
          <w:tcPr>
            <w:tcW w:w="299" w:type="pct"/>
            <w:shd w:val="clear" w:color="000000" w:fill="00B0F0"/>
            <w:noWrap/>
            <w:hideMark/>
          </w:tcPr>
          <w:p w14:paraId="2D0816FE" w14:textId="77777777" w:rsidR="00706FE5" w:rsidRPr="006D5382" w:rsidRDefault="00706FE5" w:rsidP="006D5382">
            <w:pPr>
              <w:spacing w:line="360" w:lineRule="auto"/>
            </w:pPr>
            <w:r w:rsidRPr="006D5382">
              <w:t>3</w:t>
            </w:r>
          </w:p>
        </w:tc>
        <w:tc>
          <w:tcPr>
            <w:tcW w:w="265" w:type="pct"/>
            <w:shd w:val="clear" w:color="auto" w:fill="auto"/>
            <w:noWrap/>
            <w:hideMark/>
          </w:tcPr>
          <w:p w14:paraId="2A66E08C" w14:textId="77777777" w:rsidR="00706FE5" w:rsidRPr="006D5382" w:rsidRDefault="00706FE5" w:rsidP="006D5382">
            <w:pPr>
              <w:spacing w:line="360" w:lineRule="auto"/>
              <w:rPr>
                <w:b/>
                <w:bCs/>
              </w:rPr>
            </w:pPr>
            <w:r w:rsidRPr="006D5382">
              <w:rPr>
                <w:b/>
                <w:bCs/>
              </w:rPr>
              <w:t xml:space="preserve">Good </w:t>
            </w:r>
          </w:p>
        </w:tc>
      </w:tr>
      <w:tr w:rsidR="006D5382" w:rsidRPr="006D5382" w14:paraId="56C4352E" w14:textId="77777777" w:rsidTr="00706FE5">
        <w:trPr>
          <w:trHeight w:val="324"/>
        </w:trPr>
        <w:tc>
          <w:tcPr>
            <w:tcW w:w="899" w:type="pct"/>
            <w:shd w:val="clear" w:color="auto" w:fill="auto"/>
            <w:noWrap/>
            <w:hideMark/>
          </w:tcPr>
          <w:p w14:paraId="56D96DAF" w14:textId="77777777" w:rsidR="00706FE5" w:rsidRPr="006D5382" w:rsidRDefault="00706FE5" w:rsidP="006D5382">
            <w:pPr>
              <w:spacing w:line="360" w:lineRule="auto"/>
            </w:pPr>
            <w:r w:rsidRPr="006D5382">
              <w:t xml:space="preserve">Ingebrigtsen T, </w:t>
            </w:r>
            <w:r w:rsidRPr="006D5382">
              <w:rPr>
                <w:i/>
              </w:rPr>
              <w:t>1999</w:t>
            </w:r>
            <w:r w:rsidRPr="006D5382">
              <w:t xml:space="preserve"> (b)</w:t>
            </w:r>
            <w:r w:rsidR="00DA1B98" w:rsidRPr="006D5382">
              <w:rPr>
                <w:noProof/>
                <w:vertAlign w:val="superscript"/>
              </w:rPr>
              <w:t>18</w:t>
            </w:r>
          </w:p>
        </w:tc>
        <w:tc>
          <w:tcPr>
            <w:tcW w:w="434" w:type="pct"/>
            <w:shd w:val="clear" w:color="auto" w:fill="auto"/>
            <w:noWrap/>
            <w:hideMark/>
          </w:tcPr>
          <w:p w14:paraId="6E51C7AF" w14:textId="77777777" w:rsidR="00706FE5" w:rsidRPr="006D5382" w:rsidRDefault="00706FE5" w:rsidP="006D5382">
            <w:pPr>
              <w:spacing w:line="360" w:lineRule="auto"/>
            </w:pPr>
            <w:r w:rsidRPr="006D5382">
              <w:t>0</w:t>
            </w:r>
          </w:p>
        </w:tc>
        <w:tc>
          <w:tcPr>
            <w:tcW w:w="985" w:type="pct"/>
            <w:shd w:val="clear" w:color="auto" w:fill="auto"/>
            <w:noWrap/>
            <w:hideMark/>
          </w:tcPr>
          <w:p w14:paraId="5266811B" w14:textId="77777777" w:rsidR="00706FE5" w:rsidRPr="006D5382" w:rsidRDefault="00706FE5" w:rsidP="006D5382">
            <w:pPr>
              <w:spacing w:line="360" w:lineRule="auto"/>
            </w:pPr>
            <w:r w:rsidRPr="006D5382">
              <w:t>1</w:t>
            </w:r>
          </w:p>
        </w:tc>
        <w:tc>
          <w:tcPr>
            <w:tcW w:w="514" w:type="pct"/>
            <w:shd w:val="clear" w:color="auto" w:fill="auto"/>
            <w:noWrap/>
            <w:hideMark/>
          </w:tcPr>
          <w:p w14:paraId="4173BE74" w14:textId="77777777" w:rsidR="00706FE5" w:rsidRPr="006D5382" w:rsidRDefault="00706FE5" w:rsidP="006D5382">
            <w:pPr>
              <w:spacing w:line="360" w:lineRule="auto"/>
            </w:pPr>
            <w:r w:rsidRPr="006D5382">
              <w:t>1</w:t>
            </w:r>
          </w:p>
        </w:tc>
        <w:tc>
          <w:tcPr>
            <w:tcW w:w="297" w:type="pct"/>
            <w:shd w:val="clear" w:color="auto" w:fill="auto"/>
            <w:noWrap/>
            <w:hideMark/>
          </w:tcPr>
          <w:p w14:paraId="105E3339" w14:textId="77777777" w:rsidR="00706FE5" w:rsidRPr="006D5382" w:rsidRDefault="00706FE5" w:rsidP="006D5382">
            <w:pPr>
              <w:spacing w:line="360" w:lineRule="auto"/>
            </w:pPr>
            <w:r w:rsidRPr="006D5382">
              <w:t>0</w:t>
            </w:r>
          </w:p>
        </w:tc>
        <w:tc>
          <w:tcPr>
            <w:tcW w:w="321" w:type="pct"/>
            <w:shd w:val="clear" w:color="000000" w:fill="FFFF00"/>
            <w:noWrap/>
            <w:hideMark/>
          </w:tcPr>
          <w:p w14:paraId="08DFC556" w14:textId="77777777" w:rsidR="00706FE5" w:rsidRPr="006D5382" w:rsidRDefault="00706FE5" w:rsidP="006D5382">
            <w:pPr>
              <w:spacing w:line="360" w:lineRule="auto"/>
            </w:pPr>
            <w:r w:rsidRPr="006D5382">
              <w:t>2</w:t>
            </w:r>
          </w:p>
        </w:tc>
        <w:tc>
          <w:tcPr>
            <w:tcW w:w="304" w:type="pct"/>
            <w:shd w:val="clear" w:color="000000" w:fill="92D050"/>
            <w:noWrap/>
            <w:hideMark/>
          </w:tcPr>
          <w:p w14:paraId="0BA22D7E" w14:textId="77777777" w:rsidR="00706FE5" w:rsidRPr="006D5382" w:rsidRDefault="00706FE5" w:rsidP="006D5382">
            <w:pPr>
              <w:spacing w:line="360" w:lineRule="auto"/>
            </w:pPr>
            <w:r w:rsidRPr="006D5382">
              <w:t>2</w:t>
            </w:r>
          </w:p>
        </w:tc>
        <w:tc>
          <w:tcPr>
            <w:tcW w:w="254" w:type="pct"/>
            <w:shd w:val="clear" w:color="auto" w:fill="auto"/>
            <w:noWrap/>
            <w:hideMark/>
          </w:tcPr>
          <w:p w14:paraId="67B7E58E" w14:textId="77777777" w:rsidR="00706FE5" w:rsidRPr="006D5382" w:rsidRDefault="00706FE5" w:rsidP="006D5382">
            <w:pPr>
              <w:spacing w:line="360" w:lineRule="auto"/>
            </w:pPr>
            <w:r w:rsidRPr="006D5382">
              <w:t>1</w:t>
            </w:r>
          </w:p>
        </w:tc>
        <w:tc>
          <w:tcPr>
            <w:tcW w:w="210" w:type="pct"/>
            <w:shd w:val="clear" w:color="auto" w:fill="auto"/>
            <w:noWrap/>
            <w:hideMark/>
          </w:tcPr>
          <w:p w14:paraId="14EE6DED" w14:textId="77777777" w:rsidR="00706FE5" w:rsidRPr="006D5382" w:rsidRDefault="00706FE5" w:rsidP="006D5382">
            <w:pPr>
              <w:spacing w:line="360" w:lineRule="auto"/>
            </w:pPr>
            <w:r w:rsidRPr="006D5382">
              <w:t>1</w:t>
            </w:r>
          </w:p>
        </w:tc>
        <w:tc>
          <w:tcPr>
            <w:tcW w:w="221" w:type="pct"/>
            <w:shd w:val="clear" w:color="auto" w:fill="auto"/>
            <w:noWrap/>
            <w:hideMark/>
          </w:tcPr>
          <w:p w14:paraId="19FBE1CF" w14:textId="77777777" w:rsidR="00706FE5" w:rsidRPr="006D5382" w:rsidRDefault="00706FE5" w:rsidP="006D5382">
            <w:pPr>
              <w:spacing w:line="360" w:lineRule="auto"/>
            </w:pPr>
            <w:r w:rsidRPr="006D5382">
              <w:t>0</w:t>
            </w:r>
          </w:p>
        </w:tc>
        <w:tc>
          <w:tcPr>
            <w:tcW w:w="299" w:type="pct"/>
            <w:shd w:val="clear" w:color="000000" w:fill="00B0F0"/>
            <w:noWrap/>
            <w:hideMark/>
          </w:tcPr>
          <w:p w14:paraId="6F128B54" w14:textId="77777777" w:rsidR="00706FE5" w:rsidRPr="006D5382" w:rsidRDefault="00706FE5" w:rsidP="006D5382">
            <w:pPr>
              <w:spacing w:line="360" w:lineRule="auto"/>
            </w:pPr>
            <w:r w:rsidRPr="006D5382">
              <w:t>2</w:t>
            </w:r>
          </w:p>
        </w:tc>
        <w:tc>
          <w:tcPr>
            <w:tcW w:w="265" w:type="pct"/>
            <w:shd w:val="clear" w:color="auto" w:fill="auto"/>
            <w:noWrap/>
            <w:hideMark/>
          </w:tcPr>
          <w:p w14:paraId="3577FA25" w14:textId="77777777" w:rsidR="00706FE5" w:rsidRPr="006D5382" w:rsidRDefault="00706FE5" w:rsidP="006D5382">
            <w:pPr>
              <w:spacing w:line="360" w:lineRule="auto"/>
              <w:rPr>
                <w:b/>
                <w:bCs/>
              </w:rPr>
            </w:pPr>
            <w:r w:rsidRPr="006D5382">
              <w:rPr>
                <w:b/>
                <w:bCs/>
              </w:rPr>
              <w:t xml:space="preserve">Fair </w:t>
            </w:r>
          </w:p>
        </w:tc>
      </w:tr>
      <w:tr w:rsidR="006D5382" w:rsidRPr="006D5382" w14:paraId="139E55C5" w14:textId="77777777" w:rsidTr="00706FE5">
        <w:trPr>
          <w:trHeight w:val="324"/>
        </w:trPr>
        <w:tc>
          <w:tcPr>
            <w:tcW w:w="899" w:type="pct"/>
            <w:shd w:val="clear" w:color="auto" w:fill="auto"/>
            <w:noWrap/>
            <w:hideMark/>
          </w:tcPr>
          <w:p w14:paraId="40391A73" w14:textId="77777777" w:rsidR="00706FE5" w:rsidRPr="006D5382" w:rsidRDefault="00706FE5" w:rsidP="006D5382">
            <w:pPr>
              <w:spacing w:line="360" w:lineRule="auto"/>
            </w:pPr>
            <w:r w:rsidRPr="006D5382">
              <w:t xml:space="preserve">Kelmendi FM, </w:t>
            </w:r>
            <w:r w:rsidRPr="006D5382">
              <w:rPr>
                <w:i/>
              </w:rPr>
              <w:t>2018</w:t>
            </w:r>
            <w:r w:rsidR="00DA1B98" w:rsidRPr="006D5382">
              <w:rPr>
                <w:noProof/>
                <w:vertAlign w:val="superscript"/>
              </w:rPr>
              <w:t>19</w:t>
            </w:r>
          </w:p>
        </w:tc>
        <w:tc>
          <w:tcPr>
            <w:tcW w:w="434" w:type="pct"/>
            <w:shd w:val="clear" w:color="auto" w:fill="auto"/>
            <w:noWrap/>
            <w:hideMark/>
          </w:tcPr>
          <w:p w14:paraId="69B88777" w14:textId="77777777" w:rsidR="00706FE5" w:rsidRPr="006D5382" w:rsidRDefault="00706FE5" w:rsidP="006D5382">
            <w:pPr>
              <w:spacing w:line="360" w:lineRule="auto"/>
            </w:pPr>
            <w:r w:rsidRPr="006D5382">
              <w:t>0</w:t>
            </w:r>
          </w:p>
        </w:tc>
        <w:tc>
          <w:tcPr>
            <w:tcW w:w="985" w:type="pct"/>
            <w:shd w:val="clear" w:color="auto" w:fill="auto"/>
            <w:noWrap/>
            <w:hideMark/>
          </w:tcPr>
          <w:p w14:paraId="6731CA54" w14:textId="77777777" w:rsidR="00706FE5" w:rsidRPr="006D5382" w:rsidRDefault="00706FE5" w:rsidP="006D5382">
            <w:pPr>
              <w:spacing w:line="360" w:lineRule="auto"/>
            </w:pPr>
            <w:r w:rsidRPr="006D5382">
              <w:t>1</w:t>
            </w:r>
          </w:p>
        </w:tc>
        <w:tc>
          <w:tcPr>
            <w:tcW w:w="514" w:type="pct"/>
            <w:shd w:val="clear" w:color="auto" w:fill="auto"/>
            <w:noWrap/>
            <w:hideMark/>
          </w:tcPr>
          <w:p w14:paraId="7C2BDA25" w14:textId="77777777" w:rsidR="00706FE5" w:rsidRPr="006D5382" w:rsidRDefault="00706FE5" w:rsidP="006D5382">
            <w:pPr>
              <w:spacing w:line="360" w:lineRule="auto"/>
            </w:pPr>
            <w:r w:rsidRPr="006D5382">
              <w:t>1</w:t>
            </w:r>
          </w:p>
        </w:tc>
        <w:tc>
          <w:tcPr>
            <w:tcW w:w="297" w:type="pct"/>
            <w:shd w:val="clear" w:color="auto" w:fill="auto"/>
            <w:noWrap/>
            <w:hideMark/>
          </w:tcPr>
          <w:p w14:paraId="395CB148" w14:textId="77777777" w:rsidR="00706FE5" w:rsidRPr="006D5382" w:rsidRDefault="00706FE5" w:rsidP="006D5382">
            <w:pPr>
              <w:spacing w:line="360" w:lineRule="auto"/>
            </w:pPr>
            <w:r w:rsidRPr="006D5382">
              <w:t>0</w:t>
            </w:r>
          </w:p>
        </w:tc>
        <w:tc>
          <w:tcPr>
            <w:tcW w:w="321" w:type="pct"/>
            <w:shd w:val="clear" w:color="000000" w:fill="FFFF00"/>
            <w:noWrap/>
            <w:hideMark/>
          </w:tcPr>
          <w:p w14:paraId="3409EA1A" w14:textId="77777777" w:rsidR="00706FE5" w:rsidRPr="006D5382" w:rsidRDefault="00706FE5" w:rsidP="006D5382">
            <w:pPr>
              <w:spacing w:line="360" w:lineRule="auto"/>
            </w:pPr>
            <w:r w:rsidRPr="006D5382">
              <w:t>2</w:t>
            </w:r>
          </w:p>
        </w:tc>
        <w:tc>
          <w:tcPr>
            <w:tcW w:w="304" w:type="pct"/>
            <w:shd w:val="clear" w:color="000000" w:fill="92D050"/>
            <w:noWrap/>
            <w:hideMark/>
          </w:tcPr>
          <w:p w14:paraId="7B66C434" w14:textId="77777777" w:rsidR="00706FE5" w:rsidRPr="006D5382" w:rsidRDefault="00706FE5" w:rsidP="006D5382">
            <w:pPr>
              <w:spacing w:line="360" w:lineRule="auto"/>
            </w:pPr>
            <w:r w:rsidRPr="006D5382">
              <w:t>2</w:t>
            </w:r>
          </w:p>
        </w:tc>
        <w:tc>
          <w:tcPr>
            <w:tcW w:w="254" w:type="pct"/>
            <w:shd w:val="clear" w:color="auto" w:fill="auto"/>
            <w:noWrap/>
            <w:hideMark/>
          </w:tcPr>
          <w:p w14:paraId="3081FA26" w14:textId="77777777" w:rsidR="00706FE5" w:rsidRPr="006D5382" w:rsidRDefault="00706FE5" w:rsidP="006D5382">
            <w:pPr>
              <w:spacing w:line="360" w:lineRule="auto"/>
            </w:pPr>
            <w:r w:rsidRPr="006D5382">
              <w:t>1</w:t>
            </w:r>
          </w:p>
        </w:tc>
        <w:tc>
          <w:tcPr>
            <w:tcW w:w="210" w:type="pct"/>
            <w:shd w:val="clear" w:color="auto" w:fill="auto"/>
            <w:noWrap/>
            <w:hideMark/>
          </w:tcPr>
          <w:p w14:paraId="05665601" w14:textId="77777777" w:rsidR="00706FE5" w:rsidRPr="006D5382" w:rsidRDefault="00706FE5" w:rsidP="006D5382">
            <w:pPr>
              <w:spacing w:line="360" w:lineRule="auto"/>
            </w:pPr>
            <w:r w:rsidRPr="006D5382">
              <w:t>1</w:t>
            </w:r>
          </w:p>
        </w:tc>
        <w:tc>
          <w:tcPr>
            <w:tcW w:w="221" w:type="pct"/>
            <w:shd w:val="clear" w:color="auto" w:fill="auto"/>
            <w:noWrap/>
            <w:hideMark/>
          </w:tcPr>
          <w:p w14:paraId="41FE21CE" w14:textId="77777777" w:rsidR="00706FE5" w:rsidRPr="006D5382" w:rsidRDefault="00706FE5" w:rsidP="006D5382">
            <w:pPr>
              <w:spacing w:line="360" w:lineRule="auto"/>
            </w:pPr>
            <w:r w:rsidRPr="006D5382">
              <w:t>1</w:t>
            </w:r>
          </w:p>
        </w:tc>
        <w:tc>
          <w:tcPr>
            <w:tcW w:w="299" w:type="pct"/>
            <w:shd w:val="clear" w:color="000000" w:fill="00B0F0"/>
            <w:noWrap/>
            <w:hideMark/>
          </w:tcPr>
          <w:p w14:paraId="4D63B394" w14:textId="77777777" w:rsidR="00706FE5" w:rsidRPr="006D5382" w:rsidRDefault="00706FE5" w:rsidP="006D5382">
            <w:pPr>
              <w:spacing w:line="360" w:lineRule="auto"/>
            </w:pPr>
            <w:r w:rsidRPr="006D5382">
              <w:t>3</w:t>
            </w:r>
          </w:p>
        </w:tc>
        <w:tc>
          <w:tcPr>
            <w:tcW w:w="265" w:type="pct"/>
            <w:shd w:val="clear" w:color="auto" w:fill="auto"/>
            <w:noWrap/>
            <w:hideMark/>
          </w:tcPr>
          <w:p w14:paraId="04ED0325" w14:textId="77777777" w:rsidR="00706FE5" w:rsidRPr="006D5382" w:rsidRDefault="00706FE5" w:rsidP="006D5382">
            <w:pPr>
              <w:spacing w:line="360" w:lineRule="auto"/>
              <w:rPr>
                <w:b/>
                <w:bCs/>
              </w:rPr>
            </w:pPr>
            <w:r w:rsidRPr="006D5382">
              <w:rPr>
                <w:b/>
                <w:bCs/>
              </w:rPr>
              <w:t xml:space="preserve">Fair </w:t>
            </w:r>
          </w:p>
        </w:tc>
      </w:tr>
      <w:tr w:rsidR="006D5382" w:rsidRPr="006D5382" w14:paraId="059D54D0" w14:textId="77777777" w:rsidTr="00706FE5">
        <w:trPr>
          <w:trHeight w:val="324"/>
        </w:trPr>
        <w:tc>
          <w:tcPr>
            <w:tcW w:w="899" w:type="pct"/>
            <w:shd w:val="clear" w:color="auto" w:fill="auto"/>
            <w:noWrap/>
            <w:hideMark/>
          </w:tcPr>
          <w:p w14:paraId="3C4D2A4D" w14:textId="77777777" w:rsidR="00706FE5" w:rsidRPr="006D5382" w:rsidRDefault="00706FE5" w:rsidP="006D5382">
            <w:pPr>
              <w:spacing w:line="360" w:lineRule="auto"/>
            </w:pPr>
            <w:proofErr w:type="spellStart"/>
            <w:r w:rsidRPr="006D5382">
              <w:t>Korfias</w:t>
            </w:r>
            <w:proofErr w:type="spellEnd"/>
            <w:r w:rsidRPr="006D5382">
              <w:t xml:space="preserve"> S, </w:t>
            </w:r>
            <w:r w:rsidRPr="006D5382">
              <w:rPr>
                <w:i/>
              </w:rPr>
              <w:t>2007</w:t>
            </w:r>
            <w:r w:rsidR="00DA1B98" w:rsidRPr="006D5382">
              <w:rPr>
                <w:noProof/>
                <w:vertAlign w:val="superscript"/>
              </w:rPr>
              <w:t>20</w:t>
            </w:r>
          </w:p>
        </w:tc>
        <w:tc>
          <w:tcPr>
            <w:tcW w:w="434" w:type="pct"/>
            <w:shd w:val="clear" w:color="auto" w:fill="auto"/>
            <w:noWrap/>
            <w:hideMark/>
          </w:tcPr>
          <w:p w14:paraId="775CAD9A" w14:textId="77777777" w:rsidR="00706FE5" w:rsidRPr="006D5382" w:rsidRDefault="00706FE5" w:rsidP="006D5382">
            <w:pPr>
              <w:spacing w:line="360" w:lineRule="auto"/>
            </w:pPr>
            <w:r w:rsidRPr="006D5382">
              <w:t>1</w:t>
            </w:r>
          </w:p>
        </w:tc>
        <w:tc>
          <w:tcPr>
            <w:tcW w:w="985" w:type="pct"/>
            <w:shd w:val="clear" w:color="auto" w:fill="auto"/>
            <w:noWrap/>
            <w:hideMark/>
          </w:tcPr>
          <w:p w14:paraId="397CE0C9" w14:textId="77777777" w:rsidR="00706FE5" w:rsidRPr="006D5382" w:rsidRDefault="00706FE5" w:rsidP="006D5382">
            <w:pPr>
              <w:spacing w:line="360" w:lineRule="auto"/>
            </w:pPr>
            <w:r w:rsidRPr="006D5382">
              <w:t>1</w:t>
            </w:r>
          </w:p>
        </w:tc>
        <w:tc>
          <w:tcPr>
            <w:tcW w:w="514" w:type="pct"/>
            <w:shd w:val="clear" w:color="auto" w:fill="auto"/>
            <w:noWrap/>
            <w:hideMark/>
          </w:tcPr>
          <w:p w14:paraId="06C851F8" w14:textId="77777777" w:rsidR="00706FE5" w:rsidRPr="006D5382" w:rsidRDefault="00706FE5" w:rsidP="006D5382">
            <w:pPr>
              <w:spacing w:line="360" w:lineRule="auto"/>
            </w:pPr>
            <w:r w:rsidRPr="006D5382">
              <w:t>1</w:t>
            </w:r>
          </w:p>
        </w:tc>
        <w:tc>
          <w:tcPr>
            <w:tcW w:w="297" w:type="pct"/>
            <w:shd w:val="clear" w:color="auto" w:fill="auto"/>
            <w:noWrap/>
            <w:hideMark/>
          </w:tcPr>
          <w:p w14:paraId="4DFD4D7E" w14:textId="77777777" w:rsidR="00706FE5" w:rsidRPr="006D5382" w:rsidRDefault="00706FE5" w:rsidP="006D5382">
            <w:pPr>
              <w:spacing w:line="360" w:lineRule="auto"/>
            </w:pPr>
            <w:r w:rsidRPr="006D5382">
              <w:t>0</w:t>
            </w:r>
          </w:p>
        </w:tc>
        <w:tc>
          <w:tcPr>
            <w:tcW w:w="321" w:type="pct"/>
            <w:shd w:val="clear" w:color="000000" w:fill="FFFF00"/>
            <w:noWrap/>
            <w:hideMark/>
          </w:tcPr>
          <w:p w14:paraId="0992AFAC" w14:textId="77777777" w:rsidR="00706FE5" w:rsidRPr="006D5382" w:rsidRDefault="00706FE5" w:rsidP="006D5382">
            <w:pPr>
              <w:spacing w:line="360" w:lineRule="auto"/>
            </w:pPr>
            <w:r w:rsidRPr="006D5382">
              <w:t>3</w:t>
            </w:r>
          </w:p>
        </w:tc>
        <w:tc>
          <w:tcPr>
            <w:tcW w:w="304" w:type="pct"/>
            <w:shd w:val="clear" w:color="000000" w:fill="92D050"/>
            <w:noWrap/>
            <w:hideMark/>
          </w:tcPr>
          <w:p w14:paraId="5B6A053E" w14:textId="77777777" w:rsidR="00706FE5" w:rsidRPr="006D5382" w:rsidRDefault="00706FE5" w:rsidP="006D5382">
            <w:pPr>
              <w:spacing w:line="360" w:lineRule="auto"/>
            </w:pPr>
            <w:r w:rsidRPr="006D5382">
              <w:t>2</w:t>
            </w:r>
          </w:p>
        </w:tc>
        <w:tc>
          <w:tcPr>
            <w:tcW w:w="254" w:type="pct"/>
            <w:shd w:val="clear" w:color="auto" w:fill="auto"/>
            <w:noWrap/>
            <w:hideMark/>
          </w:tcPr>
          <w:p w14:paraId="0D57F85D" w14:textId="77777777" w:rsidR="00706FE5" w:rsidRPr="006D5382" w:rsidRDefault="00706FE5" w:rsidP="006D5382">
            <w:pPr>
              <w:spacing w:line="360" w:lineRule="auto"/>
            </w:pPr>
            <w:r w:rsidRPr="006D5382">
              <w:t>1</w:t>
            </w:r>
          </w:p>
        </w:tc>
        <w:tc>
          <w:tcPr>
            <w:tcW w:w="210" w:type="pct"/>
            <w:shd w:val="clear" w:color="auto" w:fill="auto"/>
            <w:noWrap/>
            <w:hideMark/>
          </w:tcPr>
          <w:p w14:paraId="02DFBD4A" w14:textId="77777777" w:rsidR="00706FE5" w:rsidRPr="006D5382" w:rsidRDefault="00706FE5" w:rsidP="006D5382">
            <w:pPr>
              <w:spacing w:line="360" w:lineRule="auto"/>
            </w:pPr>
            <w:r w:rsidRPr="006D5382">
              <w:t>1</w:t>
            </w:r>
          </w:p>
        </w:tc>
        <w:tc>
          <w:tcPr>
            <w:tcW w:w="221" w:type="pct"/>
            <w:shd w:val="clear" w:color="auto" w:fill="auto"/>
            <w:noWrap/>
            <w:hideMark/>
          </w:tcPr>
          <w:p w14:paraId="5C6D6785" w14:textId="77777777" w:rsidR="00706FE5" w:rsidRPr="006D5382" w:rsidRDefault="00706FE5" w:rsidP="006D5382">
            <w:pPr>
              <w:spacing w:line="360" w:lineRule="auto"/>
            </w:pPr>
            <w:r w:rsidRPr="006D5382">
              <w:t>1</w:t>
            </w:r>
          </w:p>
        </w:tc>
        <w:tc>
          <w:tcPr>
            <w:tcW w:w="299" w:type="pct"/>
            <w:shd w:val="clear" w:color="000000" w:fill="00B0F0"/>
            <w:noWrap/>
            <w:hideMark/>
          </w:tcPr>
          <w:p w14:paraId="6C293687" w14:textId="77777777" w:rsidR="00706FE5" w:rsidRPr="006D5382" w:rsidRDefault="00706FE5" w:rsidP="006D5382">
            <w:pPr>
              <w:spacing w:line="360" w:lineRule="auto"/>
            </w:pPr>
            <w:r w:rsidRPr="006D5382">
              <w:t>3</w:t>
            </w:r>
          </w:p>
        </w:tc>
        <w:tc>
          <w:tcPr>
            <w:tcW w:w="265" w:type="pct"/>
            <w:shd w:val="clear" w:color="auto" w:fill="auto"/>
            <w:noWrap/>
            <w:hideMark/>
          </w:tcPr>
          <w:p w14:paraId="041DC864" w14:textId="77777777" w:rsidR="00706FE5" w:rsidRPr="006D5382" w:rsidRDefault="00706FE5" w:rsidP="006D5382">
            <w:pPr>
              <w:spacing w:line="360" w:lineRule="auto"/>
              <w:rPr>
                <w:b/>
                <w:bCs/>
              </w:rPr>
            </w:pPr>
            <w:r w:rsidRPr="006D5382">
              <w:rPr>
                <w:b/>
                <w:bCs/>
              </w:rPr>
              <w:t xml:space="preserve">Good </w:t>
            </w:r>
          </w:p>
        </w:tc>
      </w:tr>
      <w:tr w:rsidR="006D5382" w:rsidRPr="006D5382" w14:paraId="30DAC68F" w14:textId="77777777" w:rsidTr="00706FE5">
        <w:trPr>
          <w:trHeight w:val="324"/>
        </w:trPr>
        <w:tc>
          <w:tcPr>
            <w:tcW w:w="899" w:type="pct"/>
            <w:shd w:val="clear" w:color="auto" w:fill="auto"/>
            <w:noWrap/>
            <w:hideMark/>
          </w:tcPr>
          <w:p w14:paraId="7FCB50AD" w14:textId="77777777" w:rsidR="00706FE5" w:rsidRPr="006D5382" w:rsidRDefault="00706FE5" w:rsidP="006D5382">
            <w:pPr>
              <w:spacing w:line="360" w:lineRule="auto"/>
            </w:pPr>
            <w:r w:rsidRPr="006D5382">
              <w:t>Kou Z, 2013</w:t>
            </w:r>
            <w:r w:rsidR="00DA1B98" w:rsidRPr="006D5382">
              <w:rPr>
                <w:noProof/>
                <w:vertAlign w:val="superscript"/>
              </w:rPr>
              <w:t>21</w:t>
            </w:r>
          </w:p>
        </w:tc>
        <w:tc>
          <w:tcPr>
            <w:tcW w:w="434" w:type="pct"/>
            <w:shd w:val="clear" w:color="auto" w:fill="auto"/>
            <w:noWrap/>
            <w:hideMark/>
          </w:tcPr>
          <w:p w14:paraId="35E307FE" w14:textId="77777777" w:rsidR="00706FE5" w:rsidRPr="006D5382" w:rsidRDefault="00706FE5" w:rsidP="006D5382">
            <w:pPr>
              <w:spacing w:line="360" w:lineRule="auto"/>
            </w:pPr>
            <w:r w:rsidRPr="006D5382">
              <w:t>0</w:t>
            </w:r>
          </w:p>
        </w:tc>
        <w:tc>
          <w:tcPr>
            <w:tcW w:w="985" w:type="pct"/>
            <w:shd w:val="clear" w:color="auto" w:fill="auto"/>
            <w:noWrap/>
            <w:hideMark/>
          </w:tcPr>
          <w:p w14:paraId="61B65A96" w14:textId="77777777" w:rsidR="00706FE5" w:rsidRPr="006D5382" w:rsidRDefault="00706FE5" w:rsidP="006D5382">
            <w:pPr>
              <w:spacing w:line="360" w:lineRule="auto"/>
            </w:pPr>
            <w:r w:rsidRPr="006D5382">
              <w:t>0</w:t>
            </w:r>
          </w:p>
        </w:tc>
        <w:tc>
          <w:tcPr>
            <w:tcW w:w="514" w:type="pct"/>
            <w:shd w:val="clear" w:color="auto" w:fill="auto"/>
            <w:noWrap/>
            <w:hideMark/>
          </w:tcPr>
          <w:p w14:paraId="2BBE18FD" w14:textId="77777777" w:rsidR="00706FE5" w:rsidRPr="006D5382" w:rsidRDefault="00706FE5" w:rsidP="006D5382">
            <w:pPr>
              <w:spacing w:line="360" w:lineRule="auto"/>
            </w:pPr>
            <w:r w:rsidRPr="006D5382">
              <w:t>1</w:t>
            </w:r>
          </w:p>
        </w:tc>
        <w:tc>
          <w:tcPr>
            <w:tcW w:w="297" w:type="pct"/>
            <w:shd w:val="clear" w:color="auto" w:fill="auto"/>
            <w:noWrap/>
            <w:hideMark/>
          </w:tcPr>
          <w:p w14:paraId="36D17C59" w14:textId="77777777" w:rsidR="00706FE5" w:rsidRPr="006D5382" w:rsidRDefault="00706FE5" w:rsidP="006D5382">
            <w:pPr>
              <w:spacing w:line="360" w:lineRule="auto"/>
            </w:pPr>
            <w:r w:rsidRPr="006D5382">
              <w:t>1</w:t>
            </w:r>
          </w:p>
        </w:tc>
        <w:tc>
          <w:tcPr>
            <w:tcW w:w="321" w:type="pct"/>
            <w:shd w:val="clear" w:color="000000" w:fill="FFFF00"/>
            <w:noWrap/>
            <w:hideMark/>
          </w:tcPr>
          <w:p w14:paraId="1D9C4564" w14:textId="77777777" w:rsidR="00706FE5" w:rsidRPr="006D5382" w:rsidRDefault="00706FE5" w:rsidP="006D5382">
            <w:pPr>
              <w:spacing w:line="360" w:lineRule="auto"/>
            </w:pPr>
            <w:r w:rsidRPr="006D5382">
              <w:t>2</w:t>
            </w:r>
          </w:p>
        </w:tc>
        <w:tc>
          <w:tcPr>
            <w:tcW w:w="304" w:type="pct"/>
            <w:shd w:val="clear" w:color="000000" w:fill="92D050"/>
            <w:noWrap/>
            <w:hideMark/>
          </w:tcPr>
          <w:p w14:paraId="0F1EC5C1" w14:textId="77777777" w:rsidR="00706FE5" w:rsidRPr="006D5382" w:rsidRDefault="00706FE5" w:rsidP="006D5382">
            <w:pPr>
              <w:spacing w:line="360" w:lineRule="auto"/>
            </w:pPr>
            <w:r w:rsidRPr="006D5382">
              <w:t>2</w:t>
            </w:r>
          </w:p>
        </w:tc>
        <w:tc>
          <w:tcPr>
            <w:tcW w:w="254" w:type="pct"/>
            <w:shd w:val="clear" w:color="auto" w:fill="auto"/>
            <w:noWrap/>
            <w:hideMark/>
          </w:tcPr>
          <w:p w14:paraId="2A9527F9" w14:textId="77777777" w:rsidR="00706FE5" w:rsidRPr="006D5382" w:rsidRDefault="00706FE5" w:rsidP="006D5382">
            <w:pPr>
              <w:spacing w:line="360" w:lineRule="auto"/>
            </w:pPr>
            <w:r w:rsidRPr="006D5382">
              <w:t>1</w:t>
            </w:r>
          </w:p>
        </w:tc>
        <w:tc>
          <w:tcPr>
            <w:tcW w:w="210" w:type="pct"/>
            <w:shd w:val="clear" w:color="auto" w:fill="auto"/>
            <w:noWrap/>
            <w:hideMark/>
          </w:tcPr>
          <w:p w14:paraId="372B5167" w14:textId="77777777" w:rsidR="00706FE5" w:rsidRPr="006D5382" w:rsidRDefault="00706FE5" w:rsidP="006D5382">
            <w:pPr>
              <w:spacing w:line="360" w:lineRule="auto"/>
            </w:pPr>
            <w:r w:rsidRPr="006D5382">
              <w:t>0</w:t>
            </w:r>
          </w:p>
        </w:tc>
        <w:tc>
          <w:tcPr>
            <w:tcW w:w="221" w:type="pct"/>
            <w:shd w:val="clear" w:color="auto" w:fill="auto"/>
            <w:noWrap/>
            <w:hideMark/>
          </w:tcPr>
          <w:p w14:paraId="13DE9D02" w14:textId="77777777" w:rsidR="00706FE5" w:rsidRPr="006D5382" w:rsidRDefault="00706FE5" w:rsidP="006D5382">
            <w:pPr>
              <w:spacing w:line="360" w:lineRule="auto"/>
            </w:pPr>
            <w:r w:rsidRPr="006D5382">
              <w:t>1</w:t>
            </w:r>
          </w:p>
        </w:tc>
        <w:tc>
          <w:tcPr>
            <w:tcW w:w="299" w:type="pct"/>
            <w:shd w:val="clear" w:color="000000" w:fill="00B0F0"/>
            <w:noWrap/>
            <w:hideMark/>
          </w:tcPr>
          <w:p w14:paraId="5E3A1F3B" w14:textId="77777777" w:rsidR="00706FE5" w:rsidRPr="006D5382" w:rsidRDefault="00706FE5" w:rsidP="006D5382">
            <w:pPr>
              <w:spacing w:line="360" w:lineRule="auto"/>
            </w:pPr>
            <w:r w:rsidRPr="006D5382">
              <w:t>2</w:t>
            </w:r>
          </w:p>
        </w:tc>
        <w:tc>
          <w:tcPr>
            <w:tcW w:w="265" w:type="pct"/>
            <w:shd w:val="clear" w:color="auto" w:fill="auto"/>
            <w:noWrap/>
            <w:hideMark/>
          </w:tcPr>
          <w:p w14:paraId="76CCFB8A" w14:textId="77777777" w:rsidR="00706FE5" w:rsidRPr="006D5382" w:rsidRDefault="00706FE5" w:rsidP="006D5382">
            <w:pPr>
              <w:spacing w:line="360" w:lineRule="auto"/>
              <w:rPr>
                <w:b/>
                <w:bCs/>
              </w:rPr>
            </w:pPr>
            <w:r w:rsidRPr="006D5382">
              <w:rPr>
                <w:b/>
                <w:bCs/>
              </w:rPr>
              <w:t xml:space="preserve">Fair </w:t>
            </w:r>
          </w:p>
        </w:tc>
      </w:tr>
      <w:tr w:rsidR="006D5382" w:rsidRPr="006D5382" w14:paraId="0162229F" w14:textId="77777777" w:rsidTr="00706FE5">
        <w:trPr>
          <w:trHeight w:val="324"/>
        </w:trPr>
        <w:tc>
          <w:tcPr>
            <w:tcW w:w="899" w:type="pct"/>
            <w:shd w:val="clear" w:color="auto" w:fill="auto"/>
            <w:noWrap/>
            <w:hideMark/>
          </w:tcPr>
          <w:p w14:paraId="5400254E" w14:textId="77777777" w:rsidR="00706FE5" w:rsidRPr="006D5382" w:rsidRDefault="00706FE5" w:rsidP="006D5382">
            <w:pPr>
              <w:spacing w:line="360" w:lineRule="auto"/>
            </w:pPr>
            <w:proofErr w:type="spellStart"/>
            <w:r w:rsidRPr="006D5382">
              <w:t>Langness</w:t>
            </w:r>
            <w:proofErr w:type="spellEnd"/>
            <w:r w:rsidRPr="006D5382">
              <w:t xml:space="preserve"> S, </w:t>
            </w:r>
            <w:r w:rsidRPr="006D5382">
              <w:rPr>
                <w:i/>
              </w:rPr>
              <w:t>2018</w:t>
            </w:r>
            <w:r w:rsidR="00DA1B98" w:rsidRPr="006D5382">
              <w:rPr>
                <w:noProof/>
                <w:vertAlign w:val="superscript"/>
              </w:rPr>
              <w:t>22</w:t>
            </w:r>
          </w:p>
        </w:tc>
        <w:tc>
          <w:tcPr>
            <w:tcW w:w="434" w:type="pct"/>
            <w:shd w:val="clear" w:color="auto" w:fill="auto"/>
            <w:noWrap/>
            <w:hideMark/>
          </w:tcPr>
          <w:p w14:paraId="24A3F482" w14:textId="77777777" w:rsidR="00706FE5" w:rsidRPr="006D5382" w:rsidRDefault="00706FE5" w:rsidP="006D5382">
            <w:pPr>
              <w:spacing w:line="360" w:lineRule="auto"/>
            </w:pPr>
            <w:r w:rsidRPr="006D5382">
              <w:t>1</w:t>
            </w:r>
          </w:p>
        </w:tc>
        <w:tc>
          <w:tcPr>
            <w:tcW w:w="985" w:type="pct"/>
            <w:shd w:val="clear" w:color="auto" w:fill="auto"/>
            <w:noWrap/>
            <w:hideMark/>
          </w:tcPr>
          <w:p w14:paraId="40E7EA88" w14:textId="77777777" w:rsidR="00706FE5" w:rsidRPr="006D5382" w:rsidRDefault="00706FE5" w:rsidP="006D5382">
            <w:pPr>
              <w:spacing w:line="360" w:lineRule="auto"/>
            </w:pPr>
            <w:r w:rsidRPr="006D5382">
              <w:t>1</w:t>
            </w:r>
          </w:p>
        </w:tc>
        <w:tc>
          <w:tcPr>
            <w:tcW w:w="514" w:type="pct"/>
            <w:shd w:val="clear" w:color="auto" w:fill="auto"/>
            <w:noWrap/>
            <w:hideMark/>
          </w:tcPr>
          <w:p w14:paraId="1C1D2BF0" w14:textId="77777777" w:rsidR="00706FE5" w:rsidRPr="006D5382" w:rsidRDefault="00706FE5" w:rsidP="006D5382">
            <w:pPr>
              <w:spacing w:line="360" w:lineRule="auto"/>
            </w:pPr>
            <w:r w:rsidRPr="006D5382">
              <w:t>1</w:t>
            </w:r>
          </w:p>
        </w:tc>
        <w:tc>
          <w:tcPr>
            <w:tcW w:w="297" w:type="pct"/>
            <w:shd w:val="clear" w:color="auto" w:fill="auto"/>
            <w:noWrap/>
            <w:hideMark/>
          </w:tcPr>
          <w:p w14:paraId="262B696F" w14:textId="77777777" w:rsidR="00706FE5" w:rsidRPr="006D5382" w:rsidRDefault="00706FE5" w:rsidP="006D5382">
            <w:pPr>
              <w:spacing w:line="360" w:lineRule="auto"/>
            </w:pPr>
            <w:r w:rsidRPr="006D5382">
              <w:t>0</w:t>
            </w:r>
          </w:p>
        </w:tc>
        <w:tc>
          <w:tcPr>
            <w:tcW w:w="321" w:type="pct"/>
            <w:shd w:val="clear" w:color="000000" w:fill="FFFF00"/>
            <w:noWrap/>
            <w:hideMark/>
          </w:tcPr>
          <w:p w14:paraId="6A789998" w14:textId="77777777" w:rsidR="00706FE5" w:rsidRPr="006D5382" w:rsidRDefault="00706FE5" w:rsidP="006D5382">
            <w:pPr>
              <w:spacing w:line="360" w:lineRule="auto"/>
            </w:pPr>
            <w:r w:rsidRPr="006D5382">
              <w:t>3</w:t>
            </w:r>
          </w:p>
        </w:tc>
        <w:tc>
          <w:tcPr>
            <w:tcW w:w="304" w:type="pct"/>
            <w:shd w:val="clear" w:color="000000" w:fill="92D050"/>
            <w:noWrap/>
            <w:hideMark/>
          </w:tcPr>
          <w:p w14:paraId="2FA946FE" w14:textId="77777777" w:rsidR="00706FE5" w:rsidRPr="006D5382" w:rsidRDefault="00706FE5" w:rsidP="006D5382">
            <w:pPr>
              <w:spacing w:line="360" w:lineRule="auto"/>
            </w:pPr>
            <w:r w:rsidRPr="006D5382">
              <w:t>1</w:t>
            </w:r>
          </w:p>
        </w:tc>
        <w:tc>
          <w:tcPr>
            <w:tcW w:w="254" w:type="pct"/>
            <w:shd w:val="clear" w:color="auto" w:fill="auto"/>
            <w:noWrap/>
            <w:hideMark/>
          </w:tcPr>
          <w:p w14:paraId="0C1551E6" w14:textId="77777777" w:rsidR="00706FE5" w:rsidRPr="006D5382" w:rsidRDefault="00706FE5" w:rsidP="006D5382">
            <w:pPr>
              <w:spacing w:line="360" w:lineRule="auto"/>
            </w:pPr>
            <w:r w:rsidRPr="006D5382">
              <w:t>1</w:t>
            </w:r>
          </w:p>
        </w:tc>
        <w:tc>
          <w:tcPr>
            <w:tcW w:w="210" w:type="pct"/>
            <w:shd w:val="clear" w:color="auto" w:fill="auto"/>
            <w:noWrap/>
            <w:hideMark/>
          </w:tcPr>
          <w:p w14:paraId="28F38CF1" w14:textId="77777777" w:rsidR="00706FE5" w:rsidRPr="006D5382" w:rsidRDefault="00706FE5" w:rsidP="006D5382">
            <w:pPr>
              <w:spacing w:line="360" w:lineRule="auto"/>
            </w:pPr>
            <w:r w:rsidRPr="006D5382">
              <w:t>1</w:t>
            </w:r>
          </w:p>
        </w:tc>
        <w:tc>
          <w:tcPr>
            <w:tcW w:w="221" w:type="pct"/>
            <w:shd w:val="clear" w:color="auto" w:fill="auto"/>
            <w:noWrap/>
            <w:hideMark/>
          </w:tcPr>
          <w:p w14:paraId="2272CFB8" w14:textId="77777777" w:rsidR="00706FE5" w:rsidRPr="006D5382" w:rsidRDefault="00706FE5" w:rsidP="006D5382">
            <w:pPr>
              <w:spacing w:line="360" w:lineRule="auto"/>
            </w:pPr>
            <w:r w:rsidRPr="006D5382">
              <w:t>1</w:t>
            </w:r>
          </w:p>
        </w:tc>
        <w:tc>
          <w:tcPr>
            <w:tcW w:w="299" w:type="pct"/>
            <w:shd w:val="clear" w:color="000000" w:fill="00B0F0"/>
            <w:noWrap/>
            <w:hideMark/>
          </w:tcPr>
          <w:p w14:paraId="29979B57" w14:textId="77777777" w:rsidR="00706FE5" w:rsidRPr="006D5382" w:rsidRDefault="00706FE5" w:rsidP="006D5382">
            <w:pPr>
              <w:spacing w:line="360" w:lineRule="auto"/>
            </w:pPr>
            <w:r w:rsidRPr="006D5382">
              <w:t>3</w:t>
            </w:r>
          </w:p>
        </w:tc>
        <w:tc>
          <w:tcPr>
            <w:tcW w:w="265" w:type="pct"/>
            <w:shd w:val="clear" w:color="auto" w:fill="auto"/>
            <w:noWrap/>
            <w:hideMark/>
          </w:tcPr>
          <w:p w14:paraId="382F15BF" w14:textId="77777777" w:rsidR="00706FE5" w:rsidRPr="006D5382" w:rsidRDefault="00706FE5" w:rsidP="006D5382">
            <w:pPr>
              <w:spacing w:line="360" w:lineRule="auto"/>
              <w:rPr>
                <w:b/>
                <w:bCs/>
              </w:rPr>
            </w:pPr>
            <w:r w:rsidRPr="006D5382">
              <w:rPr>
                <w:b/>
                <w:bCs/>
              </w:rPr>
              <w:t xml:space="preserve">Good </w:t>
            </w:r>
          </w:p>
        </w:tc>
      </w:tr>
      <w:tr w:rsidR="006D5382" w:rsidRPr="006D5382" w14:paraId="431863B5" w14:textId="77777777" w:rsidTr="00706FE5">
        <w:trPr>
          <w:trHeight w:val="324"/>
        </w:trPr>
        <w:tc>
          <w:tcPr>
            <w:tcW w:w="899" w:type="pct"/>
            <w:shd w:val="clear" w:color="auto" w:fill="auto"/>
            <w:noWrap/>
            <w:vAlign w:val="center"/>
            <w:hideMark/>
          </w:tcPr>
          <w:p w14:paraId="2CD6E642" w14:textId="77777777" w:rsidR="00706FE5" w:rsidRPr="006D5382" w:rsidRDefault="00DA1B98" w:rsidP="006D5382">
            <w:pPr>
              <w:spacing w:line="360" w:lineRule="auto"/>
            </w:pPr>
            <w:r w:rsidRPr="006D5382">
              <w:t xml:space="preserve">Li Q, </w:t>
            </w:r>
            <w:r w:rsidRPr="006D5382">
              <w:rPr>
                <w:i/>
              </w:rPr>
              <w:t>2017</w:t>
            </w:r>
            <w:r w:rsidRPr="006D5382">
              <w:rPr>
                <w:noProof/>
                <w:vertAlign w:val="superscript"/>
              </w:rPr>
              <w:t>23</w:t>
            </w:r>
          </w:p>
        </w:tc>
        <w:tc>
          <w:tcPr>
            <w:tcW w:w="434" w:type="pct"/>
            <w:shd w:val="clear" w:color="auto" w:fill="auto"/>
            <w:noWrap/>
            <w:hideMark/>
          </w:tcPr>
          <w:p w14:paraId="4B4C4A2B" w14:textId="77777777" w:rsidR="00706FE5" w:rsidRPr="006D5382" w:rsidRDefault="00706FE5" w:rsidP="006D5382">
            <w:pPr>
              <w:spacing w:line="360" w:lineRule="auto"/>
            </w:pPr>
            <w:r w:rsidRPr="006D5382">
              <w:t>0</w:t>
            </w:r>
          </w:p>
        </w:tc>
        <w:tc>
          <w:tcPr>
            <w:tcW w:w="985" w:type="pct"/>
            <w:shd w:val="clear" w:color="auto" w:fill="auto"/>
            <w:noWrap/>
            <w:hideMark/>
          </w:tcPr>
          <w:p w14:paraId="48C630F2" w14:textId="77777777" w:rsidR="00706FE5" w:rsidRPr="006D5382" w:rsidRDefault="00706FE5" w:rsidP="006D5382">
            <w:pPr>
              <w:spacing w:line="360" w:lineRule="auto"/>
            </w:pPr>
            <w:r w:rsidRPr="006D5382">
              <w:t>1</w:t>
            </w:r>
          </w:p>
        </w:tc>
        <w:tc>
          <w:tcPr>
            <w:tcW w:w="514" w:type="pct"/>
            <w:shd w:val="clear" w:color="auto" w:fill="auto"/>
            <w:noWrap/>
            <w:hideMark/>
          </w:tcPr>
          <w:p w14:paraId="7650837C" w14:textId="77777777" w:rsidR="00706FE5" w:rsidRPr="006D5382" w:rsidRDefault="00706FE5" w:rsidP="006D5382">
            <w:pPr>
              <w:spacing w:line="360" w:lineRule="auto"/>
            </w:pPr>
            <w:r w:rsidRPr="006D5382">
              <w:t>1</w:t>
            </w:r>
          </w:p>
        </w:tc>
        <w:tc>
          <w:tcPr>
            <w:tcW w:w="297" w:type="pct"/>
            <w:shd w:val="clear" w:color="auto" w:fill="auto"/>
            <w:noWrap/>
            <w:hideMark/>
          </w:tcPr>
          <w:p w14:paraId="09D12882" w14:textId="77777777" w:rsidR="00706FE5" w:rsidRPr="006D5382" w:rsidRDefault="00706FE5" w:rsidP="006D5382">
            <w:pPr>
              <w:spacing w:line="360" w:lineRule="auto"/>
            </w:pPr>
            <w:r w:rsidRPr="006D5382">
              <w:t>1</w:t>
            </w:r>
          </w:p>
        </w:tc>
        <w:tc>
          <w:tcPr>
            <w:tcW w:w="321" w:type="pct"/>
            <w:shd w:val="clear" w:color="000000" w:fill="FFFF00"/>
            <w:noWrap/>
            <w:hideMark/>
          </w:tcPr>
          <w:p w14:paraId="380BAB77" w14:textId="77777777" w:rsidR="00706FE5" w:rsidRPr="006D5382" w:rsidRDefault="00706FE5" w:rsidP="006D5382">
            <w:pPr>
              <w:spacing w:line="360" w:lineRule="auto"/>
            </w:pPr>
            <w:r w:rsidRPr="006D5382">
              <w:t>3</w:t>
            </w:r>
          </w:p>
        </w:tc>
        <w:tc>
          <w:tcPr>
            <w:tcW w:w="304" w:type="pct"/>
            <w:shd w:val="clear" w:color="000000" w:fill="92D050"/>
            <w:noWrap/>
            <w:hideMark/>
          </w:tcPr>
          <w:p w14:paraId="32BDBC76" w14:textId="77777777" w:rsidR="00706FE5" w:rsidRPr="006D5382" w:rsidRDefault="00706FE5" w:rsidP="006D5382">
            <w:pPr>
              <w:spacing w:line="360" w:lineRule="auto"/>
            </w:pPr>
            <w:r w:rsidRPr="006D5382">
              <w:t>1</w:t>
            </w:r>
          </w:p>
        </w:tc>
        <w:tc>
          <w:tcPr>
            <w:tcW w:w="254" w:type="pct"/>
            <w:shd w:val="clear" w:color="auto" w:fill="auto"/>
            <w:noWrap/>
            <w:hideMark/>
          </w:tcPr>
          <w:p w14:paraId="33F3D89B" w14:textId="77777777" w:rsidR="00706FE5" w:rsidRPr="006D5382" w:rsidRDefault="00706FE5" w:rsidP="006D5382">
            <w:pPr>
              <w:spacing w:line="360" w:lineRule="auto"/>
            </w:pPr>
            <w:r w:rsidRPr="006D5382">
              <w:t>1</w:t>
            </w:r>
          </w:p>
        </w:tc>
        <w:tc>
          <w:tcPr>
            <w:tcW w:w="210" w:type="pct"/>
            <w:shd w:val="clear" w:color="auto" w:fill="auto"/>
            <w:noWrap/>
            <w:hideMark/>
          </w:tcPr>
          <w:p w14:paraId="2CC96EB4" w14:textId="77777777" w:rsidR="00706FE5" w:rsidRPr="006D5382" w:rsidRDefault="00706FE5" w:rsidP="006D5382">
            <w:pPr>
              <w:spacing w:line="360" w:lineRule="auto"/>
            </w:pPr>
            <w:r w:rsidRPr="006D5382">
              <w:t>1</w:t>
            </w:r>
          </w:p>
        </w:tc>
        <w:tc>
          <w:tcPr>
            <w:tcW w:w="221" w:type="pct"/>
            <w:shd w:val="clear" w:color="auto" w:fill="auto"/>
            <w:noWrap/>
            <w:hideMark/>
          </w:tcPr>
          <w:p w14:paraId="46A8B24D" w14:textId="77777777" w:rsidR="00706FE5" w:rsidRPr="006D5382" w:rsidRDefault="00706FE5" w:rsidP="006D5382">
            <w:pPr>
              <w:spacing w:line="360" w:lineRule="auto"/>
            </w:pPr>
            <w:r w:rsidRPr="006D5382">
              <w:t>1</w:t>
            </w:r>
          </w:p>
        </w:tc>
        <w:tc>
          <w:tcPr>
            <w:tcW w:w="299" w:type="pct"/>
            <w:shd w:val="clear" w:color="000000" w:fill="00B0F0"/>
            <w:noWrap/>
            <w:hideMark/>
          </w:tcPr>
          <w:p w14:paraId="50CD15AE" w14:textId="77777777" w:rsidR="00706FE5" w:rsidRPr="006D5382" w:rsidRDefault="00706FE5" w:rsidP="006D5382">
            <w:pPr>
              <w:spacing w:line="360" w:lineRule="auto"/>
            </w:pPr>
            <w:r w:rsidRPr="006D5382">
              <w:t>3</w:t>
            </w:r>
          </w:p>
        </w:tc>
        <w:tc>
          <w:tcPr>
            <w:tcW w:w="265" w:type="pct"/>
            <w:shd w:val="clear" w:color="auto" w:fill="auto"/>
            <w:noWrap/>
            <w:hideMark/>
          </w:tcPr>
          <w:p w14:paraId="66C588A7" w14:textId="77777777" w:rsidR="00706FE5" w:rsidRPr="006D5382" w:rsidRDefault="00706FE5" w:rsidP="006D5382">
            <w:pPr>
              <w:spacing w:line="360" w:lineRule="auto"/>
              <w:rPr>
                <w:b/>
                <w:bCs/>
              </w:rPr>
            </w:pPr>
            <w:r w:rsidRPr="006D5382">
              <w:rPr>
                <w:b/>
                <w:bCs/>
              </w:rPr>
              <w:t xml:space="preserve">Good </w:t>
            </w:r>
          </w:p>
        </w:tc>
      </w:tr>
      <w:tr w:rsidR="006D5382" w:rsidRPr="006D5382" w14:paraId="67251F69" w14:textId="77777777" w:rsidTr="00706FE5">
        <w:trPr>
          <w:trHeight w:val="324"/>
        </w:trPr>
        <w:tc>
          <w:tcPr>
            <w:tcW w:w="899" w:type="pct"/>
            <w:shd w:val="clear" w:color="auto" w:fill="auto"/>
            <w:noWrap/>
            <w:vAlign w:val="center"/>
            <w:hideMark/>
          </w:tcPr>
          <w:p w14:paraId="19B5E5F5" w14:textId="77777777" w:rsidR="00706FE5" w:rsidRPr="006D5382" w:rsidRDefault="00706FE5" w:rsidP="006D5382">
            <w:pPr>
              <w:spacing w:line="360" w:lineRule="auto"/>
            </w:pPr>
            <w:r w:rsidRPr="006D5382">
              <w:t xml:space="preserve">Lo TY, </w:t>
            </w:r>
            <w:r w:rsidRPr="006D5382">
              <w:rPr>
                <w:i/>
              </w:rPr>
              <w:t>2009</w:t>
            </w:r>
            <w:r w:rsidR="00DA1B98" w:rsidRPr="006D5382">
              <w:rPr>
                <w:noProof/>
                <w:vertAlign w:val="superscript"/>
              </w:rPr>
              <w:t>24</w:t>
            </w:r>
          </w:p>
        </w:tc>
        <w:tc>
          <w:tcPr>
            <w:tcW w:w="434" w:type="pct"/>
            <w:shd w:val="clear" w:color="auto" w:fill="auto"/>
            <w:noWrap/>
            <w:hideMark/>
          </w:tcPr>
          <w:p w14:paraId="72439B41" w14:textId="77777777" w:rsidR="00706FE5" w:rsidRPr="006D5382" w:rsidRDefault="00706FE5" w:rsidP="006D5382">
            <w:pPr>
              <w:spacing w:line="360" w:lineRule="auto"/>
            </w:pPr>
            <w:r w:rsidRPr="006D5382">
              <w:t>1</w:t>
            </w:r>
          </w:p>
        </w:tc>
        <w:tc>
          <w:tcPr>
            <w:tcW w:w="985" w:type="pct"/>
            <w:shd w:val="clear" w:color="auto" w:fill="auto"/>
            <w:noWrap/>
            <w:hideMark/>
          </w:tcPr>
          <w:p w14:paraId="26A7EFBF" w14:textId="77777777" w:rsidR="00706FE5" w:rsidRPr="006D5382" w:rsidRDefault="00706FE5" w:rsidP="006D5382">
            <w:pPr>
              <w:spacing w:line="360" w:lineRule="auto"/>
            </w:pPr>
            <w:r w:rsidRPr="006D5382">
              <w:t>1</w:t>
            </w:r>
          </w:p>
        </w:tc>
        <w:tc>
          <w:tcPr>
            <w:tcW w:w="514" w:type="pct"/>
            <w:shd w:val="clear" w:color="auto" w:fill="auto"/>
            <w:noWrap/>
            <w:hideMark/>
          </w:tcPr>
          <w:p w14:paraId="13A531DB" w14:textId="77777777" w:rsidR="00706FE5" w:rsidRPr="006D5382" w:rsidRDefault="00706FE5" w:rsidP="006D5382">
            <w:pPr>
              <w:spacing w:line="360" w:lineRule="auto"/>
            </w:pPr>
            <w:r w:rsidRPr="006D5382">
              <w:t>1</w:t>
            </w:r>
          </w:p>
        </w:tc>
        <w:tc>
          <w:tcPr>
            <w:tcW w:w="297" w:type="pct"/>
            <w:shd w:val="clear" w:color="auto" w:fill="auto"/>
            <w:noWrap/>
            <w:hideMark/>
          </w:tcPr>
          <w:p w14:paraId="43764C44" w14:textId="77777777" w:rsidR="00706FE5" w:rsidRPr="006D5382" w:rsidRDefault="00706FE5" w:rsidP="006D5382">
            <w:pPr>
              <w:spacing w:line="360" w:lineRule="auto"/>
            </w:pPr>
            <w:r w:rsidRPr="006D5382">
              <w:t>0</w:t>
            </w:r>
          </w:p>
        </w:tc>
        <w:tc>
          <w:tcPr>
            <w:tcW w:w="321" w:type="pct"/>
            <w:shd w:val="clear" w:color="000000" w:fill="FFFF00"/>
            <w:noWrap/>
            <w:hideMark/>
          </w:tcPr>
          <w:p w14:paraId="2C589EE7" w14:textId="77777777" w:rsidR="00706FE5" w:rsidRPr="006D5382" w:rsidRDefault="00706FE5" w:rsidP="006D5382">
            <w:pPr>
              <w:spacing w:line="360" w:lineRule="auto"/>
            </w:pPr>
            <w:r w:rsidRPr="006D5382">
              <w:t>3</w:t>
            </w:r>
          </w:p>
        </w:tc>
        <w:tc>
          <w:tcPr>
            <w:tcW w:w="304" w:type="pct"/>
            <w:shd w:val="clear" w:color="000000" w:fill="92D050"/>
            <w:noWrap/>
            <w:hideMark/>
          </w:tcPr>
          <w:p w14:paraId="5ED4C15C" w14:textId="77777777" w:rsidR="00706FE5" w:rsidRPr="006D5382" w:rsidRDefault="00706FE5" w:rsidP="006D5382">
            <w:pPr>
              <w:spacing w:line="360" w:lineRule="auto"/>
            </w:pPr>
            <w:r w:rsidRPr="006D5382">
              <w:t>0</w:t>
            </w:r>
          </w:p>
        </w:tc>
        <w:tc>
          <w:tcPr>
            <w:tcW w:w="254" w:type="pct"/>
            <w:shd w:val="clear" w:color="auto" w:fill="auto"/>
            <w:noWrap/>
            <w:hideMark/>
          </w:tcPr>
          <w:p w14:paraId="230ABE2A" w14:textId="77777777" w:rsidR="00706FE5" w:rsidRPr="006D5382" w:rsidRDefault="00706FE5" w:rsidP="006D5382">
            <w:pPr>
              <w:spacing w:line="360" w:lineRule="auto"/>
            </w:pPr>
            <w:r w:rsidRPr="006D5382">
              <w:t>0</w:t>
            </w:r>
          </w:p>
        </w:tc>
        <w:tc>
          <w:tcPr>
            <w:tcW w:w="210" w:type="pct"/>
            <w:shd w:val="clear" w:color="auto" w:fill="auto"/>
            <w:noWrap/>
            <w:hideMark/>
          </w:tcPr>
          <w:p w14:paraId="6E2E1FA1" w14:textId="77777777" w:rsidR="00706FE5" w:rsidRPr="006D5382" w:rsidRDefault="00706FE5" w:rsidP="006D5382">
            <w:pPr>
              <w:spacing w:line="360" w:lineRule="auto"/>
            </w:pPr>
            <w:r w:rsidRPr="006D5382">
              <w:t>1</w:t>
            </w:r>
          </w:p>
        </w:tc>
        <w:tc>
          <w:tcPr>
            <w:tcW w:w="221" w:type="pct"/>
            <w:shd w:val="clear" w:color="auto" w:fill="auto"/>
            <w:noWrap/>
            <w:hideMark/>
          </w:tcPr>
          <w:p w14:paraId="7A80638A" w14:textId="77777777" w:rsidR="00706FE5" w:rsidRPr="006D5382" w:rsidRDefault="00706FE5" w:rsidP="006D5382">
            <w:pPr>
              <w:spacing w:line="360" w:lineRule="auto"/>
            </w:pPr>
            <w:r w:rsidRPr="006D5382">
              <w:t>1</w:t>
            </w:r>
          </w:p>
        </w:tc>
        <w:tc>
          <w:tcPr>
            <w:tcW w:w="299" w:type="pct"/>
            <w:shd w:val="clear" w:color="000000" w:fill="00B0F0"/>
            <w:noWrap/>
            <w:hideMark/>
          </w:tcPr>
          <w:p w14:paraId="2A778F4F" w14:textId="77777777" w:rsidR="00706FE5" w:rsidRPr="006D5382" w:rsidRDefault="00706FE5" w:rsidP="006D5382">
            <w:pPr>
              <w:spacing w:line="360" w:lineRule="auto"/>
            </w:pPr>
            <w:r w:rsidRPr="006D5382">
              <w:t>2</w:t>
            </w:r>
          </w:p>
        </w:tc>
        <w:tc>
          <w:tcPr>
            <w:tcW w:w="265" w:type="pct"/>
            <w:shd w:val="clear" w:color="auto" w:fill="auto"/>
            <w:noWrap/>
            <w:hideMark/>
          </w:tcPr>
          <w:p w14:paraId="47C18C03" w14:textId="77777777" w:rsidR="00706FE5" w:rsidRPr="006D5382" w:rsidRDefault="00706FE5" w:rsidP="006D5382">
            <w:pPr>
              <w:spacing w:line="360" w:lineRule="auto"/>
              <w:rPr>
                <w:b/>
                <w:bCs/>
              </w:rPr>
            </w:pPr>
            <w:r w:rsidRPr="006D5382">
              <w:rPr>
                <w:b/>
                <w:bCs/>
              </w:rPr>
              <w:t xml:space="preserve">Poor </w:t>
            </w:r>
          </w:p>
        </w:tc>
      </w:tr>
      <w:tr w:rsidR="006D5382" w:rsidRPr="006D5382" w14:paraId="12385CC4" w14:textId="77777777" w:rsidTr="00706FE5">
        <w:trPr>
          <w:trHeight w:val="324"/>
        </w:trPr>
        <w:tc>
          <w:tcPr>
            <w:tcW w:w="899" w:type="pct"/>
            <w:shd w:val="clear" w:color="auto" w:fill="auto"/>
            <w:noWrap/>
            <w:vAlign w:val="center"/>
            <w:hideMark/>
          </w:tcPr>
          <w:p w14:paraId="1632F48F" w14:textId="77777777" w:rsidR="00706FE5" w:rsidRPr="006D5382" w:rsidRDefault="00706FE5" w:rsidP="006D5382">
            <w:pPr>
              <w:spacing w:line="360" w:lineRule="auto"/>
            </w:pPr>
            <w:r w:rsidRPr="006D5382">
              <w:t xml:space="preserve">McMahon PJ, </w:t>
            </w:r>
            <w:r w:rsidRPr="006D5382">
              <w:rPr>
                <w:i/>
              </w:rPr>
              <w:t xml:space="preserve">2015 </w:t>
            </w:r>
            <w:r w:rsidRPr="006D5382">
              <w:t xml:space="preserve"> (a)</w:t>
            </w:r>
            <w:r w:rsidR="00DA1B98" w:rsidRPr="006D5382">
              <w:rPr>
                <w:noProof/>
                <w:vertAlign w:val="superscript"/>
              </w:rPr>
              <w:t>25</w:t>
            </w:r>
          </w:p>
        </w:tc>
        <w:tc>
          <w:tcPr>
            <w:tcW w:w="434" w:type="pct"/>
            <w:shd w:val="clear" w:color="auto" w:fill="auto"/>
            <w:noWrap/>
            <w:hideMark/>
          </w:tcPr>
          <w:p w14:paraId="3BDCDDA1" w14:textId="77777777" w:rsidR="00706FE5" w:rsidRPr="006D5382" w:rsidRDefault="00706FE5" w:rsidP="006D5382">
            <w:pPr>
              <w:spacing w:line="360" w:lineRule="auto"/>
            </w:pPr>
            <w:r w:rsidRPr="006D5382">
              <w:t>0</w:t>
            </w:r>
          </w:p>
        </w:tc>
        <w:tc>
          <w:tcPr>
            <w:tcW w:w="985" w:type="pct"/>
            <w:shd w:val="clear" w:color="auto" w:fill="auto"/>
            <w:noWrap/>
            <w:hideMark/>
          </w:tcPr>
          <w:p w14:paraId="232F2E80" w14:textId="77777777" w:rsidR="00706FE5" w:rsidRPr="006D5382" w:rsidRDefault="00706FE5" w:rsidP="006D5382">
            <w:pPr>
              <w:spacing w:line="360" w:lineRule="auto"/>
            </w:pPr>
            <w:r w:rsidRPr="006D5382">
              <w:t>1</w:t>
            </w:r>
          </w:p>
        </w:tc>
        <w:tc>
          <w:tcPr>
            <w:tcW w:w="514" w:type="pct"/>
            <w:shd w:val="clear" w:color="auto" w:fill="auto"/>
            <w:noWrap/>
            <w:hideMark/>
          </w:tcPr>
          <w:p w14:paraId="6417A323" w14:textId="77777777" w:rsidR="00706FE5" w:rsidRPr="006D5382" w:rsidRDefault="00706FE5" w:rsidP="006D5382">
            <w:pPr>
              <w:spacing w:line="360" w:lineRule="auto"/>
            </w:pPr>
            <w:r w:rsidRPr="006D5382">
              <w:t>1</w:t>
            </w:r>
          </w:p>
        </w:tc>
        <w:tc>
          <w:tcPr>
            <w:tcW w:w="297" w:type="pct"/>
            <w:shd w:val="clear" w:color="auto" w:fill="auto"/>
            <w:noWrap/>
            <w:hideMark/>
          </w:tcPr>
          <w:p w14:paraId="79DA7038" w14:textId="77777777" w:rsidR="00706FE5" w:rsidRPr="006D5382" w:rsidRDefault="00706FE5" w:rsidP="006D5382">
            <w:pPr>
              <w:spacing w:line="360" w:lineRule="auto"/>
            </w:pPr>
            <w:r w:rsidRPr="006D5382">
              <w:t>0</w:t>
            </w:r>
          </w:p>
        </w:tc>
        <w:tc>
          <w:tcPr>
            <w:tcW w:w="321" w:type="pct"/>
            <w:shd w:val="clear" w:color="000000" w:fill="FFFF00"/>
            <w:noWrap/>
            <w:hideMark/>
          </w:tcPr>
          <w:p w14:paraId="4C1013DF" w14:textId="77777777" w:rsidR="00706FE5" w:rsidRPr="006D5382" w:rsidRDefault="00706FE5" w:rsidP="006D5382">
            <w:pPr>
              <w:spacing w:line="360" w:lineRule="auto"/>
            </w:pPr>
            <w:r w:rsidRPr="006D5382">
              <w:t>2</w:t>
            </w:r>
          </w:p>
        </w:tc>
        <w:tc>
          <w:tcPr>
            <w:tcW w:w="304" w:type="pct"/>
            <w:shd w:val="clear" w:color="000000" w:fill="92D050"/>
            <w:noWrap/>
            <w:hideMark/>
          </w:tcPr>
          <w:p w14:paraId="1FD731D9" w14:textId="77777777" w:rsidR="00706FE5" w:rsidRPr="006D5382" w:rsidRDefault="00706FE5" w:rsidP="006D5382">
            <w:pPr>
              <w:spacing w:line="360" w:lineRule="auto"/>
            </w:pPr>
            <w:r w:rsidRPr="006D5382">
              <w:t>2</w:t>
            </w:r>
          </w:p>
        </w:tc>
        <w:tc>
          <w:tcPr>
            <w:tcW w:w="254" w:type="pct"/>
            <w:shd w:val="clear" w:color="auto" w:fill="auto"/>
            <w:noWrap/>
            <w:hideMark/>
          </w:tcPr>
          <w:p w14:paraId="1DA01186" w14:textId="77777777" w:rsidR="00706FE5" w:rsidRPr="006D5382" w:rsidRDefault="00706FE5" w:rsidP="006D5382">
            <w:pPr>
              <w:spacing w:line="360" w:lineRule="auto"/>
            </w:pPr>
            <w:r w:rsidRPr="006D5382">
              <w:t>1</w:t>
            </w:r>
          </w:p>
        </w:tc>
        <w:tc>
          <w:tcPr>
            <w:tcW w:w="210" w:type="pct"/>
            <w:shd w:val="clear" w:color="auto" w:fill="auto"/>
            <w:noWrap/>
            <w:hideMark/>
          </w:tcPr>
          <w:p w14:paraId="20CD044B" w14:textId="77777777" w:rsidR="00706FE5" w:rsidRPr="006D5382" w:rsidRDefault="00706FE5" w:rsidP="006D5382">
            <w:pPr>
              <w:spacing w:line="360" w:lineRule="auto"/>
            </w:pPr>
            <w:r w:rsidRPr="006D5382">
              <w:t>1</w:t>
            </w:r>
          </w:p>
        </w:tc>
        <w:tc>
          <w:tcPr>
            <w:tcW w:w="221" w:type="pct"/>
            <w:shd w:val="clear" w:color="auto" w:fill="auto"/>
            <w:noWrap/>
            <w:hideMark/>
          </w:tcPr>
          <w:p w14:paraId="742A7714" w14:textId="77777777" w:rsidR="00706FE5" w:rsidRPr="006D5382" w:rsidRDefault="00706FE5" w:rsidP="006D5382">
            <w:pPr>
              <w:spacing w:line="360" w:lineRule="auto"/>
            </w:pPr>
            <w:r w:rsidRPr="006D5382">
              <w:t>1</w:t>
            </w:r>
          </w:p>
        </w:tc>
        <w:tc>
          <w:tcPr>
            <w:tcW w:w="299" w:type="pct"/>
            <w:shd w:val="clear" w:color="000000" w:fill="00B0F0"/>
            <w:noWrap/>
            <w:hideMark/>
          </w:tcPr>
          <w:p w14:paraId="1C271F32" w14:textId="77777777" w:rsidR="00706FE5" w:rsidRPr="006D5382" w:rsidRDefault="00706FE5" w:rsidP="006D5382">
            <w:pPr>
              <w:spacing w:line="360" w:lineRule="auto"/>
            </w:pPr>
            <w:r w:rsidRPr="006D5382">
              <w:t>3</w:t>
            </w:r>
          </w:p>
        </w:tc>
        <w:tc>
          <w:tcPr>
            <w:tcW w:w="265" w:type="pct"/>
            <w:shd w:val="clear" w:color="auto" w:fill="auto"/>
            <w:noWrap/>
            <w:hideMark/>
          </w:tcPr>
          <w:p w14:paraId="23E48E6B" w14:textId="77777777" w:rsidR="00706FE5" w:rsidRPr="006D5382" w:rsidRDefault="00706FE5" w:rsidP="006D5382">
            <w:pPr>
              <w:spacing w:line="360" w:lineRule="auto"/>
              <w:rPr>
                <w:b/>
                <w:bCs/>
              </w:rPr>
            </w:pPr>
            <w:r w:rsidRPr="006D5382">
              <w:rPr>
                <w:b/>
                <w:bCs/>
              </w:rPr>
              <w:t xml:space="preserve">Fair </w:t>
            </w:r>
          </w:p>
        </w:tc>
      </w:tr>
      <w:tr w:rsidR="006D5382" w:rsidRPr="006D5382" w14:paraId="62C13BDD" w14:textId="77777777" w:rsidTr="00706FE5">
        <w:trPr>
          <w:trHeight w:val="324"/>
        </w:trPr>
        <w:tc>
          <w:tcPr>
            <w:tcW w:w="899" w:type="pct"/>
            <w:shd w:val="clear" w:color="auto" w:fill="auto"/>
            <w:noWrap/>
            <w:vAlign w:val="center"/>
            <w:hideMark/>
          </w:tcPr>
          <w:p w14:paraId="174B8008" w14:textId="77777777" w:rsidR="00706FE5" w:rsidRPr="006D5382" w:rsidRDefault="00706FE5" w:rsidP="006D5382">
            <w:pPr>
              <w:spacing w:line="360" w:lineRule="auto"/>
            </w:pPr>
            <w:proofErr w:type="spellStart"/>
            <w:r w:rsidRPr="006D5382">
              <w:t>Metting</w:t>
            </w:r>
            <w:proofErr w:type="spellEnd"/>
            <w:r w:rsidRPr="006D5382">
              <w:t xml:space="preserve"> Z, </w:t>
            </w:r>
            <w:r w:rsidRPr="006D5382">
              <w:rPr>
                <w:i/>
              </w:rPr>
              <w:t>2012</w:t>
            </w:r>
            <w:r w:rsidR="00DA1B98" w:rsidRPr="006D5382">
              <w:rPr>
                <w:noProof/>
                <w:vertAlign w:val="superscript"/>
              </w:rPr>
              <w:t>26</w:t>
            </w:r>
          </w:p>
        </w:tc>
        <w:tc>
          <w:tcPr>
            <w:tcW w:w="434" w:type="pct"/>
            <w:shd w:val="clear" w:color="auto" w:fill="auto"/>
            <w:noWrap/>
            <w:hideMark/>
          </w:tcPr>
          <w:p w14:paraId="467B688E" w14:textId="77777777" w:rsidR="00706FE5" w:rsidRPr="006D5382" w:rsidRDefault="00706FE5" w:rsidP="006D5382">
            <w:pPr>
              <w:spacing w:line="360" w:lineRule="auto"/>
            </w:pPr>
            <w:r w:rsidRPr="006D5382">
              <w:t>1</w:t>
            </w:r>
          </w:p>
        </w:tc>
        <w:tc>
          <w:tcPr>
            <w:tcW w:w="985" w:type="pct"/>
            <w:shd w:val="clear" w:color="auto" w:fill="auto"/>
            <w:noWrap/>
            <w:hideMark/>
          </w:tcPr>
          <w:p w14:paraId="0766EB87" w14:textId="77777777" w:rsidR="00706FE5" w:rsidRPr="006D5382" w:rsidRDefault="00706FE5" w:rsidP="006D5382">
            <w:pPr>
              <w:spacing w:line="360" w:lineRule="auto"/>
            </w:pPr>
            <w:r w:rsidRPr="006D5382">
              <w:t>1</w:t>
            </w:r>
          </w:p>
        </w:tc>
        <w:tc>
          <w:tcPr>
            <w:tcW w:w="514" w:type="pct"/>
            <w:shd w:val="clear" w:color="auto" w:fill="auto"/>
            <w:noWrap/>
            <w:hideMark/>
          </w:tcPr>
          <w:p w14:paraId="126648A7" w14:textId="77777777" w:rsidR="00706FE5" w:rsidRPr="006D5382" w:rsidRDefault="00706FE5" w:rsidP="006D5382">
            <w:pPr>
              <w:spacing w:line="360" w:lineRule="auto"/>
            </w:pPr>
            <w:r w:rsidRPr="006D5382">
              <w:t>1</w:t>
            </w:r>
          </w:p>
        </w:tc>
        <w:tc>
          <w:tcPr>
            <w:tcW w:w="297" w:type="pct"/>
            <w:shd w:val="clear" w:color="auto" w:fill="auto"/>
            <w:noWrap/>
            <w:hideMark/>
          </w:tcPr>
          <w:p w14:paraId="78FDE164" w14:textId="77777777" w:rsidR="00706FE5" w:rsidRPr="006D5382" w:rsidRDefault="00706FE5" w:rsidP="006D5382">
            <w:pPr>
              <w:spacing w:line="360" w:lineRule="auto"/>
            </w:pPr>
            <w:r w:rsidRPr="006D5382">
              <w:t>0</w:t>
            </w:r>
          </w:p>
        </w:tc>
        <w:tc>
          <w:tcPr>
            <w:tcW w:w="321" w:type="pct"/>
            <w:shd w:val="clear" w:color="000000" w:fill="FFFF00"/>
            <w:noWrap/>
            <w:hideMark/>
          </w:tcPr>
          <w:p w14:paraId="3EBCB868" w14:textId="77777777" w:rsidR="00706FE5" w:rsidRPr="006D5382" w:rsidRDefault="00706FE5" w:rsidP="006D5382">
            <w:pPr>
              <w:spacing w:line="360" w:lineRule="auto"/>
            </w:pPr>
            <w:r w:rsidRPr="006D5382">
              <w:t>3</w:t>
            </w:r>
          </w:p>
        </w:tc>
        <w:tc>
          <w:tcPr>
            <w:tcW w:w="304" w:type="pct"/>
            <w:shd w:val="clear" w:color="000000" w:fill="92D050"/>
            <w:noWrap/>
            <w:hideMark/>
          </w:tcPr>
          <w:p w14:paraId="68FB4A04" w14:textId="77777777" w:rsidR="00706FE5" w:rsidRPr="006D5382" w:rsidRDefault="00706FE5" w:rsidP="006D5382">
            <w:pPr>
              <w:spacing w:line="360" w:lineRule="auto"/>
            </w:pPr>
            <w:r w:rsidRPr="006D5382">
              <w:t>1</w:t>
            </w:r>
          </w:p>
        </w:tc>
        <w:tc>
          <w:tcPr>
            <w:tcW w:w="254" w:type="pct"/>
            <w:shd w:val="clear" w:color="auto" w:fill="auto"/>
            <w:noWrap/>
            <w:hideMark/>
          </w:tcPr>
          <w:p w14:paraId="0B536C4C" w14:textId="77777777" w:rsidR="00706FE5" w:rsidRPr="006D5382" w:rsidRDefault="00706FE5" w:rsidP="006D5382">
            <w:pPr>
              <w:spacing w:line="360" w:lineRule="auto"/>
            </w:pPr>
            <w:r w:rsidRPr="006D5382">
              <w:t>1</w:t>
            </w:r>
          </w:p>
        </w:tc>
        <w:tc>
          <w:tcPr>
            <w:tcW w:w="210" w:type="pct"/>
            <w:shd w:val="clear" w:color="auto" w:fill="auto"/>
            <w:noWrap/>
            <w:hideMark/>
          </w:tcPr>
          <w:p w14:paraId="1A6E6838" w14:textId="77777777" w:rsidR="00706FE5" w:rsidRPr="006D5382" w:rsidRDefault="00706FE5" w:rsidP="006D5382">
            <w:pPr>
              <w:spacing w:line="360" w:lineRule="auto"/>
            </w:pPr>
            <w:r w:rsidRPr="006D5382">
              <w:t>1</w:t>
            </w:r>
          </w:p>
        </w:tc>
        <w:tc>
          <w:tcPr>
            <w:tcW w:w="221" w:type="pct"/>
            <w:shd w:val="clear" w:color="auto" w:fill="auto"/>
            <w:noWrap/>
            <w:hideMark/>
          </w:tcPr>
          <w:p w14:paraId="18A0E032" w14:textId="77777777" w:rsidR="00706FE5" w:rsidRPr="006D5382" w:rsidRDefault="00706FE5" w:rsidP="006D5382">
            <w:pPr>
              <w:spacing w:line="360" w:lineRule="auto"/>
            </w:pPr>
            <w:r w:rsidRPr="006D5382">
              <w:t>1</w:t>
            </w:r>
          </w:p>
        </w:tc>
        <w:tc>
          <w:tcPr>
            <w:tcW w:w="299" w:type="pct"/>
            <w:shd w:val="clear" w:color="000000" w:fill="00B0F0"/>
            <w:noWrap/>
            <w:hideMark/>
          </w:tcPr>
          <w:p w14:paraId="6EC5AC50" w14:textId="77777777" w:rsidR="00706FE5" w:rsidRPr="006D5382" w:rsidRDefault="00706FE5" w:rsidP="006D5382">
            <w:pPr>
              <w:spacing w:line="360" w:lineRule="auto"/>
            </w:pPr>
            <w:r w:rsidRPr="006D5382">
              <w:t>3</w:t>
            </w:r>
          </w:p>
        </w:tc>
        <w:tc>
          <w:tcPr>
            <w:tcW w:w="265" w:type="pct"/>
            <w:shd w:val="clear" w:color="auto" w:fill="auto"/>
            <w:noWrap/>
            <w:hideMark/>
          </w:tcPr>
          <w:p w14:paraId="30706436" w14:textId="77777777" w:rsidR="00706FE5" w:rsidRPr="006D5382" w:rsidRDefault="00706FE5" w:rsidP="006D5382">
            <w:pPr>
              <w:spacing w:line="360" w:lineRule="auto"/>
              <w:rPr>
                <w:b/>
                <w:bCs/>
              </w:rPr>
            </w:pPr>
            <w:r w:rsidRPr="006D5382">
              <w:rPr>
                <w:b/>
                <w:bCs/>
              </w:rPr>
              <w:t xml:space="preserve">Good </w:t>
            </w:r>
          </w:p>
        </w:tc>
      </w:tr>
      <w:tr w:rsidR="006D5382" w:rsidRPr="006D5382" w14:paraId="02D7779D" w14:textId="77777777" w:rsidTr="00706FE5">
        <w:trPr>
          <w:trHeight w:val="324"/>
        </w:trPr>
        <w:tc>
          <w:tcPr>
            <w:tcW w:w="899" w:type="pct"/>
            <w:shd w:val="clear" w:color="auto" w:fill="auto"/>
            <w:noWrap/>
            <w:vAlign w:val="bottom"/>
            <w:hideMark/>
          </w:tcPr>
          <w:p w14:paraId="2A227BBB" w14:textId="77777777" w:rsidR="00706FE5" w:rsidRPr="006D5382" w:rsidRDefault="00706FE5" w:rsidP="006D5382">
            <w:pPr>
              <w:spacing w:line="360" w:lineRule="auto"/>
            </w:pPr>
            <w:proofErr w:type="spellStart"/>
            <w:r w:rsidRPr="006D5382">
              <w:t>Mondello</w:t>
            </w:r>
            <w:proofErr w:type="spellEnd"/>
            <w:r w:rsidRPr="006D5382">
              <w:t xml:space="preserve"> S, </w:t>
            </w:r>
            <w:r w:rsidRPr="006D5382">
              <w:rPr>
                <w:i/>
              </w:rPr>
              <w:t>2012</w:t>
            </w:r>
            <w:r w:rsidRPr="006D5382">
              <w:t xml:space="preserve"> (c)</w:t>
            </w:r>
            <w:r w:rsidR="00DA1B98" w:rsidRPr="006D5382">
              <w:rPr>
                <w:noProof/>
                <w:vertAlign w:val="superscript"/>
              </w:rPr>
              <w:t>27</w:t>
            </w:r>
          </w:p>
        </w:tc>
        <w:tc>
          <w:tcPr>
            <w:tcW w:w="434" w:type="pct"/>
            <w:shd w:val="clear" w:color="auto" w:fill="auto"/>
            <w:noWrap/>
            <w:hideMark/>
          </w:tcPr>
          <w:p w14:paraId="07F184BC" w14:textId="77777777" w:rsidR="00706FE5" w:rsidRPr="006D5382" w:rsidRDefault="00706FE5" w:rsidP="006D5382">
            <w:pPr>
              <w:spacing w:line="360" w:lineRule="auto"/>
            </w:pPr>
            <w:r w:rsidRPr="006D5382">
              <w:t>0</w:t>
            </w:r>
          </w:p>
        </w:tc>
        <w:tc>
          <w:tcPr>
            <w:tcW w:w="985" w:type="pct"/>
            <w:shd w:val="clear" w:color="auto" w:fill="auto"/>
            <w:noWrap/>
            <w:hideMark/>
          </w:tcPr>
          <w:p w14:paraId="577DE4EE" w14:textId="77777777" w:rsidR="00706FE5" w:rsidRPr="006D5382" w:rsidRDefault="00706FE5" w:rsidP="006D5382">
            <w:pPr>
              <w:spacing w:line="360" w:lineRule="auto"/>
            </w:pPr>
            <w:r w:rsidRPr="006D5382">
              <w:t>1</w:t>
            </w:r>
          </w:p>
        </w:tc>
        <w:tc>
          <w:tcPr>
            <w:tcW w:w="514" w:type="pct"/>
            <w:shd w:val="clear" w:color="auto" w:fill="auto"/>
            <w:noWrap/>
            <w:hideMark/>
          </w:tcPr>
          <w:p w14:paraId="13C466FD" w14:textId="77777777" w:rsidR="00706FE5" w:rsidRPr="006D5382" w:rsidRDefault="00706FE5" w:rsidP="006D5382">
            <w:pPr>
              <w:spacing w:line="360" w:lineRule="auto"/>
            </w:pPr>
            <w:r w:rsidRPr="006D5382">
              <w:t>1</w:t>
            </w:r>
          </w:p>
        </w:tc>
        <w:tc>
          <w:tcPr>
            <w:tcW w:w="297" w:type="pct"/>
            <w:shd w:val="clear" w:color="auto" w:fill="auto"/>
            <w:noWrap/>
            <w:hideMark/>
          </w:tcPr>
          <w:p w14:paraId="70AFBA4B" w14:textId="77777777" w:rsidR="00706FE5" w:rsidRPr="006D5382" w:rsidRDefault="00706FE5" w:rsidP="006D5382">
            <w:pPr>
              <w:spacing w:line="360" w:lineRule="auto"/>
            </w:pPr>
            <w:r w:rsidRPr="006D5382">
              <w:t>0</w:t>
            </w:r>
          </w:p>
        </w:tc>
        <w:tc>
          <w:tcPr>
            <w:tcW w:w="321" w:type="pct"/>
            <w:shd w:val="clear" w:color="000000" w:fill="FFFF00"/>
            <w:noWrap/>
            <w:hideMark/>
          </w:tcPr>
          <w:p w14:paraId="208ACCE7" w14:textId="77777777" w:rsidR="00706FE5" w:rsidRPr="006D5382" w:rsidRDefault="00706FE5" w:rsidP="006D5382">
            <w:pPr>
              <w:spacing w:line="360" w:lineRule="auto"/>
            </w:pPr>
            <w:r w:rsidRPr="006D5382">
              <w:t>2</w:t>
            </w:r>
          </w:p>
        </w:tc>
        <w:tc>
          <w:tcPr>
            <w:tcW w:w="304" w:type="pct"/>
            <w:shd w:val="clear" w:color="000000" w:fill="92D050"/>
            <w:noWrap/>
            <w:hideMark/>
          </w:tcPr>
          <w:p w14:paraId="07E384ED" w14:textId="77777777" w:rsidR="00706FE5" w:rsidRPr="006D5382" w:rsidRDefault="00706FE5" w:rsidP="006D5382">
            <w:pPr>
              <w:spacing w:line="360" w:lineRule="auto"/>
            </w:pPr>
            <w:r w:rsidRPr="006D5382">
              <w:t>1</w:t>
            </w:r>
          </w:p>
        </w:tc>
        <w:tc>
          <w:tcPr>
            <w:tcW w:w="254" w:type="pct"/>
            <w:shd w:val="clear" w:color="auto" w:fill="auto"/>
            <w:noWrap/>
            <w:hideMark/>
          </w:tcPr>
          <w:p w14:paraId="3E6F24C1" w14:textId="77777777" w:rsidR="00706FE5" w:rsidRPr="006D5382" w:rsidRDefault="00706FE5" w:rsidP="006D5382">
            <w:pPr>
              <w:spacing w:line="360" w:lineRule="auto"/>
            </w:pPr>
            <w:r w:rsidRPr="006D5382">
              <w:t>1</w:t>
            </w:r>
          </w:p>
        </w:tc>
        <w:tc>
          <w:tcPr>
            <w:tcW w:w="210" w:type="pct"/>
            <w:shd w:val="clear" w:color="auto" w:fill="auto"/>
            <w:noWrap/>
            <w:hideMark/>
          </w:tcPr>
          <w:p w14:paraId="48E1E3D8" w14:textId="77777777" w:rsidR="00706FE5" w:rsidRPr="006D5382" w:rsidRDefault="00706FE5" w:rsidP="006D5382">
            <w:pPr>
              <w:spacing w:line="360" w:lineRule="auto"/>
            </w:pPr>
            <w:r w:rsidRPr="006D5382">
              <w:t>1</w:t>
            </w:r>
          </w:p>
        </w:tc>
        <w:tc>
          <w:tcPr>
            <w:tcW w:w="221" w:type="pct"/>
            <w:shd w:val="clear" w:color="auto" w:fill="auto"/>
            <w:noWrap/>
            <w:hideMark/>
          </w:tcPr>
          <w:p w14:paraId="1CEEA63E" w14:textId="77777777" w:rsidR="00706FE5" w:rsidRPr="006D5382" w:rsidRDefault="00706FE5" w:rsidP="006D5382">
            <w:pPr>
              <w:spacing w:line="360" w:lineRule="auto"/>
            </w:pPr>
            <w:r w:rsidRPr="006D5382">
              <w:t>1</w:t>
            </w:r>
          </w:p>
        </w:tc>
        <w:tc>
          <w:tcPr>
            <w:tcW w:w="299" w:type="pct"/>
            <w:shd w:val="clear" w:color="000000" w:fill="00B0F0"/>
            <w:noWrap/>
            <w:hideMark/>
          </w:tcPr>
          <w:p w14:paraId="0A6C6B06" w14:textId="77777777" w:rsidR="00706FE5" w:rsidRPr="006D5382" w:rsidRDefault="00706FE5" w:rsidP="006D5382">
            <w:pPr>
              <w:spacing w:line="360" w:lineRule="auto"/>
            </w:pPr>
            <w:r w:rsidRPr="006D5382">
              <w:t>3</w:t>
            </w:r>
          </w:p>
        </w:tc>
        <w:tc>
          <w:tcPr>
            <w:tcW w:w="265" w:type="pct"/>
            <w:shd w:val="clear" w:color="auto" w:fill="auto"/>
            <w:noWrap/>
            <w:hideMark/>
          </w:tcPr>
          <w:p w14:paraId="7C527821" w14:textId="77777777" w:rsidR="00706FE5" w:rsidRPr="006D5382" w:rsidRDefault="00706FE5" w:rsidP="006D5382">
            <w:pPr>
              <w:spacing w:line="360" w:lineRule="auto"/>
              <w:rPr>
                <w:b/>
                <w:bCs/>
              </w:rPr>
            </w:pPr>
            <w:r w:rsidRPr="006D5382">
              <w:rPr>
                <w:b/>
                <w:bCs/>
              </w:rPr>
              <w:t xml:space="preserve">Fair </w:t>
            </w:r>
          </w:p>
        </w:tc>
      </w:tr>
      <w:tr w:rsidR="006D5382" w:rsidRPr="006D5382" w14:paraId="05840A9D" w14:textId="77777777" w:rsidTr="00706FE5">
        <w:trPr>
          <w:trHeight w:val="324"/>
        </w:trPr>
        <w:tc>
          <w:tcPr>
            <w:tcW w:w="899" w:type="pct"/>
            <w:shd w:val="clear" w:color="auto" w:fill="auto"/>
            <w:noWrap/>
            <w:vAlign w:val="bottom"/>
            <w:hideMark/>
          </w:tcPr>
          <w:p w14:paraId="1F146B9F" w14:textId="77777777" w:rsidR="00706FE5" w:rsidRPr="006D5382" w:rsidRDefault="00706FE5" w:rsidP="006D5382">
            <w:pPr>
              <w:spacing w:line="360" w:lineRule="auto"/>
            </w:pPr>
            <w:proofErr w:type="spellStart"/>
            <w:r w:rsidRPr="006D5382">
              <w:t>Mondello</w:t>
            </w:r>
            <w:proofErr w:type="spellEnd"/>
            <w:r w:rsidRPr="006D5382">
              <w:t xml:space="preserve"> S, </w:t>
            </w:r>
            <w:r w:rsidRPr="006D5382">
              <w:rPr>
                <w:i/>
              </w:rPr>
              <w:t>2016</w:t>
            </w:r>
            <w:r w:rsidR="00DA1B98" w:rsidRPr="006D5382">
              <w:rPr>
                <w:noProof/>
                <w:vertAlign w:val="superscript"/>
              </w:rPr>
              <w:t>28</w:t>
            </w:r>
          </w:p>
        </w:tc>
        <w:tc>
          <w:tcPr>
            <w:tcW w:w="434" w:type="pct"/>
            <w:shd w:val="clear" w:color="auto" w:fill="auto"/>
            <w:noWrap/>
            <w:hideMark/>
          </w:tcPr>
          <w:p w14:paraId="6D718555" w14:textId="77777777" w:rsidR="00706FE5" w:rsidRPr="006D5382" w:rsidRDefault="00706FE5" w:rsidP="006D5382">
            <w:pPr>
              <w:spacing w:line="360" w:lineRule="auto"/>
            </w:pPr>
            <w:r w:rsidRPr="006D5382">
              <w:t>0</w:t>
            </w:r>
          </w:p>
        </w:tc>
        <w:tc>
          <w:tcPr>
            <w:tcW w:w="985" w:type="pct"/>
            <w:shd w:val="clear" w:color="auto" w:fill="auto"/>
            <w:noWrap/>
            <w:hideMark/>
          </w:tcPr>
          <w:p w14:paraId="3715052A" w14:textId="77777777" w:rsidR="00706FE5" w:rsidRPr="006D5382" w:rsidRDefault="00706FE5" w:rsidP="006D5382">
            <w:pPr>
              <w:spacing w:line="360" w:lineRule="auto"/>
            </w:pPr>
            <w:r w:rsidRPr="006D5382">
              <w:t>1</w:t>
            </w:r>
          </w:p>
        </w:tc>
        <w:tc>
          <w:tcPr>
            <w:tcW w:w="514" w:type="pct"/>
            <w:shd w:val="clear" w:color="auto" w:fill="auto"/>
            <w:noWrap/>
            <w:hideMark/>
          </w:tcPr>
          <w:p w14:paraId="3C73FCB1" w14:textId="77777777" w:rsidR="00706FE5" w:rsidRPr="006D5382" w:rsidRDefault="00706FE5" w:rsidP="006D5382">
            <w:pPr>
              <w:spacing w:line="360" w:lineRule="auto"/>
            </w:pPr>
            <w:r w:rsidRPr="006D5382">
              <w:t>1</w:t>
            </w:r>
          </w:p>
        </w:tc>
        <w:tc>
          <w:tcPr>
            <w:tcW w:w="297" w:type="pct"/>
            <w:shd w:val="clear" w:color="auto" w:fill="auto"/>
            <w:noWrap/>
            <w:hideMark/>
          </w:tcPr>
          <w:p w14:paraId="48B1E35F" w14:textId="77777777" w:rsidR="00706FE5" w:rsidRPr="006D5382" w:rsidRDefault="00706FE5" w:rsidP="006D5382">
            <w:pPr>
              <w:spacing w:line="360" w:lineRule="auto"/>
            </w:pPr>
            <w:r w:rsidRPr="006D5382">
              <w:t>0</w:t>
            </w:r>
          </w:p>
        </w:tc>
        <w:tc>
          <w:tcPr>
            <w:tcW w:w="321" w:type="pct"/>
            <w:shd w:val="clear" w:color="000000" w:fill="FFFF00"/>
            <w:noWrap/>
            <w:hideMark/>
          </w:tcPr>
          <w:p w14:paraId="6B6CA1E1" w14:textId="77777777" w:rsidR="00706FE5" w:rsidRPr="006D5382" w:rsidRDefault="00706FE5" w:rsidP="006D5382">
            <w:pPr>
              <w:spacing w:line="360" w:lineRule="auto"/>
            </w:pPr>
            <w:r w:rsidRPr="006D5382">
              <w:t>2</w:t>
            </w:r>
          </w:p>
        </w:tc>
        <w:tc>
          <w:tcPr>
            <w:tcW w:w="304" w:type="pct"/>
            <w:shd w:val="clear" w:color="000000" w:fill="92D050"/>
            <w:noWrap/>
            <w:hideMark/>
          </w:tcPr>
          <w:p w14:paraId="418B23EF" w14:textId="77777777" w:rsidR="00706FE5" w:rsidRPr="006D5382" w:rsidRDefault="00706FE5" w:rsidP="006D5382">
            <w:pPr>
              <w:spacing w:line="360" w:lineRule="auto"/>
            </w:pPr>
            <w:r w:rsidRPr="006D5382">
              <w:t>2</w:t>
            </w:r>
          </w:p>
        </w:tc>
        <w:tc>
          <w:tcPr>
            <w:tcW w:w="254" w:type="pct"/>
            <w:shd w:val="clear" w:color="auto" w:fill="auto"/>
            <w:noWrap/>
            <w:hideMark/>
          </w:tcPr>
          <w:p w14:paraId="11EE5095" w14:textId="77777777" w:rsidR="00706FE5" w:rsidRPr="006D5382" w:rsidRDefault="00706FE5" w:rsidP="006D5382">
            <w:pPr>
              <w:spacing w:line="360" w:lineRule="auto"/>
            </w:pPr>
            <w:r w:rsidRPr="006D5382">
              <w:t>1</w:t>
            </w:r>
          </w:p>
        </w:tc>
        <w:tc>
          <w:tcPr>
            <w:tcW w:w="210" w:type="pct"/>
            <w:shd w:val="clear" w:color="auto" w:fill="auto"/>
            <w:noWrap/>
            <w:hideMark/>
          </w:tcPr>
          <w:p w14:paraId="7E9625EA" w14:textId="77777777" w:rsidR="00706FE5" w:rsidRPr="006D5382" w:rsidRDefault="00706FE5" w:rsidP="006D5382">
            <w:pPr>
              <w:spacing w:line="360" w:lineRule="auto"/>
            </w:pPr>
            <w:r w:rsidRPr="006D5382">
              <w:t>1</w:t>
            </w:r>
          </w:p>
        </w:tc>
        <w:tc>
          <w:tcPr>
            <w:tcW w:w="221" w:type="pct"/>
            <w:shd w:val="clear" w:color="auto" w:fill="auto"/>
            <w:noWrap/>
            <w:hideMark/>
          </w:tcPr>
          <w:p w14:paraId="61396E47" w14:textId="77777777" w:rsidR="00706FE5" w:rsidRPr="006D5382" w:rsidRDefault="00706FE5" w:rsidP="006D5382">
            <w:pPr>
              <w:spacing w:line="360" w:lineRule="auto"/>
            </w:pPr>
            <w:r w:rsidRPr="006D5382">
              <w:t>1</w:t>
            </w:r>
          </w:p>
        </w:tc>
        <w:tc>
          <w:tcPr>
            <w:tcW w:w="299" w:type="pct"/>
            <w:shd w:val="clear" w:color="000000" w:fill="00B0F0"/>
            <w:noWrap/>
            <w:hideMark/>
          </w:tcPr>
          <w:p w14:paraId="734885C3" w14:textId="77777777" w:rsidR="00706FE5" w:rsidRPr="006D5382" w:rsidRDefault="00706FE5" w:rsidP="006D5382">
            <w:pPr>
              <w:spacing w:line="360" w:lineRule="auto"/>
            </w:pPr>
            <w:r w:rsidRPr="006D5382">
              <w:t>3</w:t>
            </w:r>
          </w:p>
        </w:tc>
        <w:tc>
          <w:tcPr>
            <w:tcW w:w="265" w:type="pct"/>
            <w:shd w:val="clear" w:color="auto" w:fill="auto"/>
            <w:noWrap/>
            <w:hideMark/>
          </w:tcPr>
          <w:p w14:paraId="4040803A" w14:textId="77777777" w:rsidR="00706FE5" w:rsidRPr="006D5382" w:rsidRDefault="00706FE5" w:rsidP="006D5382">
            <w:pPr>
              <w:spacing w:line="360" w:lineRule="auto"/>
              <w:rPr>
                <w:b/>
                <w:bCs/>
              </w:rPr>
            </w:pPr>
            <w:r w:rsidRPr="006D5382">
              <w:rPr>
                <w:b/>
                <w:bCs/>
              </w:rPr>
              <w:t xml:space="preserve">Fair </w:t>
            </w:r>
          </w:p>
        </w:tc>
      </w:tr>
      <w:tr w:rsidR="006D5382" w:rsidRPr="006D5382" w14:paraId="5F98AA57" w14:textId="77777777" w:rsidTr="00706FE5">
        <w:trPr>
          <w:trHeight w:val="324"/>
        </w:trPr>
        <w:tc>
          <w:tcPr>
            <w:tcW w:w="899" w:type="pct"/>
            <w:shd w:val="clear" w:color="auto" w:fill="auto"/>
            <w:noWrap/>
            <w:hideMark/>
          </w:tcPr>
          <w:p w14:paraId="3597DED6" w14:textId="77777777" w:rsidR="00706FE5" w:rsidRPr="006D5382" w:rsidRDefault="00706FE5" w:rsidP="006D5382">
            <w:pPr>
              <w:spacing w:line="360" w:lineRule="auto"/>
            </w:pPr>
            <w:r w:rsidRPr="006D5382">
              <w:t xml:space="preserve">Muller K, </w:t>
            </w:r>
            <w:r w:rsidRPr="006D5382">
              <w:rPr>
                <w:i/>
              </w:rPr>
              <w:t>2007</w:t>
            </w:r>
            <w:r w:rsidR="00DA1B98" w:rsidRPr="006D5382">
              <w:rPr>
                <w:noProof/>
                <w:vertAlign w:val="superscript"/>
              </w:rPr>
              <w:t>29</w:t>
            </w:r>
          </w:p>
        </w:tc>
        <w:tc>
          <w:tcPr>
            <w:tcW w:w="434" w:type="pct"/>
            <w:shd w:val="clear" w:color="auto" w:fill="auto"/>
            <w:noWrap/>
            <w:hideMark/>
          </w:tcPr>
          <w:p w14:paraId="1E4C7B41" w14:textId="77777777" w:rsidR="00706FE5" w:rsidRPr="006D5382" w:rsidRDefault="00706FE5" w:rsidP="006D5382">
            <w:pPr>
              <w:spacing w:line="360" w:lineRule="auto"/>
            </w:pPr>
            <w:r w:rsidRPr="006D5382">
              <w:t>0</w:t>
            </w:r>
          </w:p>
        </w:tc>
        <w:tc>
          <w:tcPr>
            <w:tcW w:w="985" w:type="pct"/>
            <w:shd w:val="clear" w:color="auto" w:fill="auto"/>
            <w:noWrap/>
            <w:hideMark/>
          </w:tcPr>
          <w:p w14:paraId="77213956" w14:textId="77777777" w:rsidR="00706FE5" w:rsidRPr="006D5382" w:rsidRDefault="00706FE5" w:rsidP="006D5382">
            <w:pPr>
              <w:spacing w:line="360" w:lineRule="auto"/>
            </w:pPr>
            <w:r w:rsidRPr="006D5382">
              <w:t>1</w:t>
            </w:r>
          </w:p>
        </w:tc>
        <w:tc>
          <w:tcPr>
            <w:tcW w:w="514" w:type="pct"/>
            <w:shd w:val="clear" w:color="auto" w:fill="auto"/>
            <w:noWrap/>
            <w:hideMark/>
          </w:tcPr>
          <w:p w14:paraId="50A19872" w14:textId="77777777" w:rsidR="00706FE5" w:rsidRPr="006D5382" w:rsidRDefault="00706FE5" w:rsidP="006D5382">
            <w:pPr>
              <w:spacing w:line="360" w:lineRule="auto"/>
            </w:pPr>
            <w:r w:rsidRPr="006D5382">
              <w:t>1</w:t>
            </w:r>
          </w:p>
        </w:tc>
        <w:tc>
          <w:tcPr>
            <w:tcW w:w="297" w:type="pct"/>
            <w:shd w:val="clear" w:color="auto" w:fill="auto"/>
            <w:noWrap/>
            <w:hideMark/>
          </w:tcPr>
          <w:p w14:paraId="62621F29" w14:textId="77777777" w:rsidR="00706FE5" w:rsidRPr="006D5382" w:rsidRDefault="00706FE5" w:rsidP="006D5382">
            <w:pPr>
              <w:spacing w:line="360" w:lineRule="auto"/>
            </w:pPr>
            <w:r w:rsidRPr="006D5382">
              <w:t>0</w:t>
            </w:r>
          </w:p>
        </w:tc>
        <w:tc>
          <w:tcPr>
            <w:tcW w:w="321" w:type="pct"/>
            <w:shd w:val="clear" w:color="000000" w:fill="FFFF00"/>
            <w:noWrap/>
            <w:hideMark/>
          </w:tcPr>
          <w:p w14:paraId="69524840" w14:textId="77777777" w:rsidR="00706FE5" w:rsidRPr="006D5382" w:rsidRDefault="00706FE5" w:rsidP="006D5382">
            <w:pPr>
              <w:spacing w:line="360" w:lineRule="auto"/>
            </w:pPr>
            <w:r w:rsidRPr="006D5382">
              <w:t>2</w:t>
            </w:r>
          </w:p>
        </w:tc>
        <w:tc>
          <w:tcPr>
            <w:tcW w:w="304" w:type="pct"/>
            <w:shd w:val="clear" w:color="000000" w:fill="92D050"/>
            <w:noWrap/>
            <w:hideMark/>
          </w:tcPr>
          <w:p w14:paraId="14AAAFB8" w14:textId="77777777" w:rsidR="00706FE5" w:rsidRPr="006D5382" w:rsidRDefault="00706FE5" w:rsidP="006D5382">
            <w:pPr>
              <w:spacing w:line="360" w:lineRule="auto"/>
            </w:pPr>
            <w:r w:rsidRPr="006D5382">
              <w:t>2</w:t>
            </w:r>
          </w:p>
        </w:tc>
        <w:tc>
          <w:tcPr>
            <w:tcW w:w="254" w:type="pct"/>
            <w:shd w:val="clear" w:color="auto" w:fill="auto"/>
            <w:noWrap/>
            <w:hideMark/>
          </w:tcPr>
          <w:p w14:paraId="7323F1F8" w14:textId="77777777" w:rsidR="00706FE5" w:rsidRPr="006D5382" w:rsidRDefault="00706FE5" w:rsidP="006D5382">
            <w:pPr>
              <w:spacing w:line="360" w:lineRule="auto"/>
            </w:pPr>
            <w:r w:rsidRPr="006D5382">
              <w:t>0</w:t>
            </w:r>
          </w:p>
        </w:tc>
        <w:tc>
          <w:tcPr>
            <w:tcW w:w="210" w:type="pct"/>
            <w:shd w:val="clear" w:color="auto" w:fill="auto"/>
            <w:noWrap/>
            <w:hideMark/>
          </w:tcPr>
          <w:p w14:paraId="4506A5EA" w14:textId="77777777" w:rsidR="00706FE5" w:rsidRPr="006D5382" w:rsidRDefault="00706FE5" w:rsidP="006D5382">
            <w:pPr>
              <w:spacing w:line="360" w:lineRule="auto"/>
            </w:pPr>
            <w:r w:rsidRPr="006D5382">
              <w:t>1</w:t>
            </w:r>
          </w:p>
        </w:tc>
        <w:tc>
          <w:tcPr>
            <w:tcW w:w="221" w:type="pct"/>
            <w:shd w:val="clear" w:color="auto" w:fill="auto"/>
            <w:noWrap/>
            <w:hideMark/>
          </w:tcPr>
          <w:p w14:paraId="2B17CE5D" w14:textId="77777777" w:rsidR="00706FE5" w:rsidRPr="006D5382" w:rsidRDefault="00706FE5" w:rsidP="006D5382">
            <w:pPr>
              <w:spacing w:line="360" w:lineRule="auto"/>
            </w:pPr>
            <w:r w:rsidRPr="006D5382">
              <w:t>1</w:t>
            </w:r>
          </w:p>
        </w:tc>
        <w:tc>
          <w:tcPr>
            <w:tcW w:w="299" w:type="pct"/>
            <w:shd w:val="clear" w:color="000000" w:fill="00B0F0"/>
            <w:noWrap/>
            <w:hideMark/>
          </w:tcPr>
          <w:p w14:paraId="4B547CC8" w14:textId="77777777" w:rsidR="00706FE5" w:rsidRPr="006D5382" w:rsidRDefault="00706FE5" w:rsidP="006D5382">
            <w:pPr>
              <w:spacing w:line="360" w:lineRule="auto"/>
            </w:pPr>
            <w:r w:rsidRPr="006D5382">
              <w:t>2</w:t>
            </w:r>
          </w:p>
        </w:tc>
        <w:tc>
          <w:tcPr>
            <w:tcW w:w="265" w:type="pct"/>
            <w:shd w:val="clear" w:color="auto" w:fill="auto"/>
            <w:noWrap/>
            <w:hideMark/>
          </w:tcPr>
          <w:p w14:paraId="0343EAF0" w14:textId="77777777" w:rsidR="00706FE5" w:rsidRPr="006D5382" w:rsidRDefault="00706FE5" w:rsidP="006D5382">
            <w:pPr>
              <w:spacing w:line="360" w:lineRule="auto"/>
              <w:rPr>
                <w:b/>
                <w:bCs/>
              </w:rPr>
            </w:pPr>
            <w:r w:rsidRPr="006D5382">
              <w:rPr>
                <w:b/>
                <w:bCs/>
              </w:rPr>
              <w:t xml:space="preserve">Fair </w:t>
            </w:r>
          </w:p>
        </w:tc>
      </w:tr>
      <w:tr w:rsidR="006D5382" w:rsidRPr="006D5382" w14:paraId="37343F14" w14:textId="77777777" w:rsidTr="00706FE5">
        <w:trPr>
          <w:trHeight w:val="324"/>
        </w:trPr>
        <w:tc>
          <w:tcPr>
            <w:tcW w:w="899" w:type="pct"/>
            <w:shd w:val="clear" w:color="auto" w:fill="auto"/>
            <w:noWrap/>
            <w:hideMark/>
          </w:tcPr>
          <w:p w14:paraId="7ECBAB70" w14:textId="77777777" w:rsidR="00706FE5" w:rsidRPr="006D5382" w:rsidRDefault="00706FE5" w:rsidP="006D5382">
            <w:pPr>
              <w:spacing w:line="360" w:lineRule="auto"/>
            </w:pPr>
            <w:proofErr w:type="spellStart"/>
            <w:r w:rsidRPr="006D5382">
              <w:t>Naeimi</w:t>
            </w:r>
            <w:proofErr w:type="spellEnd"/>
            <w:r w:rsidRPr="006D5382">
              <w:t xml:space="preserve"> ZS, </w:t>
            </w:r>
            <w:r w:rsidRPr="006D5382">
              <w:rPr>
                <w:i/>
              </w:rPr>
              <w:t>2006</w:t>
            </w:r>
            <w:r w:rsidR="00DA1B98" w:rsidRPr="006D5382">
              <w:rPr>
                <w:noProof/>
                <w:vertAlign w:val="superscript"/>
              </w:rPr>
              <w:t>30</w:t>
            </w:r>
          </w:p>
        </w:tc>
        <w:tc>
          <w:tcPr>
            <w:tcW w:w="434" w:type="pct"/>
            <w:shd w:val="clear" w:color="auto" w:fill="auto"/>
            <w:noWrap/>
            <w:hideMark/>
          </w:tcPr>
          <w:p w14:paraId="667CE4BE" w14:textId="77777777" w:rsidR="00706FE5" w:rsidRPr="006D5382" w:rsidRDefault="00706FE5" w:rsidP="006D5382">
            <w:pPr>
              <w:spacing w:line="360" w:lineRule="auto"/>
            </w:pPr>
            <w:r w:rsidRPr="006D5382">
              <w:t>0</w:t>
            </w:r>
          </w:p>
        </w:tc>
        <w:tc>
          <w:tcPr>
            <w:tcW w:w="985" w:type="pct"/>
            <w:shd w:val="clear" w:color="auto" w:fill="auto"/>
            <w:noWrap/>
            <w:hideMark/>
          </w:tcPr>
          <w:p w14:paraId="60602D01" w14:textId="77777777" w:rsidR="00706FE5" w:rsidRPr="006D5382" w:rsidRDefault="00706FE5" w:rsidP="006D5382">
            <w:pPr>
              <w:spacing w:line="360" w:lineRule="auto"/>
            </w:pPr>
            <w:r w:rsidRPr="006D5382">
              <w:t>1</w:t>
            </w:r>
          </w:p>
        </w:tc>
        <w:tc>
          <w:tcPr>
            <w:tcW w:w="514" w:type="pct"/>
            <w:shd w:val="clear" w:color="auto" w:fill="auto"/>
            <w:noWrap/>
            <w:hideMark/>
          </w:tcPr>
          <w:p w14:paraId="64AB735A" w14:textId="77777777" w:rsidR="00706FE5" w:rsidRPr="006D5382" w:rsidRDefault="00706FE5" w:rsidP="006D5382">
            <w:pPr>
              <w:spacing w:line="360" w:lineRule="auto"/>
            </w:pPr>
            <w:r w:rsidRPr="006D5382">
              <w:t>1</w:t>
            </w:r>
          </w:p>
        </w:tc>
        <w:tc>
          <w:tcPr>
            <w:tcW w:w="297" w:type="pct"/>
            <w:shd w:val="clear" w:color="auto" w:fill="auto"/>
            <w:noWrap/>
            <w:hideMark/>
          </w:tcPr>
          <w:p w14:paraId="2075246E" w14:textId="77777777" w:rsidR="00706FE5" w:rsidRPr="006D5382" w:rsidRDefault="00706FE5" w:rsidP="006D5382">
            <w:pPr>
              <w:spacing w:line="360" w:lineRule="auto"/>
            </w:pPr>
            <w:r w:rsidRPr="006D5382">
              <w:t>0</w:t>
            </w:r>
          </w:p>
        </w:tc>
        <w:tc>
          <w:tcPr>
            <w:tcW w:w="321" w:type="pct"/>
            <w:shd w:val="clear" w:color="000000" w:fill="FFFF00"/>
            <w:noWrap/>
            <w:hideMark/>
          </w:tcPr>
          <w:p w14:paraId="4903568B" w14:textId="77777777" w:rsidR="00706FE5" w:rsidRPr="006D5382" w:rsidRDefault="00706FE5" w:rsidP="006D5382">
            <w:pPr>
              <w:spacing w:line="360" w:lineRule="auto"/>
            </w:pPr>
            <w:r w:rsidRPr="006D5382">
              <w:t>2</w:t>
            </w:r>
          </w:p>
        </w:tc>
        <w:tc>
          <w:tcPr>
            <w:tcW w:w="304" w:type="pct"/>
            <w:shd w:val="clear" w:color="000000" w:fill="92D050"/>
            <w:noWrap/>
            <w:hideMark/>
          </w:tcPr>
          <w:p w14:paraId="201BF062" w14:textId="77777777" w:rsidR="00706FE5" w:rsidRPr="006D5382" w:rsidRDefault="00706FE5" w:rsidP="006D5382">
            <w:pPr>
              <w:spacing w:line="360" w:lineRule="auto"/>
            </w:pPr>
            <w:r w:rsidRPr="006D5382">
              <w:t>1</w:t>
            </w:r>
          </w:p>
        </w:tc>
        <w:tc>
          <w:tcPr>
            <w:tcW w:w="254" w:type="pct"/>
            <w:shd w:val="clear" w:color="auto" w:fill="auto"/>
            <w:noWrap/>
            <w:hideMark/>
          </w:tcPr>
          <w:p w14:paraId="6AE1A9EE" w14:textId="77777777" w:rsidR="00706FE5" w:rsidRPr="006D5382" w:rsidRDefault="00706FE5" w:rsidP="006D5382">
            <w:pPr>
              <w:spacing w:line="360" w:lineRule="auto"/>
            </w:pPr>
            <w:r w:rsidRPr="006D5382">
              <w:t>1</w:t>
            </w:r>
          </w:p>
        </w:tc>
        <w:tc>
          <w:tcPr>
            <w:tcW w:w="210" w:type="pct"/>
            <w:shd w:val="clear" w:color="auto" w:fill="auto"/>
            <w:noWrap/>
            <w:hideMark/>
          </w:tcPr>
          <w:p w14:paraId="6E40F07E" w14:textId="77777777" w:rsidR="00706FE5" w:rsidRPr="006D5382" w:rsidRDefault="00706FE5" w:rsidP="006D5382">
            <w:pPr>
              <w:spacing w:line="360" w:lineRule="auto"/>
            </w:pPr>
            <w:r w:rsidRPr="006D5382">
              <w:t>1</w:t>
            </w:r>
          </w:p>
        </w:tc>
        <w:tc>
          <w:tcPr>
            <w:tcW w:w="221" w:type="pct"/>
            <w:shd w:val="clear" w:color="auto" w:fill="auto"/>
            <w:noWrap/>
            <w:hideMark/>
          </w:tcPr>
          <w:p w14:paraId="4C56F44E" w14:textId="77777777" w:rsidR="00706FE5" w:rsidRPr="006D5382" w:rsidRDefault="00706FE5" w:rsidP="006D5382">
            <w:pPr>
              <w:spacing w:line="360" w:lineRule="auto"/>
            </w:pPr>
            <w:r w:rsidRPr="006D5382">
              <w:t>1</w:t>
            </w:r>
          </w:p>
        </w:tc>
        <w:tc>
          <w:tcPr>
            <w:tcW w:w="299" w:type="pct"/>
            <w:shd w:val="clear" w:color="000000" w:fill="00B0F0"/>
            <w:noWrap/>
            <w:hideMark/>
          </w:tcPr>
          <w:p w14:paraId="3EE728C8" w14:textId="77777777" w:rsidR="00706FE5" w:rsidRPr="006D5382" w:rsidRDefault="00706FE5" w:rsidP="006D5382">
            <w:pPr>
              <w:spacing w:line="360" w:lineRule="auto"/>
            </w:pPr>
            <w:r w:rsidRPr="006D5382">
              <w:t>3</w:t>
            </w:r>
          </w:p>
        </w:tc>
        <w:tc>
          <w:tcPr>
            <w:tcW w:w="265" w:type="pct"/>
            <w:shd w:val="clear" w:color="auto" w:fill="auto"/>
            <w:noWrap/>
            <w:hideMark/>
          </w:tcPr>
          <w:p w14:paraId="45144F55" w14:textId="77777777" w:rsidR="00706FE5" w:rsidRPr="006D5382" w:rsidRDefault="00706FE5" w:rsidP="006D5382">
            <w:pPr>
              <w:spacing w:line="360" w:lineRule="auto"/>
              <w:rPr>
                <w:b/>
                <w:bCs/>
              </w:rPr>
            </w:pPr>
            <w:r w:rsidRPr="006D5382">
              <w:rPr>
                <w:b/>
                <w:bCs/>
              </w:rPr>
              <w:t xml:space="preserve">Fair </w:t>
            </w:r>
          </w:p>
        </w:tc>
      </w:tr>
      <w:tr w:rsidR="006D5382" w:rsidRPr="006D5382" w14:paraId="2FF18815" w14:textId="77777777" w:rsidTr="00706FE5">
        <w:trPr>
          <w:trHeight w:val="324"/>
        </w:trPr>
        <w:tc>
          <w:tcPr>
            <w:tcW w:w="899" w:type="pct"/>
            <w:shd w:val="clear" w:color="auto" w:fill="auto"/>
            <w:noWrap/>
            <w:hideMark/>
          </w:tcPr>
          <w:p w14:paraId="6A64BBE1" w14:textId="77777777" w:rsidR="00706FE5" w:rsidRPr="006D5382" w:rsidRDefault="00706FE5" w:rsidP="006D5382">
            <w:pPr>
              <w:spacing w:line="360" w:lineRule="auto"/>
            </w:pPr>
            <w:r w:rsidRPr="006D5382">
              <w:t xml:space="preserve">Okonkwo DO, </w:t>
            </w:r>
            <w:r w:rsidRPr="006D5382">
              <w:rPr>
                <w:i/>
              </w:rPr>
              <w:t>2013</w:t>
            </w:r>
            <w:r w:rsidRPr="006D5382">
              <w:t xml:space="preserve"> (a)</w:t>
            </w:r>
            <w:r w:rsidR="00DA1B98" w:rsidRPr="006D5382">
              <w:rPr>
                <w:noProof/>
                <w:vertAlign w:val="superscript"/>
              </w:rPr>
              <w:t>31</w:t>
            </w:r>
          </w:p>
        </w:tc>
        <w:tc>
          <w:tcPr>
            <w:tcW w:w="434" w:type="pct"/>
            <w:shd w:val="clear" w:color="auto" w:fill="auto"/>
            <w:noWrap/>
            <w:hideMark/>
          </w:tcPr>
          <w:p w14:paraId="358889DF" w14:textId="77777777" w:rsidR="00706FE5" w:rsidRPr="006D5382" w:rsidRDefault="00706FE5" w:rsidP="006D5382">
            <w:pPr>
              <w:spacing w:line="360" w:lineRule="auto"/>
            </w:pPr>
            <w:r w:rsidRPr="006D5382">
              <w:t>0</w:t>
            </w:r>
          </w:p>
        </w:tc>
        <w:tc>
          <w:tcPr>
            <w:tcW w:w="985" w:type="pct"/>
            <w:shd w:val="clear" w:color="auto" w:fill="auto"/>
            <w:noWrap/>
            <w:hideMark/>
          </w:tcPr>
          <w:p w14:paraId="521DEF66" w14:textId="77777777" w:rsidR="00706FE5" w:rsidRPr="006D5382" w:rsidRDefault="00706FE5" w:rsidP="006D5382">
            <w:pPr>
              <w:spacing w:line="360" w:lineRule="auto"/>
            </w:pPr>
            <w:r w:rsidRPr="006D5382">
              <w:t>1</w:t>
            </w:r>
          </w:p>
        </w:tc>
        <w:tc>
          <w:tcPr>
            <w:tcW w:w="514" w:type="pct"/>
            <w:shd w:val="clear" w:color="auto" w:fill="auto"/>
            <w:noWrap/>
            <w:hideMark/>
          </w:tcPr>
          <w:p w14:paraId="61760F84" w14:textId="77777777" w:rsidR="00706FE5" w:rsidRPr="006D5382" w:rsidRDefault="00706FE5" w:rsidP="006D5382">
            <w:pPr>
              <w:spacing w:line="360" w:lineRule="auto"/>
            </w:pPr>
            <w:r w:rsidRPr="006D5382">
              <w:t>1</w:t>
            </w:r>
          </w:p>
        </w:tc>
        <w:tc>
          <w:tcPr>
            <w:tcW w:w="297" w:type="pct"/>
            <w:shd w:val="clear" w:color="auto" w:fill="auto"/>
            <w:noWrap/>
            <w:hideMark/>
          </w:tcPr>
          <w:p w14:paraId="093E37A3" w14:textId="77777777" w:rsidR="00706FE5" w:rsidRPr="006D5382" w:rsidRDefault="00706FE5" w:rsidP="006D5382">
            <w:pPr>
              <w:spacing w:line="360" w:lineRule="auto"/>
            </w:pPr>
            <w:r w:rsidRPr="006D5382">
              <w:t>0</w:t>
            </w:r>
          </w:p>
        </w:tc>
        <w:tc>
          <w:tcPr>
            <w:tcW w:w="321" w:type="pct"/>
            <w:shd w:val="clear" w:color="000000" w:fill="FFFF00"/>
            <w:noWrap/>
            <w:hideMark/>
          </w:tcPr>
          <w:p w14:paraId="32E92548" w14:textId="77777777" w:rsidR="00706FE5" w:rsidRPr="006D5382" w:rsidRDefault="00706FE5" w:rsidP="006D5382">
            <w:pPr>
              <w:spacing w:line="360" w:lineRule="auto"/>
            </w:pPr>
            <w:r w:rsidRPr="006D5382">
              <w:t>2</w:t>
            </w:r>
          </w:p>
        </w:tc>
        <w:tc>
          <w:tcPr>
            <w:tcW w:w="304" w:type="pct"/>
            <w:shd w:val="clear" w:color="000000" w:fill="92D050"/>
            <w:noWrap/>
            <w:hideMark/>
          </w:tcPr>
          <w:p w14:paraId="3548166B" w14:textId="77777777" w:rsidR="00706FE5" w:rsidRPr="006D5382" w:rsidRDefault="00706FE5" w:rsidP="006D5382">
            <w:pPr>
              <w:spacing w:line="360" w:lineRule="auto"/>
            </w:pPr>
            <w:r w:rsidRPr="006D5382">
              <w:t>1</w:t>
            </w:r>
          </w:p>
        </w:tc>
        <w:tc>
          <w:tcPr>
            <w:tcW w:w="254" w:type="pct"/>
            <w:shd w:val="clear" w:color="auto" w:fill="auto"/>
            <w:noWrap/>
            <w:hideMark/>
          </w:tcPr>
          <w:p w14:paraId="2990E9DA" w14:textId="77777777" w:rsidR="00706FE5" w:rsidRPr="006D5382" w:rsidRDefault="00706FE5" w:rsidP="006D5382">
            <w:pPr>
              <w:spacing w:line="360" w:lineRule="auto"/>
            </w:pPr>
            <w:r w:rsidRPr="006D5382">
              <w:t>1</w:t>
            </w:r>
          </w:p>
        </w:tc>
        <w:tc>
          <w:tcPr>
            <w:tcW w:w="210" w:type="pct"/>
            <w:shd w:val="clear" w:color="auto" w:fill="auto"/>
            <w:noWrap/>
            <w:hideMark/>
          </w:tcPr>
          <w:p w14:paraId="37682803" w14:textId="77777777" w:rsidR="00706FE5" w:rsidRPr="006D5382" w:rsidRDefault="00706FE5" w:rsidP="006D5382">
            <w:pPr>
              <w:spacing w:line="360" w:lineRule="auto"/>
            </w:pPr>
            <w:r w:rsidRPr="006D5382">
              <w:t>1</w:t>
            </w:r>
          </w:p>
        </w:tc>
        <w:tc>
          <w:tcPr>
            <w:tcW w:w="221" w:type="pct"/>
            <w:shd w:val="clear" w:color="auto" w:fill="auto"/>
            <w:noWrap/>
            <w:hideMark/>
          </w:tcPr>
          <w:p w14:paraId="31D3D06F" w14:textId="77777777" w:rsidR="00706FE5" w:rsidRPr="006D5382" w:rsidRDefault="00706FE5" w:rsidP="006D5382">
            <w:pPr>
              <w:spacing w:line="360" w:lineRule="auto"/>
            </w:pPr>
            <w:r w:rsidRPr="006D5382">
              <w:t>0</w:t>
            </w:r>
          </w:p>
        </w:tc>
        <w:tc>
          <w:tcPr>
            <w:tcW w:w="299" w:type="pct"/>
            <w:shd w:val="clear" w:color="000000" w:fill="00B0F0"/>
            <w:noWrap/>
            <w:hideMark/>
          </w:tcPr>
          <w:p w14:paraId="25F007E5" w14:textId="77777777" w:rsidR="00706FE5" w:rsidRPr="006D5382" w:rsidRDefault="00706FE5" w:rsidP="006D5382">
            <w:pPr>
              <w:spacing w:line="360" w:lineRule="auto"/>
            </w:pPr>
            <w:r w:rsidRPr="006D5382">
              <w:t>2</w:t>
            </w:r>
          </w:p>
        </w:tc>
        <w:tc>
          <w:tcPr>
            <w:tcW w:w="265" w:type="pct"/>
            <w:shd w:val="clear" w:color="auto" w:fill="auto"/>
            <w:noWrap/>
            <w:hideMark/>
          </w:tcPr>
          <w:p w14:paraId="046BA04E" w14:textId="77777777" w:rsidR="00706FE5" w:rsidRPr="006D5382" w:rsidRDefault="00706FE5" w:rsidP="006D5382">
            <w:pPr>
              <w:spacing w:line="360" w:lineRule="auto"/>
              <w:rPr>
                <w:b/>
                <w:bCs/>
              </w:rPr>
            </w:pPr>
            <w:r w:rsidRPr="006D5382">
              <w:rPr>
                <w:b/>
                <w:bCs/>
              </w:rPr>
              <w:t xml:space="preserve">Fair </w:t>
            </w:r>
          </w:p>
        </w:tc>
      </w:tr>
      <w:tr w:rsidR="006D5382" w:rsidRPr="006D5382" w14:paraId="6D387107" w14:textId="77777777" w:rsidTr="00706FE5">
        <w:trPr>
          <w:trHeight w:val="324"/>
        </w:trPr>
        <w:tc>
          <w:tcPr>
            <w:tcW w:w="899" w:type="pct"/>
            <w:shd w:val="clear" w:color="auto" w:fill="auto"/>
            <w:noWrap/>
            <w:vAlign w:val="bottom"/>
            <w:hideMark/>
          </w:tcPr>
          <w:p w14:paraId="5FFE6CDC" w14:textId="77777777" w:rsidR="00706FE5" w:rsidRPr="006D5382" w:rsidRDefault="00706FE5" w:rsidP="006D5382">
            <w:pPr>
              <w:spacing w:line="360" w:lineRule="auto"/>
            </w:pPr>
            <w:r w:rsidRPr="006D5382">
              <w:t>Pandey S,</w:t>
            </w:r>
            <w:r w:rsidRPr="006D5382">
              <w:rPr>
                <w:i/>
              </w:rPr>
              <w:t xml:space="preserve"> 2017</w:t>
            </w:r>
            <w:r w:rsidR="00DA1B98" w:rsidRPr="006D5382">
              <w:rPr>
                <w:noProof/>
                <w:vertAlign w:val="superscript"/>
              </w:rPr>
              <w:t>32</w:t>
            </w:r>
          </w:p>
        </w:tc>
        <w:tc>
          <w:tcPr>
            <w:tcW w:w="434" w:type="pct"/>
            <w:shd w:val="clear" w:color="auto" w:fill="auto"/>
            <w:noWrap/>
            <w:hideMark/>
          </w:tcPr>
          <w:p w14:paraId="3EA32EF4" w14:textId="77777777" w:rsidR="00706FE5" w:rsidRPr="006D5382" w:rsidRDefault="00706FE5" w:rsidP="006D5382">
            <w:pPr>
              <w:spacing w:line="360" w:lineRule="auto"/>
            </w:pPr>
            <w:r w:rsidRPr="006D5382">
              <w:t>0</w:t>
            </w:r>
          </w:p>
        </w:tc>
        <w:tc>
          <w:tcPr>
            <w:tcW w:w="985" w:type="pct"/>
            <w:shd w:val="clear" w:color="auto" w:fill="auto"/>
            <w:noWrap/>
            <w:hideMark/>
          </w:tcPr>
          <w:p w14:paraId="154D2A39" w14:textId="77777777" w:rsidR="00706FE5" w:rsidRPr="006D5382" w:rsidRDefault="00706FE5" w:rsidP="006D5382">
            <w:pPr>
              <w:spacing w:line="360" w:lineRule="auto"/>
            </w:pPr>
            <w:r w:rsidRPr="006D5382">
              <w:t>1</w:t>
            </w:r>
          </w:p>
        </w:tc>
        <w:tc>
          <w:tcPr>
            <w:tcW w:w="514" w:type="pct"/>
            <w:shd w:val="clear" w:color="auto" w:fill="auto"/>
            <w:noWrap/>
            <w:hideMark/>
          </w:tcPr>
          <w:p w14:paraId="4C598F8B" w14:textId="77777777" w:rsidR="00706FE5" w:rsidRPr="006D5382" w:rsidRDefault="00706FE5" w:rsidP="006D5382">
            <w:pPr>
              <w:spacing w:line="360" w:lineRule="auto"/>
            </w:pPr>
            <w:r w:rsidRPr="006D5382">
              <w:t>1</w:t>
            </w:r>
          </w:p>
        </w:tc>
        <w:tc>
          <w:tcPr>
            <w:tcW w:w="297" w:type="pct"/>
            <w:shd w:val="clear" w:color="auto" w:fill="auto"/>
            <w:noWrap/>
            <w:hideMark/>
          </w:tcPr>
          <w:p w14:paraId="22E4A23D" w14:textId="77777777" w:rsidR="00706FE5" w:rsidRPr="006D5382" w:rsidRDefault="00706FE5" w:rsidP="006D5382">
            <w:pPr>
              <w:spacing w:line="360" w:lineRule="auto"/>
            </w:pPr>
            <w:r w:rsidRPr="006D5382">
              <w:t>1</w:t>
            </w:r>
          </w:p>
        </w:tc>
        <w:tc>
          <w:tcPr>
            <w:tcW w:w="321" w:type="pct"/>
            <w:shd w:val="clear" w:color="000000" w:fill="FFFF00"/>
            <w:noWrap/>
            <w:hideMark/>
          </w:tcPr>
          <w:p w14:paraId="3830B05D" w14:textId="77777777" w:rsidR="00706FE5" w:rsidRPr="006D5382" w:rsidRDefault="00706FE5" w:rsidP="006D5382">
            <w:pPr>
              <w:spacing w:line="360" w:lineRule="auto"/>
            </w:pPr>
            <w:r w:rsidRPr="006D5382">
              <w:t>3</w:t>
            </w:r>
          </w:p>
        </w:tc>
        <w:tc>
          <w:tcPr>
            <w:tcW w:w="304" w:type="pct"/>
            <w:shd w:val="clear" w:color="000000" w:fill="92D050"/>
            <w:noWrap/>
            <w:hideMark/>
          </w:tcPr>
          <w:p w14:paraId="3EEAAE16" w14:textId="77777777" w:rsidR="00706FE5" w:rsidRPr="006D5382" w:rsidRDefault="00706FE5" w:rsidP="006D5382">
            <w:pPr>
              <w:spacing w:line="360" w:lineRule="auto"/>
            </w:pPr>
            <w:r w:rsidRPr="006D5382">
              <w:t>1</w:t>
            </w:r>
          </w:p>
        </w:tc>
        <w:tc>
          <w:tcPr>
            <w:tcW w:w="254" w:type="pct"/>
            <w:shd w:val="clear" w:color="auto" w:fill="auto"/>
            <w:noWrap/>
            <w:hideMark/>
          </w:tcPr>
          <w:p w14:paraId="4C2554B6" w14:textId="77777777" w:rsidR="00706FE5" w:rsidRPr="006D5382" w:rsidRDefault="00706FE5" w:rsidP="006D5382">
            <w:pPr>
              <w:spacing w:line="360" w:lineRule="auto"/>
            </w:pPr>
            <w:r w:rsidRPr="006D5382">
              <w:t>0</w:t>
            </w:r>
          </w:p>
        </w:tc>
        <w:tc>
          <w:tcPr>
            <w:tcW w:w="210" w:type="pct"/>
            <w:shd w:val="clear" w:color="auto" w:fill="auto"/>
            <w:noWrap/>
            <w:hideMark/>
          </w:tcPr>
          <w:p w14:paraId="4F2FB856" w14:textId="77777777" w:rsidR="00706FE5" w:rsidRPr="006D5382" w:rsidRDefault="00706FE5" w:rsidP="006D5382">
            <w:pPr>
              <w:spacing w:line="360" w:lineRule="auto"/>
            </w:pPr>
            <w:r w:rsidRPr="006D5382">
              <w:t>1</w:t>
            </w:r>
          </w:p>
        </w:tc>
        <w:tc>
          <w:tcPr>
            <w:tcW w:w="221" w:type="pct"/>
            <w:shd w:val="clear" w:color="auto" w:fill="auto"/>
            <w:noWrap/>
            <w:hideMark/>
          </w:tcPr>
          <w:p w14:paraId="74BF9C7F" w14:textId="77777777" w:rsidR="00706FE5" w:rsidRPr="006D5382" w:rsidRDefault="00706FE5" w:rsidP="006D5382">
            <w:pPr>
              <w:spacing w:line="360" w:lineRule="auto"/>
            </w:pPr>
            <w:r w:rsidRPr="006D5382">
              <w:t>1</w:t>
            </w:r>
          </w:p>
        </w:tc>
        <w:tc>
          <w:tcPr>
            <w:tcW w:w="299" w:type="pct"/>
            <w:shd w:val="clear" w:color="000000" w:fill="00B0F0"/>
            <w:noWrap/>
            <w:hideMark/>
          </w:tcPr>
          <w:p w14:paraId="75E3AB7F" w14:textId="77777777" w:rsidR="00706FE5" w:rsidRPr="006D5382" w:rsidRDefault="00706FE5" w:rsidP="006D5382">
            <w:pPr>
              <w:spacing w:line="360" w:lineRule="auto"/>
            </w:pPr>
            <w:r w:rsidRPr="006D5382">
              <w:t>2</w:t>
            </w:r>
          </w:p>
        </w:tc>
        <w:tc>
          <w:tcPr>
            <w:tcW w:w="265" w:type="pct"/>
            <w:shd w:val="clear" w:color="auto" w:fill="auto"/>
            <w:noWrap/>
            <w:hideMark/>
          </w:tcPr>
          <w:p w14:paraId="3A370E9D" w14:textId="77777777" w:rsidR="00706FE5" w:rsidRPr="006D5382" w:rsidRDefault="00706FE5" w:rsidP="006D5382">
            <w:pPr>
              <w:spacing w:line="360" w:lineRule="auto"/>
              <w:rPr>
                <w:b/>
                <w:bCs/>
              </w:rPr>
            </w:pPr>
            <w:r w:rsidRPr="006D5382">
              <w:rPr>
                <w:b/>
                <w:bCs/>
              </w:rPr>
              <w:t xml:space="preserve">Good </w:t>
            </w:r>
          </w:p>
        </w:tc>
      </w:tr>
      <w:tr w:rsidR="006D5382" w:rsidRPr="006D5382" w14:paraId="53FE7FE4" w14:textId="77777777" w:rsidTr="008D2B81">
        <w:trPr>
          <w:trHeight w:val="324"/>
        </w:trPr>
        <w:tc>
          <w:tcPr>
            <w:tcW w:w="899" w:type="pct"/>
            <w:shd w:val="clear" w:color="auto" w:fill="auto"/>
            <w:noWrap/>
            <w:hideMark/>
          </w:tcPr>
          <w:p w14:paraId="29550B23" w14:textId="77777777" w:rsidR="00706FE5" w:rsidRPr="006D5382" w:rsidRDefault="00706FE5" w:rsidP="006D5382">
            <w:pPr>
              <w:spacing w:line="360" w:lineRule="auto"/>
            </w:pPr>
            <w:r w:rsidRPr="006D5382">
              <w:lastRenderedPageBreak/>
              <w:t xml:space="preserve">Papa L, </w:t>
            </w:r>
            <w:r w:rsidRPr="006D5382">
              <w:rPr>
                <w:i/>
              </w:rPr>
              <w:t>2017</w:t>
            </w:r>
            <w:r w:rsidR="00DA1B98" w:rsidRPr="006D5382">
              <w:rPr>
                <w:noProof/>
                <w:vertAlign w:val="superscript"/>
              </w:rPr>
              <w:t>33</w:t>
            </w:r>
          </w:p>
        </w:tc>
        <w:tc>
          <w:tcPr>
            <w:tcW w:w="434" w:type="pct"/>
            <w:shd w:val="clear" w:color="auto" w:fill="auto"/>
            <w:noWrap/>
            <w:hideMark/>
          </w:tcPr>
          <w:p w14:paraId="3E98FF47" w14:textId="77777777" w:rsidR="00706FE5" w:rsidRPr="006D5382" w:rsidRDefault="00706FE5" w:rsidP="006D5382">
            <w:pPr>
              <w:spacing w:line="360" w:lineRule="auto"/>
            </w:pPr>
            <w:r w:rsidRPr="006D5382">
              <w:t>0</w:t>
            </w:r>
          </w:p>
        </w:tc>
        <w:tc>
          <w:tcPr>
            <w:tcW w:w="985" w:type="pct"/>
            <w:shd w:val="clear" w:color="auto" w:fill="auto"/>
            <w:noWrap/>
            <w:hideMark/>
          </w:tcPr>
          <w:p w14:paraId="0E861E2A" w14:textId="77777777" w:rsidR="00706FE5" w:rsidRPr="006D5382" w:rsidRDefault="00706FE5" w:rsidP="006D5382">
            <w:pPr>
              <w:spacing w:line="360" w:lineRule="auto"/>
            </w:pPr>
            <w:r w:rsidRPr="006D5382">
              <w:t>1</w:t>
            </w:r>
          </w:p>
        </w:tc>
        <w:tc>
          <w:tcPr>
            <w:tcW w:w="514" w:type="pct"/>
            <w:shd w:val="clear" w:color="auto" w:fill="auto"/>
            <w:noWrap/>
            <w:hideMark/>
          </w:tcPr>
          <w:p w14:paraId="4A3FDCCA" w14:textId="77777777" w:rsidR="00706FE5" w:rsidRPr="006D5382" w:rsidRDefault="00706FE5" w:rsidP="006D5382">
            <w:pPr>
              <w:spacing w:line="360" w:lineRule="auto"/>
            </w:pPr>
            <w:r w:rsidRPr="006D5382">
              <w:t>1</w:t>
            </w:r>
          </w:p>
        </w:tc>
        <w:tc>
          <w:tcPr>
            <w:tcW w:w="297" w:type="pct"/>
            <w:shd w:val="clear" w:color="auto" w:fill="auto"/>
            <w:noWrap/>
            <w:hideMark/>
          </w:tcPr>
          <w:p w14:paraId="0F061FAE" w14:textId="77777777" w:rsidR="00706FE5" w:rsidRPr="006D5382" w:rsidRDefault="00706FE5" w:rsidP="006D5382">
            <w:pPr>
              <w:spacing w:line="360" w:lineRule="auto"/>
            </w:pPr>
            <w:r w:rsidRPr="006D5382">
              <w:t>0</w:t>
            </w:r>
          </w:p>
        </w:tc>
        <w:tc>
          <w:tcPr>
            <w:tcW w:w="321" w:type="pct"/>
            <w:shd w:val="clear" w:color="000000" w:fill="FFFF00"/>
            <w:noWrap/>
            <w:hideMark/>
          </w:tcPr>
          <w:p w14:paraId="78FA1812" w14:textId="77777777" w:rsidR="00706FE5" w:rsidRPr="006D5382" w:rsidRDefault="00706FE5" w:rsidP="006D5382">
            <w:pPr>
              <w:spacing w:line="360" w:lineRule="auto"/>
            </w:pPr>
            <w:r w:rsidRPr="006D5382">
              <w:t>2</w:t>
            </w:r>
          </w:p>
        </w:tc>
        <w:tc>
          <w:tcPr>
            <w:tcW w:w="304" w:type="pct"/>
            <w:shd w:val="clear" w:color="000000" w:fill="92D050"/>
            <w:noWrap/>
            <w:hideMark/>
          </w:tcPr>
          <w:p w14:paraId="2D7A5DC8" w14:textId="77777777" w:rsidR="00706FE5" w:rsidRPr="006D5382" w:rsidRDefault="00706FE5" w:rsidP="006D5382">
            <w:pPr>
              <w:spacing w:line="360" w:lineRule="auto"/>
            </w:pPr>
            <w:r w:rsidRPr="006D5382">
              <w:t>1</w:t>
            </w:r>
          </w:p>
        </w:tc>
        <w:tc>
          <w:tcPr>
            <w:tcW w:w="254" w:type="pct"/>
            <w:shd w:val="clear" w:color="auto" w:fill="auto"/>
            <w:noWrap/>
            <w:hideMark/>
          </w:tcPr>
          <w:p w14:paraId="4A6C8338" w14:textId="77777777" w:rsidR="00706FE5" w:rsidRPr="006D5382" w:rsidRDefault="00706FE5" w:rsidP="006D5382">
            <w:pPr>
              <w:spacing w:line="360" w:lineRule="auto"/>
            </w:pPr>
            <w:r w:rsidRPr="006D5382">
              <w:t>1</w:t>
            </w:r>
          </w:p>
        </w:tc>
        <w:tc>
          <w:tcPr>
            <w:tcW w:w="210" w:type="pct"/>
            <w:shd w:val="clear" w:color="auto" w:fill="auto"/>
            <w:noWrap/>
            <w:hideMark/>
          </w:tcPr>
          <w:p w14:paraId="3FF2D2B6" w14:textId="77777777" w:rsidR="00706FE5" w:rsidRPr="006D5382" w:rsidRDefault="00706FE5" w:rsidP="006D5382">
            <w:pPr>
              <w:spacing w:line="360" w:lineRule="auto"/>
            </w:pPr>
            <w:r w:rsidRPr="006D5382">
              <w:t>1</w:t>
            </w:r>
          </w:p>
        </w:tc>
        <w:tc>
          <w:tcPr>
            <w:tcW w:w="221" w:type="pct"/>
            <w:shd w:val="clear" w:color="auto" w:fill="auto"/>
            <w:noWrap/>
            <w:hideMark/>
          </w:tcPr>
          <w:p w14:paraId="618A6203" w14:textId="77777777" w:rsidR="00706FE5" w:rsidRPr="006D5382" w:rsidRDefault="00706FE5" w:rsidP="006D5382">
            <w:pPr>
              <w:spacing w:line="360" w:lineRule="auto"/>
            </w:pPr>
            <w:r w:rsidRPr="006D5382">
              <w:t>1</w:t>
            </w:r>
          </w:p>
        </w:tc>
        <w:tc>
          <w:tcPr>
            <w:tcW w:w="299" w:type="pct"/>
            <w:shd w:val="clear" w:color="000000" w:fill="00B0F0"/>
            <w:noWrap/>
            <w:hideMark/>
          </w:tcPr>
          <w:p w14:paraId="14DEFB63" w14:textId="77777777" w:rsidR="00706FE5" w:rsidRPr="006D5382" w:rsidRDefault="00706FE5" w:rsidP="006D5382">
            <w:pPr>
              <w:spacing w:line="360" w:lineRule="auto"/>
            </w:pPr>
            <w:r w:rsidRPr="006D5382">
              <w:t>3</w:t>
            </w:r>
          </w:p>
        </w:tc>
        <w:tc>
          <w:tcPr>
            <w:tcW w:w="265" w:type="pct"/>
            <w:shd w:val="clear" w:color="auto" w:fill="auto"/>
            <w:noWrap/>
            <w:hideMark/>
          </w:tcPr>
          <w:p w14:paraId="495EC6D4" w14:textId="77777777" w:rsidR="00706FE5" w:rsidRPr="006D5382" w:rsidRDefault="00706FE5" w:rsidP="006D5382">
            <w:pPr>
              <w:spacing w:line="360" w:lineRule="auto"/>
              <w:rPr>
                <w:b/>
                <w:bCs/>
              </w:rPr>
            </w:pPr>
            <w:r w:rsidRPr="006D5382">
              <w:rPr>
                <w:b/>
                <w:bCs/>
              </w:rPr>
              <w:t xml:space="preserve">Fair </w:t>
            </w:r>
          </w:p>
        </w:tc>
      </w:tr>
      <w:tr w:rsidR="006D5382" w:rsidRPr="006D5382" w14:paraId="2F4F11F0" w14:textId="77777777" w:rsidTr="008D2B81">
        <w:trPr>
          <w:trHeight w:val="324"/>
        </w:trPr>
        <w:tc>
          <w:tcPr>
            <w:tcW w:w="899" w:type="pct"/>
            <w:shd w:val="clear" w:color="auto" w:fill="auto"/>
            <w:noWrap/>
            <w:hideMark/>
          </w:tcPr>
          <w:p w14:paraId="657D359A" w14:textId="77777777" w:rsidR="00706FE5" w:rsidRPr="006D5382" w:rsidRDefault="00706FE5" w:rsidP="006D5382">
            <w:pPr>
              <w:spacing w:line="360" w:lineRule="auto"/>
            </w:pPr>
            <w:r w:rsidRPr="006D5382">
              <w:t xml:space="preserve">Papa L, </w:t>
            </w:r>
            <w:r w:rsidRPr="006D5382">
              <w:rPr>
                <w:i/>
              </w:rPr>
              <w:t>2014</w:t>
            </w:r>
            <w:r w:rsidR="00DA1B98" w:rsidRPr="006D5382">
              <w:rPr>
                <w:noProof/>
                <w:vertAlign w:val="superscript"/>
              </w:rPr>
              <w:t>34</w:t>
            </w:r>
          </w:p>
        </w:tc>
        <w:tc>
          <w:tcPr>
            <w:tcW w:w="434" w:type="pct"/>
            <w:shd w:val="clear" w:color="auto" w:fill="auto"/>
            <w:noWrap/>
            <w:hideMark/>
          </w:tcPr>
          <w:p w14:paraId="0F7E44BE" w14:textId="77777777" w:rsidR="00706FE5" w:rsidRPr="006D5382" w:rsidRDefault="00706FE5" w:rsidP="006D5382">
            <w:pPr>
              <w:spacing w:line="360" w:lineRule="auto"/>
            </w:pPr>
            <w:r w:rsidRPr="006D5382">
              <w:t>0</w:t>
            </w:r>
          </w:p>
        </w:tc>
        <w:tc>
          <w:tcPr>
            <w:tcW w:w="985" w:type="pct"/>
            <w:shd w:val="clear" w:color="auto" w:fill="auto"/>
            <w:noWrap/>
            <w:hideMark/>
          </w:tcPr>
          <w:p w14:paraId="7A1FE0CC" w14:textId="77777777" w:rsidR="00706FE5" w:rsidRPr="006D5382" w:rsidRDefault="00706FE5" w:rsidP="006D5382">
            <w:pPr>
              <w:spacing w:line="360" w:lineRule="auto"/>
            </w:pPr>
            <w:r w:rsidRPr="006D5382">
              <w:t>1</w:t>
            </w:r>
          </w:p>
        </w:tc>
        <w:tc>
          <w:tcPr>
            <w:tcW w:w="514" w:type="pct"/>
            <w:shd w:val="clear" w:color="auto" w:fill="auto"/>
            <w:noWrap/>
            <w:hideMark/>
          </w:tcPr>
          <w:p w14:paraId="33FFDFA8" w14:textId="77777777" w:rsidR="00706FE5" w:rsidRPr="006D5382" w:rsidRDefault="00706FE5" w:rsidP="006D5382">
            <w:pPr>
              <w:spacing w:line="360" w:lineRule="auto"/>
            </w:pPr>
            <w:r w:rsidRPr="006D5382">
              <w:t>1</w:t>
            </w:r>
          </w:p>
        </w:tc>
        <w:tc>
          <w:tcPr>
            <w:tcW w:w="297" w:type="pct"/>
            <w:shd w:val="clear" w:color="auto" w:fill="auto"/>
            <w:noWrap/>
            <w:hideMark/>
          </w:tcPr>
          <w:p w14:paraId="7A33F915" w14:textId="77777777" w:rsidR="00706FE5" w:rsidRPr="006D5382" w:rsidRDefault="00706FE5" w:rsidP="006D5382">
            <w:pPr>
              <w:spacing w:line="360" w:lineRule="auto"/>
            </w:pPr>
            <w:r w:rsidRPr="006D5382">
              <w:t>0</w:t>
            </w:r>
          </w:p>
        </w:tc>
        <w:tc>
          <w:tcPr>
            <w:tcW w:w="321" w:type="pct"/>
            <w:shd w:val="clear" w:color="000000" w:fill="FFFF00"/>
            <w:noWrap/>
            <w:hideMark/>
          </w:tcPr>
          <w:p w14:paraId="36E79EA7" w14:textId="77777777" w:rsidR="00706FE5" w:rsidRPr="006D5382" w:rsidRDefault="00706FE5" w:rsidP="006D5382">
            <w:pPr>
              <w:spacing w:line="360" w:lineRule="auto"/>
            </w:pPr>
            <w:r w:rsidRPr="006D5382">
              <w:t>2</w:t>
            </w:r>
          </w:p>
        </w:tc>
        <w:tc>
          <w:tcPr>
            <w:tcW w:w="304" w:type="pct"/>
            <w:shd w:val="clear" w:color="000000" w:fill="92D050"/>
            <w:noWrap/>
            <w:hideMark/>
          </w:tcPr>
          <w:p w14:paraId="6EBE489A" w14:textId="77777777" w:rsidR="00706FE5" w:rsidRPr="006D5382" w:rsidRDefault="00706FE5" w:rsidP="006D5382">
            <w:pPr>
              <w:spacing w:line="360" w:lineRule="auto"/>
            </w:pPr>
            <w:r w:rsidRPr="006D5382">
              <w:t>1</w:t>
            </w:r>
          </w:p>
        </w:tc>
        <w:tc>
          <w:tcPr>
            <w:tcW w:w="254" w:type="pct"/>
            <w:shd w:val="clear" w:color="auto" w:fill="auto"/>
            <w:noWrap/>
            <w:hideMark/>
          </w:tcPr>
          <w:p w14:paraId="14F43748" w14:textId="77777777" w:rsidR="00706FE5" w:rsidRPr="006D5382" w:rsidRDefault="00706FE5" w:rsidP="006D5382">
            <w:pPr>
              <w:spacing w:line="360" w:lineRule="auto"/>
            </w:pPr>
            <w:r w:rsidRPr="006D5382">
              <w:t>1</w:t>
            </w:r>
          </w:p>
        </w:tc>
        <w:tc>
          <w:tcPr>
            <w:tcW w:w="210" w:type="pct"/>
            <w:shd w:val="clear" w:color="auto" w:fill="auto"/>
            <w:noWrap/>
            <w:hideMark/>
          </w:tcPr>
          <w:p w14:paraId="77F97808" w14:textId="77777777" w:rsidR="00706FE5" w:rsidRPr="006D5382" w:rsidRDefault="00706FE5" w:rsidP="006D5382">
            <w:pPr>
              <w:spacing w:line="360" w:lineRule="auto"/>
            </w:pPr>
            <w:r w:rsidRPr="006D5382">
              <w:t>1</w:t>
            </w:r>
          </w:p>
        </w:tc>
        <w:tc>
          <w:tcPr>
            <w:tcW w:w="221" w:type="pct"/>
            <w:shd w:val="clear" w:color="auto" w:fill="auto"/>
            <w:noWrap/>
            <w:hideMark/>
          </w:tcPr>
          <w:p w14:paraId="387EB18F" w14:textId="77777777" w:rsidR="00706FE5" w:rsidRPr="006D5382" w:rsidRDefault="00706FE5" w:rsidP="006D5382">
            <w:pPr>
              <w:spacing w:line="360" w:lineRule="auto"/>
            </w:pPr>
            <w:r w:rsidRPr="006D5382">
              <w:t>1</w:t>
            </w:r>
          </w:p>
        </w:tc>
        <w:tc>
          <w:tcPr>
            <w:tcW w:w="299" w:type="pct"/>
            <w:shd w:val="clear" w:color="000000" w:fill="00B0F0"/>
            <w:noWrap/>
            <w:hideMark/>
          </w:tcPr>
          <w:p w14:paraId="6F6E8F17" w14:textId="77777777" w:rsidR="00706FE5" w:rsidRPr="006D5382" w:rsidRDefault="00706FE5" w:rsidP="006D5382">
            <w:pPr>
              <w:spacing w:line="360" w:lineRule="auto"/>
            </w:pPr>
            <w:r w:rsidRPr="006D5382">
              <w:t>3</w:t>
            </w:r>
          </w:p>
        </w:tc>
        <w:tc>
          <w:tcPr>
            <w:tcW w:w="265" w:type="pct"/>
            <w:shd w:val="clear" w:color="auto" w:fill="auto"/>
            <w:noWrap/>
            <w:hideMark/>
          </w:tcPr>
          <w:p w14:paraId="7F7464E1" w14:textId="77777777" w:rsidR="00706FE5" w:rsidRPr="006D5382" w:rsidRDefault="00706FE5" w:rsidP="006D5382">
            <w:pPr>
              <w:spacing w:line="360" w:lineRule="auto"/>
              <w:rPr>
                <w:b/>
                <w:bCs/>
              </w:rPr>
            </w:pPr>
            <w:r w:rsidRPr="006D5382">
              <w:rPr>
                <w:b/>
                <w:bCs/>
              </w:rPr>
              <w:t xml:space="preserve">Fair </w:t>
            </w:r>
          </w:p>
        </w:tc>
      </w:tr>
      <w:tr w:rsidR="006D5382" w:rsidRPr="006D5382" w14:paraId="119DAD49" w14:textId="77777777" w:rsidTr="008D2B81">
        <w:trPr>
          <w:trHeight w:val="324"/>
        </w:trPr>
        <w:tc>
          <w:tcPr>
            <w:tcW w:w="899" w:type="pct"/>
            <w:shd w:val="clear" w:color="auto" w:fill="auto"/>
            <w:noWrap/>
            <w:hideMark/>
          </w:tcPr>
          <w:p w14:paraId="076FE3F5" w14:textId="77777777" w:rsidR="00706FE5" w:rsidRPr="006D5382" w:rsidRDefault="00706FE5" w:rsidP="006D5382">
            <w:pPr>
              <w:spacing w:line="360" w:lineRule="auto"/>
            </w:pPr>
            <w:proofErr w:type="spellStart"/>
            <w:r w:rsidRPr="006D5382">
              <w:t>Pelinka</w:t>
            </w:r>
            <w:proofErr w:type="spellEnd"/>
            <w:r w:rsidRPr="006D5382">
              <w:t xml:space="preserve"> LE, </w:t>
            </w:r>
            <w:r w:rsidRPr="006D5382">
              <w:rPr>
                <w:i/>
              </w:rPr>
              <w:t xml:space="preserve">2004 </w:t>
            </w:r>
            <w:r w:rsidRPr="006D5382">
              <w:t>(d)</w:t>
            </w:r>
            <w:r w:rsidR="00DA1B98" w:rsidRPr="006D5382">
              <w:rPr>
                <w:noProof/>
                <w:vertAlign w:val="superscript"/>
              </w:rPr>
              <w:t>35</w:t>
            </w:r>
          </w:p>
        </w:tc>
        <w:tc>
          <w:tcPr>
            <w:tcW w:w="434" w:type="pct"/>
            <w:shd w:val="clear" w:color="auto" w:fill="auto"/>
            <w:noWrap/>
            <w:hideMark/>
          </w:tcPr>
          <w:p w14:paraId="6A88D138" w14:textId="77777777" w:rsidR="00706FE5" w:rsidRPr="006D5382" w:rsidRDefault="00706FE5" w:rsidP="006D5382">
            <w:pPr>
              <w:spacing w:line="360" w:lineRule="auto"/>
            </w:pPr>
            <w:r w:rsidRPr="006D5382">
              <w:t>0</w:t>
            </w:r>
          </w:p>
        </w:tc>
        <w:tc>
          <w:tcPr>
            <w:tcW w:w="985" w:type="pct"/>
            <w:shd w:val="clear" w:color="auto" w:fill="auto"/>
            <w:noWrap/>
            <w:hideMark/>
          </w:tcPr>
          <w:p w14:paraId="1DCF396C" w14:textId="77777777" w:rsidR="00706FE5" w:rsidRPr="006D5382" w:rsidRDefault="00706FE5" w:rsidP="006D5382">
            <w:pPr>
              <w:spacing w:line="360" w:lineRule="auto"/>
            </w:pPr>
            <w:r w:rsidRPr="006D5382">
              <w:t>1</w:t>
            </w:r>
          </w:p>
        </w:tc>
        <w:tc>
          <w:tcPr>
            <w:tcW w:w="514" w:type="pct"/>
            <w:shd w:val="clear" w:color="auto" w:fill="auto"/>
            <w:noWrap/>
            <w:hideMark/>
          </w:tcPr>
          <w:p w14:paraId="31DAA32D" w14:textId="77777777" w:rsidR="00706FE5" w:rsidRPr="006D5382" w:rsidRDefault="00706FE5" w:rsidP="006D5382">
            <w:pPr>
              <w:spacing w:line="360" w:lineRule="auto"/>
            </w:pPr>
            <w:r w:rsidRPr="006D5382">
              <w:t>1</w:t>
            </w:r>
          </w:p>
        </w:tc>
        <w:tc>
          <w:tcPr>
            <w:tcW w:w="297" w:type="pct"/>
            <w:shd w:val="clear" w:color="auto" w:fill="auto"/>
            <w:noWrap/>
            <w:hideMark/>
          </w:tcPr>
          <w:p w14:paraId="2BB2BF01" w14:textId="77777777" w:rsidR="00706FE5" w:rsidRPr="006D5382" w:rsidRDefault="00706FE5" w:rsidP="006D5382">
            <w:pPr>
              <w:spacing w:line="360" w:lineRule="auto"/>
            </w:pPr>
            <w:r w:rsidRPr="006D5382">
              <w:t>0</w:t>
            </w:r>
          </w:p>
        </w:tc>
        <w:tc>
          <w:tcPr>
            <w:tcW w:w="321" w:type="pct"/>
            <w:shd w:val="clear" w:color="000000" w:fill="FFFF00"/>
            <w:noWrap/>
            <w:hideMark/>
          </w:tcPr>
          <w:p w14:paraId="0356520C" w14:textId="77777777" w:rsidR="00706FE5" w:rsidRPr="006D5382" w:rsidRDefault="00706FE5" w:rsidP="006D5382">
            <w:pPr>
              <w:spacing w:line="360" w:lineRule="auto"/>
            </w:pPr>
            <w:r w:rsidRPr="006D5382">
              <w:t>2</w:t>
            </w:r>
          </w:p>
        </w:tc>
        <w:tc>
          <w:tcPr>
            <w:tcW w:w="304" w:type="pct"/>
            <w:shd w:val="clear" w:color="000000" w:fill="92D050"/>
            <w:noWrap/>
            <w:hideMark/>
          </w:tcPr>
          <w:p w14:paraId="2196512E" w14:textId="77777777" w:rsidR="00706FE5" w:rsidRPr="006D5382" w:rsidRDefault="00706FE5" w:rsidP="006D5382">
            <w:pPr>
              <w:spacing w:line="360" w:lineRule="auto"/>
            </w:pPr>
            <w:r w:rsidRPr="006D5382">
              <w:t>2</w:t>
            </w:r>
          </w:p>
        </w:tc>
        <w:tc>
          <w:tcPr>
            <w:tcW w:w="254" w:type="pct"/>
            <w:shd w:val="clear" w:color="auto" w:fill="auto"/>
            <w:noWrap/>
            <w:hideMark/>
          </w:tcPr>
          <w:p w14:paraId="1EB51BBE" w14:textId="77777777" w:rsidR="00706FE5" w:rsidRPr="006D5382" w:rsidRDefault="00706FE5" w:rsidP="006D5382">
            <w:pPr>
              <w:spacing w:line="360" w:lineRule="auto"/>
            </w:pPr>
            <w:r w:rsidRPr="006D5382">
              <w:t>0</w:t>
            </w:r>
          </w:p>
        </w:tc>
        <w:tc>
          <w:tcPr>
            <w:tcW w:w="210" w:type="pct"/>
            <w:shd w:val="clear" w:color="auto" w:fill="auto"/>
            <w:noWrap/>
            <w:hideMark/>
          </w:tcPr>
          <w:p w14:paraId="24F60D2F" w14:textId="77777777" w:rsidR="00706FE5" w:rsidRPr="006D5382" w:rsidRDefault="00706FE5" w:rsidP="006D5382">
            <w:pPr>
              <w:spacing w:line="360" w:lineRule="auto"/>
            </w:pPr>
            <w:r w:rsidRPr="006D5382">
              <w:t>1</w:t>
            </w:r>
          </w:p>
        </w:tc>
        <w:tc>
          <w:tcPr>
            <w:tcW w:w="221" w:type="pct"/>
            <w:shd w:val="clear" w:color="auto" w:fill="auto"/>
            <w:noWrap/>
            <w:hideMark/>
          </w:tcPr>
          <w:p w14:paraId="0E6490A7" w14:textId="77777777" w:rsidR="00706FE5" w:rsidRPr="006D5382" w:rsidRDefault="00706FE5" w:rsidP="006D5382">
            <w:pPr>
              <w:spacing w:line="360" w:lineRule="auto"/>
            </w:pPr>
            <w:r w:rsidRPr="006D5382">
              <w:t>1</w:t>
            </w:r>
          </w:p>
        </w:tc>
        <w:tc>
          <w:tcPr>
            <w:tcW w:w="299" w:type="pct"/>
            <w:shd w:val="clear" w:color="000000" w:fill="00B0F0"/>
            <w:noWrap/>
            <w:hideMark/>
          </w:tcPr>
          <w:p w14:paraId="430E2292" w14:textId="77777777" w:rsidR="00706FE5" w:rsidRPr="006D5382" w:rsidRDefault="00706FE5" w:rsidP="006D5382">
            <w:pPr>
              <w:spacing w:line="360" w:lineRule="auto"/>
            </w:pPr>
            <w:r w:rsidRPr="006D5382">
              <w:t>2</w:t>
            </w:r>
          </w:p>
        </w:tc>
        <w:tc>
          <w:tcPr>
            <w:tcW w:w="265" w:type="pct"/>
            <w:shd w:val="clear" w:color="auto" w:fill="auto"/>
            <w:noWrap/>
            <w:hideMark/>
          </w:tcPr>
          <w:p w14:paraId="105114F5" w14:textId="77777777" w:rsidR="00706FE5" w:rsidRPr="006D5382" w:rsidRDefault="00706FE5" w:rsidP="006D5382">
            <w:pPr>
              <w:spacing w:line="360" w:lineRule="auto"/>
              <w:rPr>
                <w:b/>
                <w:bCs/>
              </w:rPr>
            </w:pPr>
            <w:r w:rsidRPr="006D5382">
              <w:rPr>
                <w:b/>
                <w:bCs/>
              </w:rPr>
              <w:t xml:space="preserve">Fair </w:t>
            </w:r>
          </w:p>
        </w:tc>
      </w:tr>
      <w:tr w:rsidR="006D5382" w:rsidRPr="006D5382" w14:paraId="492FD0F3" w14:textId="77777777" w:rsidTr="008D2B81">
        <w:trPr>
          <w:trHeight w:val="324"/>
        </w:trPr>
        <w:tc>
          <w:tcPr>
            <w:tcW w:w="899" w:type="pct"/>
            <w:shd w:val="clear" w:color="auto" w:fill="auto"/>
            <w:noWrap/>
            <w:hideMark/>
          </w:tcPr>
          <w:p w14:paraId="690D786C" w14:textId="77777777" w:rsidR="00706FE5" w:rsidRPr="006D5382" w:rsidRDefault="00706FE5" w:rsidP="006D5382">
            <w:pPr>
              <w:spacing w:line="360" w:lineRule="auto"/>
            </w:pPr>
            <w:proofErr w:type="spellStart"/>
            <w:r w:rsidRPr="006D5382">
              <w:t>Pelinka</w:t>
            </w:r>
            <w:proofErr w:type="spellEnd"/>
            <w:r w:rsidRPr="006D5382">
              <w:t xml:space="preserve"> LE, </w:t>
            </w:r>
            <w:r w:rsidRPr="006D5382">
              <w:rPr>
                <w:i/>
              </w:rPr>
              <w:t>2004</w:t>
            </w:r>
            <w:r w:rsidRPr="006D5382">
              <w:t xml:space="preserve"> (d)</w:t>
            </w:r>
            <w:r w:rsidR="00DA1B98" w:rsidRPr="006D5382">
              <w:rPr>
                <w:noProof/>
                <w:vertAlign w:val="superscript"/>
              </w:rPr>
              <w:t>36</w:t>
            </w:r>
          </w:p>
        </w:tc>
        <w:tc>
          <w:tcPr>
            <w:tcW w:w="434" w:type="pct"/>
            <w:shd w:val="clear" w:color="auto" w:fill="auto"/>
            <w:noWrap/>
            <w:hideMark/>
          </w:tcPr>
          <w:p w14:paraId="44D1BC33" w14:textId="77777777" w:rsidR="00706FE5" w:rsidRPr="006D5382" w:rsidRDefault="00706FE5" w:rsidP="006D5382">
            <w:pPr>
              <w:spacing w:line="360" w:lineRule="auto"/>
            </w:pPr>
            <w:r w:rsidRPr="006D5382">
              <w:t>0</w:t>
            </w:r>
          </w:p>
        </w:tc>
        <w:tc>
          <w:tcPr>
            <w:tcW w:w="985" w:type="pct"/>
            <w:shd w:val="clear" w:color="auto" w:fill="auto"/>
            <w:noWrap/>
            <w:hideMark/>
          </w:tcPr>
          <w:p w14:paraId="3D2DB8C2" w14:textId="77777777" w:rsidR="00706FE5" w:rsidRPr="006D5382" w:rsidRDefault="00706FE5" w:rsidP="006D5382">
            <w:pPr>
              <w:spacing w:line="360" w:lineRule="auto"/>
            </w:pPr>
            <w:r w:rsidRPr="006D5382">
              <w:t>1</w:t>
            </w:r>
          </w:p>
        </w:tc>
        <w:tc>
          <w:tcPr>
            <w:tcW w:w="514" w:type="pct"/>
            <w:shd w:val="clear" w:color="auto" w:fill="auto"/>
            <w:noWrap/>
            <w:hideMark/>
          </w:tcPr>
          <w:p w14:paraId="1E15C837" w14:textId="77777777" w:rsidR="00706FE5" w:rsidRPr="006D5382" w:rsidRDefault="00706FE5" w:rsidP="006D5382">
            <w:pPr>
              <w:spacing w:line="360" w:lineRule="auto"/>
            </w:pPr>
            <w:r w:rsidRPr="006D5382">
              <w:t>1</w:t>
            </w:r>
          </w:p>
        </w:tc>
        <w:tc>
          <w:tcPr>
            <w:tcW w:w="297" w:type="pct"/>
            <w:shd w:val="clear" w:color="auto" w:fill="auto"/>
            <w:noWrap/>
            <w:hideMark/>
          </w:tcPr>
          <w:p w14:paraId="44AEA25F" w14:textId="77777777" w:rsidR="00706FE5" w:rsidRPr="006D5382" w:rsidRDefault="00706FE5" w:rsidP="006D5382">
            <w:pPr>
              <w:spacing w:line="360" w:lineRule="auto"/>
            </w:pPr>
            <w:r w:rsidRPr="006D5382">
              <w:t>0</w:t>
            </w:r>
          </w:p>
        </w:tc>
        <w:tc>
          <w:tcPr>
            <w:tcW w:w="321" w:type="pct"/>
            <w:shd w:val="clear" w:color="000000" w:fill="FFFF00"/>
            <w:noWrap/>
            <w:hideMark/>
          </w:tcPr>
          <w:p w14:paraId="7A97FFC8" w14:textId="77777777" w:rsidR="00706FE5" w:rsidRPr="006D5382" w:rsidRDefault="00706FE5" w:rsidP="006D5382">
            <w:pPr>
              <w:spacing w:line="360" w:lineRule="auto"/>
            </w:pPr>
            <w:r w:rsidRPr="006D5382">
              <w:t>2</w:t>
            </w:r>
          </w:p>
        </w:tc>
        <w:tc>
          <w:tcPr>
            <w:tcW w:w="304" w:type="pct"/>
            <w:shd w:val="clear" w:color="000000" w:fill="92D050"/>
            <w:noWrap/>
            <w:hideMark/>
          </w:tcPr>
          <w:p w14:paraId="343CA3BA" w14:textId="77777777" w:rsidR="00706FE5" w:rsidRPr="006D5382" w:rsidRDefault="00706FE5" w:rsidP="006D5382">
            <w:pPr>
              <w:spacing w:line="360" w:lineRule="auto"/>
            </w:pPr>
            <w:r w:rsidRPr="006D5382">
              <w:t>2</w:t>
            </w:r>
          </w:p>
        </w:tc>
        <w:tc>
          <w:tcPr>
            <w:tcW w:w="254" w:type="pct"/>
            <w:shd w:val="clear" w:color="auto" w:fill="auto"/>
            <w:noWrap/>
            <w:hideMark/>
          </w:tcPr>
          <w:p w14:paraId="1561EB04" w14:textId="77777777" w:rsidR="00706FE5" w:rsidRPr="006D5382" w:rsidRDefault="00706FE5" w:rsidP="006D5382">
            <w:pPr>
              <w:spacing w:line="360" w:lineRule="auto"/>
            </w:pPr>
            <w:r w:rsidRPr="006D5382">
              <w:t>1</w:t>
            </w:r>
          </w:p>
        </w:tc>
        <w:tc>
          <w:tcPr>
            <w:tcW w:w="210" w:type="pct"/>
            <w:shd w:val="clear" w:color="auto" w:fill="auto"/>
            <w:noWrap/>
            <w:hideMark/>
          </w:tcPr>
          <w:p w14:paraId="6881C720" w14:textId="77777777" w:rsidR="00706FE5" w:rsidRPr="006D5382" w:rsidRDefault="00706FE5" w:rsidP="006D5382">
            <w:pPr>
              <w:spacing w:line="360" w:lineRule="auto"/>
            </w:pPr>
            <w:r w:rsidRPr="006D5382">
              <w:t>1</w:t>
            </w:r>
          </w:p>
        </w:tc>
        <w:tc>
          <w:tcPr>
            <w:tcW w:w="221" w:type="pct"/>
            <w:shd w:val="clear" w:color="auto" w:fill="auto"/>
            <w:noWrap/>
            <w:hideMark/>
          </w:tcPr>
          <w:p w14:paraId="55C10C30" w14:textId="77777777" w:rsidR="00706FE5" w:rsidRPr="006D5382" w:rsidRDefault="00706FE5" w:rsidP="006D5382">
            <w:pPr>
              <w:spacing w:line="360" w:lineRule="auto"/>
            </w:pPr>
            <w:r w:rsidRPr="006D5382">
              <w:t>1</w:t>
            </w:r>
          </w:p>
        </w:tc>
        <w:tc>
          <w:tcPr>
            <w:tcW w:w="299" w:type="pct"/>
            <w:shd w:val="clear" w:color="000000" w:fill="00B0F0"/>
            <w:noWrap/>
            <w:hideMark/>
          </w:tcPr>
          <w:p w14:paraId="69FD670D" w14:textId="77777777" w:rsidR="00706FE5" w:rsidRPr="006D5382" w:rsidRDefault="00706FE5" w:rsidP="006D5382">
            <w:pPr>
              <w:spacing w:line="360" w:lineRule="auto"/>
            </w:pPr>
            <w:r w:rsidRPr="006D5382">
              <w:t>3</w:t>
            </w:r>
          </w:p>
        </w:tc>
        <w:tc>
          <w:tcPr>
            <w:tcW w:w="265" w:type="pct"/>
            <w:shd w:val="clear" w:color="auto" w:fill="auto"/>
            <w:noWrap/>
            <w:hideMark/>
          </w:tcPr>
          <w:p w14:paraId="396740DA" w14:textId="77777777" w:rsidR="00706FE5" w:rsidRPr="006D5382" w:rsidRDefault="00706FE5" w:rsidP="006D5382">
            <w:pPr>
              <w:spacing w:line="360" w:lineRule="auto"/>
              <w:rPr>
                <w:b/>
                <w:bCs/>
              </w:rPr>
            </w:pPr>
            <w:r w:rsidRPr="006D5382">
              <w:rPr>
                <w:b/>
                <w:bCs/>
              </w:rPr>
              <w:t xml:space="preserve">Fair </w:t>
            </w:r>
          </w:p>
        </w:tc>
      </w:tr>
      <w:tr w:rsidR="006D5382" w:rsidRPr="006D5382" w14:paraId="0043525D" w14:textId="77777777" w:rsidTr="008D2B81">
        <w:trPr>
          <w:trHeight w:val="324"/>
        </w:trPr>
        <w:tc>
          <w:tcPr>
            <w:tcW w:w="899" w:type="pct"/>
            <w:shd w:val="clear" w:color="auto" w:fill="auto"/>
            <w:noWrap/>
            <w:hideMark/>
          </w:tcPr>
          <w:p w14:paraId="4A6FC761" w14:textId="77777777" w:rsidR="00706FE5" w:rsidRPr="006D5382" w:rsidRDefault="00706FE5" w:rsidP="006D5382">
            <w:pPr>
              <w:spacing w:line="360" w:lineRule="auto"/>
            </w:pPr>
            <w:proofErr w:type="spellStart"/>
            <w:r w:rsidRPr="006D5382">
              <w:t>Posti</w:t>
            </w:r>
            <w:proofErr w:type="spellEnd"/>
            <w:r w:rsidRPr="006D5382">
              <w:t xml:space="preserve"> JP, </w:t>
            </w:r>
            <w:r w:rsidRPr="006D5382">
              <w:rPr>
                <w:i/>
              </w:rPr>
              <w:t>2016</w:t>
            </w:r>
            <w:r w:rsidR="00DA1B98" w:rsidRPr="006D5382">
              <w:rPr>
                <w:noProof/>
                <w:vertAlign w:val="superscript"/>
              </w:rPr>
              <w:t>37</w:t>
            </w:r>
          </w:p>
        </w:tc>
        <w:tc>
          <w:tcPr>
            <w:tcW w:w="434" w:type="pct"/>
            <w:shd w:val="clear" w:color="auto" w:fill="auto"/>
            <w:noWrap/>
            <w:hideMark/>
          </w:tcPr>
          <w:p w14:paraId="3D40AA8E" w14:textId="77777777" w:rsidR="00706FE5" w:rsidRPr="006D5382" w:rsidRDefault="00706FE5" w:rsidP="006D5382">
            <w:pPr>
              <w:spacing w:line="360" w:lineRule="auto"/>
            </w:pPr>
            <w:r w:rsidRPr="006D5382">
              <w:t>1</w:t>
            </w:r>
          </w:p>
        </w:tc>
        <w:tc>
          <w:tcPr>
            <w:tcW w:w="985" w:type="pct"/>
            <w:shd w:val="clear" w:color="auto" w:fill="auto"/>
            <w:noWrap/>
            <w:hideMark/>
          </w:tcPr>
          <w:p w14:paraId="74DBED03" w14:textId="77777777" w:rsidR="00706FE5" w:rsidRPr="006D5382" w:rsidRDefault="00706FE5" w:rsidP="006D5382">
            <w:pPr>
              <w:spacing w:line="360" w:lineRule="auto"/>
            </w:pPr>
            <w:r w:rsidRPr="006D5382">
              <w:t>1</w:t>
            </w:r>
          </w:p>
        </w:tc>
        <w:tc>
          <w:tcPr>
            <w:tcW w:w="514" w:type="pct"/>
            <w:shd w:val="clear" w:color="auto" w:fill="auto"/>
            <w:noWrap/>
            <w:hideMark/>
          </w:tcPr>
          <w:p w14:paraId="34208DB8" w14:textId="77777777" w:rsidR="00706FE5" w:rsidRPr="006D5382" w:rsidRDefault="00706FE5" w:rsidP="006D5382">
            <w:pPr>
              <w:spacing w:line="360" w:lineRule="auto"/>
            </w:pPr>
            <w:r w:rsidRPr="006D5382">
              <w:t>1</w:t>
            </w:r>
          </w:p>
        </w:tc>
        <w:tc>
          <w:tcPr>
            <w:tcW w:w="297" w:type="pct"/>
            <w:shd w:val="clear" w:color="auto" w:fill="auto"/>
            <w:noWrap/>
            <w:hideMark/>
          </w:tcPr>
          <w:p w14:paraId="5FE9889C" w14:textId="77777777" w:rsidR="00706FE5" w:rsidRPr="006D5382" w:rsidRDefault="00706FE5" w:rsidP="006D5382">
            <w:pPr>
              <w:spacing w:line="360" w:lineRule="auto"/>
            </w:pPr>
            <w:r w:rsidRPr="006D5382">
              <w:t>0</w:t>
            </w:r>
          </w:p>
        </w:tc>
        <w:tc>
          <w:tcPr>
            <w:tcW w:w="321" w:type="pct"/>
            <w:shd w:val="clear" w:color="000000" w:fill="FFFF00"/>
            <w:noWrap/>
            <w:hideMark/>
          </w:tcPr>
          <w:p w14:paraId="1D2AAE6D" w14:textId="77777777" w:rsidR="00706FE5" w:rsidRPr="006D5382" w:rsidRDefault="00706FE5" w:rsidP="006D5382">
            <w:pPr>
              <w:spacing w:line="360" w:lineRule="auto"/>
            </w:pPr>
            <w:r w:rsidRPr="006D5382">
              <w:t>3</w:t>
            </w:r>
          </w:p>
        </w:tc>
        <w:tc>
          <w:tcPr>
            <w:tcW w:w="304" w:type="pct"/>
            <w:shd w:val="clear" w:color="000000" w:fill="92D050"/>
            <w:noWrap/>
            <w:hideMark/>
          </w:tcPr>
          <w:p w14:paraId="097258B4" w14:textId="77777777" w:rsidR="00706FE5" w:rsidRPr="006D5382" w:rsidRDefault="00706FE5" w:rsidP="006D5382">
            <w:pPr>
              <w:spacing w:line="360" w:lineRule="auto"/>
            </w:pPr>
            <w:r w:rsidRPr="006D5382">
              <w:t>1</w:t>
            </w:r>
          </w:p>
        </w:tc>
        <w:tc>
          <w:tcPr>
            <w:tcW w:w="254" w:type="pct"/>
            <w:shd w:val="clear" w:color="auto" w:fill="auto"/>
            <w:noWrap/>
            <w:hideMark/>
          </w:tcPr>
          <w:p w14:paraId="02C1A159" w14:textId="77777777" w:rsidR="00706FE5" w:rsidRPr="006D5382" w:rsidRDefault="00706FE5" w:rsidP="006D5382">
            <w:pPr>
              <w:spacing w:line="360" w:lineRule="auto"/>
            </w:pPr>
            <w:r w:rsidRPr="006D5382">
              <w:t>0</w:t>
            </w:r>
          </w:p>
        </w:tc>
        <w:tc>
          <w:tcPr>
            <w:tcW w:w="210" w:type="pct"/>
            <w:shd w:val="clear" w:color="auto" w:fill="auto"/>
            <w:noWrap/>
            <w:hideMark/>
          </w:tcPr>
          <w:p w14:paraId="59579066" w14:textId="77777777" w:rsidR="00706FE5" w:rsidRPr="006D5382" w:rsidRDefault="00706FE5" w:rsidP="006D5382">
            <w:pPr>
              <w:spacing w:line="360" w:lineRule="auto"/>
            </w:pPr>
            <w:r w:rsidRPr="006D5382">
              <w:t>1</w:t>
            </w:r>
          </w:p>
        </w:tc>
        <w:tc>
          <w:tcPr>
            <w:tcW w:w="221" w:type="pct"/>
            <w:shd w:val="clear" w:color="auto" w:fill="auto"/>
            <w:noWrap/>
            <w:hideMark/>
          </w:tcPr>
          <w:p w14:paraId="0F4B7453" w14:textId="77777777" w:rsidR="00706FE5" w:rsidRPr="006D5382" w:rsidRDefault="00706FE5" w:rsidP="006D5382">
            <w:pPr>
              <w:spacing w:line="360" w:lineRule="auto"/>
            </w:pPr>
            <w:r w:rsidRPr="006D5382">
              <w:t>1</w:t>
            </w:r>
          </w:p>
        </w:tc>
        <w:tc>
          <w:tcPr>
            <w:tcW w:w="299" w:type="pct"/>
            <w:shd w:val="clear" w:color="000000" w:fill="00B0F0"/>
            <w:noWrap/>
            <w:hideMark/>
          </w:tcPr>
          <w:p w14:paraId="5CBA4168" w14:textId="77777777" w:rsidR="00706FE5" w:rsidRPr="006D5382" w:rsidRDefault="00706FE5" w:rsidP="006D5382">
            <w:pPr>
              <w:spacing w:line="360" w:lineRule="auto"/>
            </w:pPr>
            <w:r w:rsidRPr="006D5382">
              <w:t>2</w:t>
            </w:r>
          </w:p>
        </w:tc>
        <w:tc>
          <w:tcPr>
            <w:tcW w:w="265" w:type="pct"/>
            <w:shd w:val="clear" w:color="auto" w:fill="auto"/>
            <w:noWrap/>
            <w:hideMark/>
          </w:tcPr>
          <w:p w14:paraId="706C27E4" w14:textId="77777777" w:rsidR="00706FE5" w:rsidRPr="006D5382" w:rsidRDefault="00706FE5" w:rsidP="006D5382">
            <w:pPr>
              <w:spacing w:line="360" w:lineRule="auto"/>
              <w:rPr>
                <w:b/>
                <w:bCs/>
              </w:rPr>
            </w:pPr>
            <w:r w:rsidRPr="006D5382">
              <w:rPr>
                <w:b/>
                <w:bCs/>
              </w:rPr>
              <w:t xml:space="preserve">Good </w:t>
            </w:r>
          </w:p>
        </w:tc>
      </w:tr>
      <w:tr w:rsidR="006D5382" w:rsidRPr="006D5382" w14:paraId="5556459E" w14:textId="77777777" w:rsidTr="008D2B81">
        <w:trPr>
          <w:trHeight w:val="324"/>
        </w:trPr>
        <w:tc>
          <w:tcPr>
            <w:tcW w:w="899" w:type="pct"/>
            <w:shd w:val="clear" w:color="auto" w:fill="auto"/>
            <w:noWrap/>
            <w:hideMark/>
          </w:tcPr>
          <w:p w14:paraId="31BB6911" w14:textId="77777777" w:rsidR="00706FE5" w:rsidRPr="006D5382" w:rsidRDefault="00706FE5" w:rsidP="006D5382">
            <w:pPr>
              <w:spacing w:line="360" w:lineRule="auto"/>
            </w:pPr>
            <w:r w:rsidRPr="006D5382">
              <w:t xml:space="preserve">Raabe A, </w:t>
            </w:r>
            <w:r w:rsidRPr="006D5382">
              <w:rPr>
                <w:i/>
              </w:rPr>
              <w:t>1998</w:t>
            </w:r>
            <w:r w:rsidR="00DA1B98" w:rsidRPr="006D5382">
              <w:rPr>
                <w:noProof/>
                <w:vertAlign w:val="superscript"/>
              </w:rPr>
              <w:t>38</w:t>
            </w:r>
          </w:p>
        </w:tc>
        <w:tc>
          <w:tcPr>
            <w:tcW w:w="434" w:type="pct"/>
            <w:shd w:val="clear" w:color="auto" w:fill="auto"/>
            <w:noWrap/>
            <w:hideMark/>
          </w:tcPr>
          <w:p w14:paraId="7DBA7C41" w14:textId="77777777" w:rsidR="00706FE5" w:rsidRPr="006D5382" w:rsidRDefault="00706FE5" w:rsidP="006D5382">
            <w:pPr>
              <w:spacing w:line="360" w:lineRule="auto"/>
            </w:pPr>
            <w:r w:rsidRPr="006D5382">
              <w:t>0</w:t>
            </w:r>
          </w:p>
        </w:tc>
        <w:tc>
          <w:tcPr>
            <w:tcW w:w="985" w:type="pct"/>
            <w:shd w:val="clear" w:color="auto" w:fill="auto"/>
            <w:noWrap/>
            <w:hideMark/>
          </w:tcPr>
          <w:p w14:paraId="763DB1FC" w14:textId="77777777" w:rsidR="00706FE5" w:rsidRPr="006D5382" w:rsidRDefault="00706FE5" w:rsidP="006D5382">
            <w:pPr>
              <w:spacing w:line="360" w:lineRule="auto"/>
            </w:pPr>
            <w:r w:rsidRPr="006D5382">
              <w:t>1</w:t>
            </w:r>
          </w:p>
        </w:tc>
        <w:tc>
          <w:tcPr>
            <w:tcW w:w="514" w:type="pct"/>
            <w:shd w:val="clear" w:color="auto" w:fill="auto"/>
            <w:noWrap/>
            <w:hideMark/>
          </w:tcPr>
          <w:p w14:paraId="37E211CD" w14:textId="77777777" w:rsidR="00706FE5" w:rsidRPr="006D5382" w:rsidRDefault="00706FE5" w:rsidP="006D5382">
            <w:pPr>
              <w:spacing w:line="360" w:lineRule="auto"/>
            </w:pPr>
            <w:r w:rsidRPr="006D5382">
              <w:t>1</w:t>
            </w:r>
          </w:p>
        </w:tc>
        <w:tc>
          <w:tcPr>
            <w:tcW w:w="297" w:type="pct"/>
            <w:shd w:val="clear" w:color="auto" w:fill="auto"/>
            <w:noWrap/>
            <w:hideMark/>
          </w:tcPr>
          <w:p w14:paraId="76D1A5AF" w14:textId="77777777" w:rsidR="00706FE5" w:rsidRPr="006D5382" w:rsidRDefault="00706FE5" w:rsidP="006D5382">
            <w:pPr>
              <w:spacing w:line="360" w:lineRule="auto"/>
            </w:pPr>
            <w:r w:rsidRPr="006D5382">
              <w:t>0</w:t>
            </w:r>
          </w:p>
        </w:tc>
        <w:tc>
          <w:tcPr>
            <w:tcW w:w="321" w:type="pct"/>
            <w:shd w:val="clear" w:color="000000" w:fill="FFFF00"/>
            <w:noWrap/>
            <w:hideMark/>
          </w:tcPr>
          <w:p w14:paraId="63CE1DF6" w14:textId="77777777" w:rsidR="00706FE5" w:rsidRPr="006D5382" w:rsidRDefault="00706FE5" w:rsidP="006D5382">
            <w:pPr>
              <w:spacing w:line="360" w:lineRule="auto"/>
            </w:pPr>
            <w:r w:rsidRPr="006D5382">
              <w:t>2</w:t>
            </w:r>
          </w:p>
        </w:tc>
        <w:tc>
          <w:tcPr>
            <w:tcW w:w="304" w:type="pct"/>
            <w:shd w:val="clear" w:color="000000" w:fill="92D050"/>
            <w:noWrap/>
            <w:hideMark/>
          </w:tcPr>
          <w:p w14:paraId="75605C14" w14:textId="77777777" w:rsidR="00706FE5" w:rsidRPr="006D5382" w:rsidRDefault="00706FE5" w:rsidP="006D5382">
            <w:pPr>
              <w:spacing w:line="360" w:lineRule="auto"/>
            </w:pPr>
            <w:r w:rsidRPr="006D5382">
              <w:t>1</w:t>
            </w:r>
          </w:p>
        </w:tc>
        <w:tc>
          <w:tcPr>
            <w:tcW w:w="254" w:type="pct"/>
            <w:shd w:val="clear" w:color="auto" w:fill="auto"/>
            <w:noWrap/>
            <w:hideMark/>
          </w:tcPr>
          <w:p w14:paraId="0CB952D2" w14:textId="77777777" w:rsidR="00706FE5" w:rsidRPr="006D5382" w:rsidRDefault="00706FE5" w:rsidP="006D5382">
            <w:pPr>
              <w:spacing w:line="360" w:lineRule="auto"/>
            </w:pPr>
            <w:r w:rsidRPr="006D5382">
              <w:t>0</w:t>
            </w:r>
          </w:p>
        </w:tc>
        <w:tc>
          <w:tcPr>
            <w:tcW w:w="210" w:type="pct"/>
            <w:shd w:val="clear" w:color="auto" w:fill="auto"/>
            <w:noWrap/>
            <w:hideMark/>
          </w:tcPr>
          <w:p w14:paraId="3CAAF6F7" w14:textId="77777777" w:rsidR="00706FE5" w:rsidRPr="006D5382" w:rsidRDefault="00706FE5" w:rsidP="006D5382">
            <w:pPr>
              <w:spacing w:line="360" w:lineRule="auto"/>
            </w:pPr>
            <w:r w:rsidRPr="006D5382">
              <w:t>1</w:t>
            </w:r>
          </w:p>
        </w:tc>
        <w:tc>
          <w:tcPr>
            <w:tcW w:w="221" w:type="pct"/>
            <w:shd w:val="clear" w:color="auto" w:fill="auto"/>
            <w:noWrap/>
            <w:hideMark/>
          </w:tcPr>
          <w:p w14:paraId="05D12FCF" w14:textId="77777777" w:rsidR="00706FE5" w:rsidRPr="006D5382" w:rsidRDefault="00706FE5" w:rsidP="006D5382">
            <w:pPr>
              <w:spacing w:line="360" w:lineRule="auto"/>
            </w:pPr>
            <w:r w:rsidRPr="006D5382">
              <w:t>1</w:t>
            </w:r>
          </w:p>
        </w:tc>
        <w:tc>
          <w:tcPr>
            <w:tcW w:w="299" w:type="pct"/>
            <w:shd w:val="clear" w:color="000000" w:fill="00B0F0"/>
            <w:noWrap/>
            <w:hideMark/>
          </w:tcPr>
          <w:p w14:paraId="4523D604" w14:textId="77777777" w:rsidR="00706FE5" w:rsidRPr="006D5382" w:rsidRDefault="00706FE5" w:rsidP="006D5382">
            <w:pPr>
              <w:spacing w:line="360" w:lineRule="auto"/>
            </w:pPr>
            <w:r w:rsidRPr="006D5382">
              <w:t>2</w:t>
            </w:r>
          </w:p>
        </w:tc>
        <w:tc>
          <w:tcPr>
            <w:tcW w:w="265" w:type="pct"/>
            <w:shd w:val="clear" w:color="auto" w:fill="auto"/>
            <w:noWrap/>
            <w:hideMark/>
          </w:tcPr>
          <w:p w14:paraId="0AD62BAD" w14:textId="77777777" w:rsidR="00706FE5" w:rsidRPr="006D5382" w:rsidRDefault="00706FE5" w:rsidP="006D5382">
            <w:pPr>
              <w:spacing w:line="360" w:lineRule="auto"/>
              <w:rPr>
                <w:b/>
                <w:bCs/>
              </w:rPr>
            </w:pPr>
            <w:r w:rsidRPr="006D5382">
              <w:rPr>
                <w:b/>
                <w:bCs/>
              </w:rPr>
              <w:t xml:space="preserve">Fair </w:t>
            </w:r>
          </w:p>
        </w:tc>
      </w:tr>
      <w:tr w:rsidR="006D5382" w:rsidRPr="006D5382" w14:paraId="26EB898B" w14:textId="77777777" w:rsidTr="008D2B81">
        <w:trPr>
          <w:trHeight w:val="324"/>
        </w:trPr>
        <w:tc>
          <w:tcPr>
            <w:tcW w:w="899" w:type="pct"/>
            <w:shd w:val="clear" w:color="auto" w:fill="auto"/>
            <w:noWrap/>
            <w:hideMark/>
          </w:tcPr>
          <w:p w14:paraId="69B999F5" w14:textId="77777777" w:rsidR="00706FE5" w:rsidRPr="006D5382" w:rsidRDefault="00706FE5" w:rsidP="006D5382">
            <w:pPr>
              <w:spacing w:line="360" w:lineRule="auto"/>
            </w:pPr>
            <w:r w:rsidRPr="006D5382">
              <w:t xml:space="preserve">Radwan W, </w:t>
            </w:r>
            <w:r w:rsidRPr="006D5382">
              <w:rPr>
                <w:i/>
              </w:rPr>
              <w:t>2013</w:t>
            </w:r>
            <w:r w:rsidR="00DA1B98" w:rsidRPr="006D5382">
              <w:rPr>
                <w:noProof/>
                <w:vertAlign w:val="superscript"/>
              </w:rPr>
              <w:t>39</w:t>
            </w:r>
          </w:p>
        </w:tc>
        <w:tc>
          <w:tcPr>
            <w:tcW w:w="434" w:type="pct"/>
            <w:shd w:val="clear" w:color="auto" w:fill="auto"/>
            <w:noWrap/>
            <w:hideMark/>
          </w:tcPr>
          <w:p w14:paraId="10544ADC" w14:textId="77777777" w:rsidR="00706FE5" w:rsidRPr="006D5382" w:rsidRDefault="00706FE5" w:rsidP="006D5382">
            <w:pPr>
              <w:spacing w:line="360" w:lineRule="auto"/>
            </w:pPr>
            <w:r w:rsidRPr="006D5382">
              <w:t>0</w:t>
            </w:r>
          </w:p>
        </w:tc>
        <w:tc>
          <w:tcPr>
            <w:tcW w:w="985" w:type="pct"/>
            <w:shd w:val="clear" w:color="auto" w:fill="auto"/>
            <w:noWrap/>
            <w:hideMark/>
          </w:tcPr>
          <w:p w14:paraId="0CC8A142" w14:textId="77777777" w:rsidR="00706FE5" w:rsidRPr="006D5382" w:rsidRDefault="00706FE5" w:rsidP="006D5382">
            <w:pPr>
              <w:spacing w:line="360" w:lineRule="auto"/>
            </w:pPr>
            <w:r w:rsidRPr="006D5382">
              <w:t>1</w:t>
            </w:r>
          </w:p>
        </w:tc>
        <w:tc>
          <w:tcPr>
            <w:tcW w:w="514" w:type="pct"/>
            <w:shd w:val="clear" w:color="auto" w:fill="auto"/>
            <w:noWrap/>
            <w:hideMark/>
          </w:tcPr>
          <w:p w14:paraId="07DF1175" w14:textId="77777777" w:rsidR="00706FE5" w:rsidRPr="006D5382" w:rsidRDefault="00706FE5" w:rsidP="006D5382">
            <w:pPr>
              <w:spacing w:line="360" w:lineRule="auto"/>
            </w:pPr>
            <w:r w:rsidRPr="006D5382">
              <w:t>1</w:t>
            </w:r>
          </w:p>
        </w:tc>
        <w:tc>
          <w:tcPr>
            <w:tcW w:w="297" w:type="pct"/>
            <w:shd w:val="clear" w:color="auto" w:fill="auto"/>
            <w:noWrap/>
            <w:hideMark/>
          </w:tcPr>
          <w:p w14:paraId="13AD7CFD" w14:textId="77777777" w:rsidR="00706FE5" w:rsidRPr="006D5382" w:rsidRDefault="00706FE5" w:rsidP="006D5382">
            <w:pPr>
              <w:spacing w:line="360" w:lineRule="auto"/>
            </w:pPr>
            <w:r w:rsidRPr="006D5382">
              <w:t>0</w:t>
            </w:r>
          </w:p>
        </w:tc>
        <w:tc>
          <w:tcPr>
            <w:tcW w:w="321" w:type="pct"/>
            <w:shd w:val="clear" w:color="000000" w:fill="FFFF00"/>
            <w:noWrap/>
            <w:hideMark/>
          </w:tcPr>
          <w:p w14:paraId="01A0B454" w14:textId="77777777" w:rsidR="00706FE5" w:rsidRPr="006D5382" w:rsidRDefault="00706FE5" w:rsidP="006D5382">
            <w:pPr>
              <w:spacing w:line="360" w:lineRule="auto"/>
            </w:pPr>
            <w:r w:rsidRPr="006D5382">
              <w:t>2</w:t>
            </w:r>
          </w:p>
        </w:tc>
        <w:tc>
          <w:tcPr>
            <w:tcW w:w="304" w:type="pct"/>
            <w:shd w:val="clear" w:color="000000" w:fill="92D050"/>
            <w:noWrap/>
            <w:hideMark/>
          </w:tcPr>
          <w:p w14:paraId="0D32B9C2" w14:textId="77777777" w:rsidR="00706FE5" w:rsidRPr="006D5382" w:rsidRDefault="00706FE5" w:rsidP="006D5382">
            <w:pPr>
              <w:spacing w:line="360" w:lineRule="auto"/>
            </w:pPr>
            <w:r w:rsidRPr="006D5382">
              <w:t>0</w:t>
            </w:r>
          </w:p>
        </w:tc>
        <w:tc>
          <w:tcPr>
            <w:tcW w:w="254" w:type="pct"/>
            <w:shd w:val="clear" w:color="auto" w:fill="auto"/>
            <w:noWrap/>
            <w:hideMark/>
          </w:tcPr>
          <w:p w14:paraId="6E0D06A4" w14:textId="77777777" w:rsidR="00706FE5" w:rsidRPr="006D5382" w:rsidRDefault="00706FE5" w:rsidP="006D5382">
            <w:pPr>
              <w:spacing w:line="360" w:lineRule="auto"/>
            </w:pPr>
            <w:r w:rsidRPr="006D5382">
              <w:t>0</w:t>
            </w:r>
          </w:p>
        </w:tc>
        <w:tc>
          <w:tcPr>
            <w:tcW w:w="210" w:type="pct"/>
            <w:shd w:val="clear" w:color="auto" w:fill="auto"/>
            <w:noWrap/>
            <w:hideMark/>
          </w:tcPr>
          <w:p w14:paraId="04C4ABA5" w14:textId="77777777" w:rsidR="00706FE5" w:rsidRPr="006D5382" w:rsidRDefault="00706FE5" w:rsidP="006D5382">
            <w:pPr>
              <w:spacing w:line="360" w:lineRule="auto"/>
            </w:pPr>
            <w:r w:rsidRPr="006D5382">
              <w:t>1</w:t>
            </w:r>
          </w:p>
        </w:tc>
        <w:tc>
          <w:tcPr>
            <w:tcW w:w="221" w:type="pct"/>
            <w:shd w:val="clear" w:color="auto" w:fill="auto"/>
            <w:noWrap/>
            <w:hideMark/>
          </w:tcPr>
          <w:p w14:paraId="07F97D96" w14:textId="77777777" w:rsidR="00706FE5" w:rsidRPr="006D5382" w:rsidRDefault="00706FE5" w:rsidP="006D5382">
            <w:pPr>
              <w:spacing w:line="360" w:lineRule="auto"/>
            </w:pPr>
            <w:r w:rsidRPr="006D5382">
              <w:t>0</w:t>
            </w:r>
          </w:p>
        </w:tc>
        <w:tc>
          <w:tcPr>
            <w:tcW w:w="299" w:type="pct"/>
            <w:shd w:val="clear" w:color="000000" w:fill="00B0F0"/>
            <w:noWrap/>
            <w:hideMark/>
          </w:tcPr>
          <w:p w14:paraId="09539027" w14:textId="77777777" w:rsidR="00706FE5" w:rsidRPr="006D5382" w:rsidRDefault="00706FE5" w:rsidP="006D5382">
            <w:pPr>
              <w:spacing w:line="360" w:lineRule="auto"/>
            </w:pPr>
            <w:r w:rsidRPr="006D5382">
              <w:t>1</w:t>
            </w:r>
          </w:p>
        </w:tc>
        <w:tc>
          <w:tcPr>
            <w:tcW w:w="265" w:type="pct"/>
            <w:shd w:val="clear" w:color="auto" w:fill="auto"/>
            <w:noWrap/>
            <w:hideMark/>
          </w:tcPr>
          <w:p w14:paraId="65CDE588" w14:textId="77777777" w:rsidR="00706FE5" w:rsidRPr="006D5382" w:rsidRDefault="00706FE5" w:rsidP="006D5382">
            <w:pPr>
              <w:spacing w:line="360" w:lineRule="auto"/>
              <w:rPr>
                <w:b/>
                <w:bCs/>
              </w:rPr>
            </w:pPr>
            <w:r w:rsidRPr="006D5382">
              <w:rPr>
                <w:b/>
                <w:bCs/>
              </w:rPr>
              <w:t xml:space="preserve">Poor </w:t>
            </w:r>
          </w:p>
        </w:tc>
      </w:tr>
      <w:tr w:rsidR="006D5382" w:rsidRPr="006D5382" w14:paraId="45202231" w14:textId="77777777" w:rsidTr="008D2B81">
        <w:trPr>
          <w:trHeight w:val="324"/>
        </w:trPr>
        <w:tc>
          <w:tcPr>
            <w:tcW w:w="899" w:type="pct"/>
            <w:shd w:val="clear" w:color="auto" w:fill="auto"/>
            <w:noWrap/>
            <w:hideMark/>
          </w:tcPr>
          <w:p w14:paraId="35086BFE" w14:textId="77777777" w:rsidR="00706FE5" w:rsidRPr="006D5382" w:rsidRDefault="00706FE5" w:rsidP="006D5382">
            <w:pPr>
              <w:spacing w:line="360" w:lineRule="auto"/>
            </w:pPr>
            <w:proofErr w:type="spellStart"/>
            <w:r w:rsidRPr="006D5382">
              <w:t>Romner</w:t>
            </w:r>
            <w:proofErr w:type="spellEnd"/>
            <w:r w:rsidRPr="006D5382">
              <w:t xml:space="preserve"> B, </w:t>
            </w:r>
            <w:r w:rsidRPr="006D5382">
              <w:rPr>
                <w:i/>
              </w:rPr>
              <w:t>2000</w:t>
            </w:r>
            <w:r w:rsidRPr="006D5382">
              <w:t xml:space="preserve"> (b)</w:t>
            </w:r>
            <w:r w:rsidR="00DA1B98" w:rsidRPr="006D5382">
              <w:rPr>
                <w:noProof/>
                <w:vertAlign w:val="superscript"/>
              </w:rPr>
              <w:t>40</w:t>
            </w:r>
          </w:p>
        </w:tc>
        <w:tc>
          <w:tcPr>
            <w:tcW w:w="434" w:type="pct"/>
            <w:shd w:val="clear" w:color="auto" w:fill="auto"/>
            <w:noWrap/>
            <w:hideMark/>
          </w:tcPr>
          <w:p w14:paraId="1F23C897" w14:textId="77777777" w:rsidR="00706FE5" w:rsidRPr="006D5382" w:rsidRDefault="00706FE5" w:rsidP="006D5382">
            <w:pPr>
              <w:spacing w:line="360" w:lineRule="auto"/>
            </w:pPr>
            <w:r w:rsidRPr="006D5382">
              <w:t>0</w:t>
            </w:r>
          </w:p>
        </w:tc>
        <w:tc>
          <w:tcPr>
            <w:tcW w:w="985" w:type="pct"/>
            <w:shd w:val="clear" w:color="auto" w:fill="auto"/>
            <w:noWrap/>
            <w:hideMark/>
          </w:tcPr>
          <w:p w14:paraId="3AD3101D" w14:textId="77777777" w:rsidR="00706FE5" w:rsidRPr="006D5382" w:rsidRDefault="00706FE5" w:rsidP="006D5382">
            <w:pPr>
              <w:spacing w:line="360" w:lineRule="auto"/>
            </w:pPr>
            <w:r w:rsidRPr="006D5382">
              <w:t>1</w:t>
            </w:r>
          </w:p>
        </w:tc>
        <w:tc>
          <w:tcPr>
            <w:tcW w:w="514" w:type="pct"/>
            <w:shd w:val="clear" w:color="auto" w:fill="auto"/>
            <w:noWrap/>
            <w:hideMark/>
          </w:tcPr>
          <w:p w14:paraId="4E1DF868" w14:textId="77777777" w:rsidR="00706FE5" w:rsidRPr="006D5382" w:rsidRDefault="00706FE5" w:rsidP="006D5382">
            <w:pPr>
              <w:spacing w:line="360" w:lineRule="auto"/>
            </w:pPr>
            <w:r w:rsidRPr="006D5382">
              <w:t>1</w:t>
            </w:r>
          </w:p>
        </w:tc>
        <w:tc>
          <w:tcPr>
            <w:tcW w:w="297" w:type="pct"/>
            <w:shd w:val="clear" w:color="auto" w:fill="auto"/>
            <w:noWrap/>
            <w:hideMark/>
          </w:tcPr>
          <w:p w14:paraId="6ECF9FBF" w14:textId="77777777" w:rsidR="00706FE5" w:rsidRPr="006D5382" w:rsidRDefault="00706FE5" w:rsidP="006D5382">
            <w:pPr>
              <w:spacing w:line="360" w:lineRule="auto"/>
            </w:pPr>
            <w:r w:rsidRPr="006D5382">
              <w:t>1</w:t>
            </w:r>
          </w:p>
        </w:tc>
        <w:tc>
          <w:tcPr>
            <w:tcW w:w="321" w:type="pct"/>
            <w:shd w:val="clear" w:color="000000" w:fill="FFFF00"/>
            <w:noWrap/>
            <w:hideMark/>
          </w:tcPr>
          <w:p w14:paraId="2E3046CB" w14:textId="77777777" w:rsidR="00706FE5" w:rsidRPr="006D5382" w:rsidRDefault="00706FE5" w:rsidP="006D5382">
            <w:pPr>
              <w:spacing w:line="360" w:lineRule="auto"/>
            </w:pPr>
            <w:r w:rsidRPr="006D5382">
              <w:t>3</w:t>
            </w:r>
          </w:p>
        </w:tc>
        <w:tc>
          <w:tcPr>
            <w:tcW w:w="304" w:type="pct"/>
            <w:shd w:val="clear" w:color="000000" w:fill="92D050"/>
            <w:noWrap/>
            <w:hideMark/>
          </w:tcPr>
          <w:p w14:paraId="0D189C83" w14:textId="77777777" w:rsidR="00706FE5" w:rsidRPr="006D5382" w:rsidRDefault="00706FE5" w:rsidP="006D5382">
            <w:pPr>
              <w:spacing w:line="360" w:lineRule="auto"/>
            </w:pPr>
            <w:r w:rsidRPr="006D5382">
              <w:t>2</w:t>
            </w:r>
          </w:p>
        </w:tc>
        <w:tc>
          <w:tcPr>
            <w:tcW w:w="254" w:type="pct"/>
            <w:shd w:val="clear" w:color="auto" w:fill="auto"/>
            <w:noWrap/>
            <w:hideMark/>
          </w:tcPr>
          <w:p w14:paraId="0438FB00" w14:textId="77777777" w:rsidR="00706FE5" w:rsidRPr="006D5382" w:rsidRDefault="00706FE5" w:rsidP="006D5382">
            <w:pPr>
              <w:spacing w:line="360" w:lineRule="auto"/>
            </w:pPr>
            <w:r w:rsidRPr="006D5382">
              <w:t>0</w:t>
            </w:r>
          </w:p>
        </w:tc>
        <w:tc>
          <w:tcPr>
            <w:tcW w:w="210" w:type="pct"/>
            <w:shd w:val="clear" w:color="auto" w:fill="auto"/>
            <w:noWrap/>
            <w:hideMark/>
          </w:tcPr>
          <w:p w14:paraId="1901E553" w14:textId="77777777" w:rsidR="00706FE5" w:rsidRPr="006D5382" w:rsidRDefault="00706FE5" w:rsidP="006D5382">
            <w:pPr>
              <w:spacing w:line="360" w:lineRule="auto"/>
            </w:pPr>
            <w:r w:rsidRPr="006D5382">
              <w:t>1</w:t>
            </w:r>
          </w:p>
        </w:tc>
        <w:tc>
          <w:tcPr>
            <w:tcW w:w="221" w:type="pct"/>
            <w:shd w:val="clear" w:color="auto" w:fill="auto"/>
            <w:noWrap/>
            <w:hideMark/>
          </w:tcPr>
          <w:p w14:paraId="78C76F13" w14:textId="77777777" w:rsidR="00706FE5" w:rsidRPr="006D5382" w:rsidRDefault="00706FE5" w:rsidP="006D5382">
            <w:pPr>
              <w:spacing w:line="360" w:lineRule="auto"/>
            </w:pPr>
            <w:r w:rsidRPr="006D5382">
              <w:t>1</w:t>
            </w:r>
          </w:p>
        </w:tc>
        <w:tc>
          <w:tcPr>
            <w:tcW w:w="299" w:type="pct"/>
            <w:shd w:val="clear" w:color="000000" w:fill="00B0F0"/>
            <w:noWrap/>
            <w:hideMark/>
          </w:tcPr>
          <w:p w14:paraId="15FD2883" w14:textId="77777777" w:rsidR="00706FE5" w:rsidRPr="006D5382" w:rsidRDefault="00706FE5" w:rsidP="006D5382">
            <w:pPr>
              <w:spacing w:line="360" w:lineRule="auto"/>
            </w:pPr>
            <w:r w:rsidRPr="006D5382">
              <w:t>2</w:t>
            </w:r>
          </w:p>
        </w:tc>
        <w:tc>
          <w:tcPr>
            <w:tcW w:w="265" w:type="pct"/>
            <w:shd w:val="clear" w:color="auto" w:fill="auto"/>
            <w:noWrap/>
            <w:hideMark/>
          </w:tcPr>
          <w:p w14:paraId="2C07DFC4" w14:textId="77777777" w:rsidR="00706FE5" w:rsidRPr="006D5382" w:rsidRDefault="00706FE5" w:rsidP="006D5382">
            <w:pPr>
              <w:spacing w:line="360" w:lineRule="auto"/>
              <w:rPr>
                <w:b/>
                <w:bCs/>
              </w:rPr>
            </w:pPr>
            <w:r w:rsidRPr="006D5382">
              <w:rPr>
                <w:b/>
                <w:bCs/>
              </w:rPr>
              <w:t xml:space="preserve">Good </w:t>
            </w:r>
          </w:p>
        </w:tc>
      </w:tr>
      <w:tr w:rsidR="006D5382" w:rsidRPr="006D5382" w14:paraId="2DDA1E2F" w14:textId="77777777" w:rsidTr="008D2B81">
        <w:trPr>
          <w:trHeight w:val="324"/>
        </w:trPr>
        <w:tc>
          <w:tcPr>
            <w:tcW w:w="899" w:type="pct"/>
            <w:shd w:val="clear" w:color="auto" w:fill="auto"/>
            <w:noWrap/>
            <w:hideMark/>
          </w:tcPr>
          <w:p w14:paraId="7CCC9048" w14:textId="77777777" w:rsidR="00706FE5" w:rsidRPr="006D5382" w:rsidRDefault="00706FE5" w:rsidP="006D5382">
            <w:pPr>
              <w:spacing w:line="360" w:lineRule="auto"/>
            </w:pPr>
            <w:r w:rsidRPr="006D5382">
              <w:t xml:space="preserve">Rubenstein R, </w:t>
            </w:r>
            <w:r w:rsidRPr="006D5382">
              <w:rPr>
                <w:i/>
              </w:rPr>
              <w:t>2017</w:t>
            </w:r>
            <w:r w:rsidRPr="006D5382">
              <w:t xml:space="preserve"> (a)</w:t>
            </w:r>
            <w:r w:rsidR="00DA1B98" w:rsidRPr="006D5382">
              <w:rPr>
                <w:noProof/>
                <w:vertAlign w:val="superscript"/>
              </w:rPr>
              <w:t>41</w:t>
            </w:r>
          </w:p>
        </w:tc>
        <w:tc>
          <w:tcPr>
            <w:tcW w:w="434" w:type="pct"/>
            <w:shd w:val="clear" w:color="auto" w:fill="auto"/>
            <w:noWrap/>
            <w:hideMark/>
          </w:tcPr>
          <w:p w14:paraId="4EC81C3B" w14:textId="77777777" w:rsidR="00706FE5" w:rsidRPr="006D5382" w:rsidRDefault="00706FE5" w:rsidP="006D5382">
            <w:pPr>
              <w:spacing w:line="360" w:lineRule="auto"/>
            </w:pPr>
            <w:r w:rsidRPr="006D5382">
              <w:t>0</w:t>
            </w:r>
          </w:p>
        </w:tc>
        <w:tc>
          <w:tcPr>
            <w:tcW w:w="985" w:type="pct"/>
            <w:shd w:val="clear" w:color="auto" w:fill="auto"/>
            <w:noWrap/>
            <w:hideMark/>
          </w:tcPr>
          <w:p w14:paraId="6DEFE9DC" w14:textId="77777777" w:rsidR="00706FE5" w:rsidRPr="006D5382" w:rsidRDefault="00706FE5" w:rsidP="006D5382">
            <w:pPr>
              <w:spacing w:line="360" w:lineRule="auto"/>
            </w:pPr>
            <w:r w:rsidRPr="006D5382">
              <w:t>1</w:t>
            </w:r>
          </w:p>
        </w:tc>
        <w:tc>
          <w:tcPr>
            <w:tcW w:w="514" w:type="pct"/>
            <w:shd w:val="clear" w:color="auto" w:fill="auto"/>
            <w:noWrap/>
            <w:hideMark/>
          </w:tcPr>
          <w:p w14:paraId="27EB8260" w14:textId="77777777" w:rsidR="00706FE5" w:rsidRPr="006D5382" w:rsidRDefault="00706FE5" w:rsidP="006D5382">
            <w:pPr>
              <w:spacing w:line="360" w:lineRule="auto"/>
            </w:pPr>
            <w:r w:rsidRPr="006D5382">
              <w:t>1</w:t>
            </w:r>
          </w:p>
        </w:tc>
        <w:tc>
          <w:tcPr>
            <w:tcW w:w="297" w:type="pct"/>
            <w:shd w:val="clear" w:color="auto" w:fill="auto"/>
            <w:noWrap/>
            <w:hideMark/>
          </w:tcPr>
          <w:p w14:paraId="10F5749F" w14:textId="77777777" w:rsidR="00706FE5" w:rsidRPr="006D5382" w:rsidRDefault="00706FE5" w:rsidP="006D5382">
            <w:pPr>
              <w:spacing w:line="360" w:lineRule="auto"/>
            </w:pPr>
            <w:r w:rsidRPr="006D5382">
              <w:t>0</w:t>
            </w:r>
          </w:p>
        </w:tc>
        <w:tc>
          <w:tcPr>
            <w:tcW w:w="321" w:type="pct"/>
            <w:shd w:val="clear" w:color="000000" w:fill="FFFF00"/>
            <w:noWrap/>
            <w:hideMark/>
          </w:tcPr>
          <w:p w14:paraId="33879FC6" w14:textId="77777777" w:rsidR="00706FE5" w:rsidRPr="006D5382" w:rsidRDefault="00706FE5" w:rsidP="006D5382">
            <w:pPr>
              <w:spacing w:line="360" w:lineRule="auto"/>
            </w:pPr>
            <w:r w:rsidRPr="006D5382">
              <w:t>2</w:t>
            </w:r>
          </w:p>
        </w:tc>
        <w:tc>
          <w:tcPr>
            <w:tcW w:w="304" w:type="pct"/>
            <w:shd w:val="clear" w:color="000000" w:fill="92D050"/>
            <w:noWrap/>
            <w:hideMark/>
          </w:tcPr>
          <w:p w14:paraId="7509489E" w14:textId="77777777" w:rsidR="00706FE5" w:rsidRPr="006D5382" w:rsidRDefault="00706FE5" w:rsidP="006D5382">
            <w:pPr>
              <w:spacing w:line="360" w:lineRule="auto"/>
            </w:pPr>
            <w:r w:rsidRPr="006D5382">
              <w:t>1</w:t>
            </w:r>
          </w:p>
        </w:tc>
        <w:tc>
          <w:tcPr>
            <w:tcW w:w="254" w:type="pct"/>
            <w:shd w:val="clear" w:color="auto" w:fill="auto"/>
            <w:noWrap/>
            <w:hideMark/>
          </w:tcPr>
          <w:p w14:paraId="0033BF80" w14:textId="77777777" w:rsidR="00706FE5" w:rsidRPr="006D5382" w:rsidRDefault="00706FE5" w:rsidP="006D5382">
            <w:pPr>
              <w:spacing w:line="360" w:lineRule="auto"/>
            </w:pPr>
            <w:r w:rsidRPr="006D5382">
              <w:t>0</w:t>
            </w:r>
          </w:p>
        </w:tc>
        <w:tc>
          <w:tcPr>
            <w:tcW w:w="210" w:type="pct"/>
            <w:shd w:val="clear" w:color="auto" w:fill="auto"/>
            <w:noWrap/>
            <w:hideMark/>
          </w:tcPr>
          <w:p w14:paraId="5C464CC4" w14:textId="77777777" w:rsidR="00706FE5" w:rsidRPr="006D5382" w:rsidRDefault="00706FE5" w:rsidP="006D5382">
            <w:pPr>
              <w:spacing w:line="360" w:lineRule="auto"/>
            </w:pPr>
            <w:r w:rsidRPr="006D5382">
              <w:t>1</w:t>
            </w:r>
          </w:p>
        </w:tc>
        <w:tc>
          <w:tcPr>
            <w:tcW w:w="221" w:type="pct"/>
            <w:shd w:val="clear" w:color="auto" w:fill="auto"/>
            <w:noWrap/>
            <w:hideMark/>
          </w:tcPr>
          <w:p w14:paraId="0FFBEF0C" w14:textId="77777777" w:rsidR="00706FE5" w:rsidRPr="006D5382" w:rsidRDefault="00706FE5" w:rsidP="006D5382">
            <w:pPr>
              <w:spacing w:line="360" w:lineRule="auto"/>
            </w:pPr>
            <w:r w:rsidRPr="006D5382">
              <w:t>1</w:t>
            </w:r>
          </w:p>
        </w:tc>
        <w:tc>
          <w:tcPr>
            <w:tcW w:w="299" w:type="pct"/>
            <w:shd w:val="clear" w:color="000000" w:fill="00B0F0"/>
            <w:noWrap/>
            <w:hideMark/>
          </w:tcPr>
          <w:p w14:paraId="4F0E5A2D" w14:textId="77777777" w:rsidR="00706FE5" w:rsidRPr="006D5382" w:rsidRDefault="00706FE5" w:rsidP="006D5382">
            <w:pPr>
              <w:spacing w:line="360" w:lineRule="auto"/>
            </w:pPr>
            <w:r w:rsidRPr="006D5382">
              <w:t>2</w:t>
            </w:r>
          </w:p>
        </w:tc>
        <w:tc>
          <w:tcPr>
            <w:tcW w:w="265" w:type="pct"/>
            <w:shd w:val="clear" w:color="auto" w:fill="auto"/>
            <w:noWrap/>
            <w:hideMark/>
          </w:tcPr>
          <w:p w14:paraId="74A660BD" w14:textId="77777777" w:rsidR="00706FE5" w:rsidRPr="006D5382" w:rsidRDefault="00706FE5" w:rsidP="006D5382">
            <w:pPr>
              <w:spacing w:line="360" w:lineRule="auto"/>
              <w:rPr>
                <w:b/>
                <w:bCs/>
              </w:rPr>
            </w:pPr>
            <w:r w:rsidRPr="006D5382">
              <w:rPr>
                <w:b/>
                <w:bCs/>
              </w:rPr>
              <w:t xml:space="preserve">Fair </w:t>
            </w:r>
          </w:p>
        </w:tc>
      </w:tr>
      <w:tr w:rsidR="006D5382" w:rsidRPr="006D5382" w14:paraId="4E7F7D05" w14:textId="77777777" w:rsidTr="008D2B81">
        <w:trPr>
          <w:trHeight w:val="324"/>
        </w:trPr>
        <w:tc>
          <w:tcPr>
            <w:tcW w:w="899" w:type="pct"/>
            <w:shd w:val="clear" w:color="auto" w:fill="auto"/>
            <w:noWrap/>
            <w:hideMark/>
          </w:tcPr>
          <w:p w14:paraId="23C4BDBA" w14:textId="77777777" w:rsidR="00DA1B98" w:rsidRPr="006D5382" w:rsidRDefault="00DA1B98" w:rsidP="006D5382">
            <w:pPr>
              <w:spacing w:line="360" w:lineRule="auto"/>
            </w:pPr>
            <w:proofErr w:type="spellStart"/>
            <w:r w:rsidRPr="006D5382">
              <w:t>Sandsmark</w:t>
            </w:r>
            <w:proofErr w:type="spellEnd"/>
            <w:r w:rsidRPr="006D5382">
              <w:t xml:space="preserve"> DK, </w:t>
            </w:r>
            <w:r w:rsidRPr="006D5382">
              <w:rPr>
                <w:i/>
              </w:rPr>
              <w:t>2019</w:t>
            </w:r>
            <w:r w:rsidRPr="006D5382">
              <w:rPr>
                <w:noProof/>
                <w:vertAlign w:val="superscript"/>
              </w:rPr>
              <w:t>42</w:t>
            </w:r>
          </w:p>
        </w:tc>
        <w:tc>
          <w:tcPr>
            <w:tcW w:w="434" w:type="pct"/>
            <w:shd w:val="clear" w:color="auto" w:fill="auto"/>
            <w:noWrap/>
            <w:hideMark/>
          </w:tcPr>
          <w:p w14:paraId="4DAF5B71" w14:textId="77777777" w:rsidR="00DA1B98" w:rsidRPr="006D5382" w:rsidRDefault="00DA1B98" w:rsidP="006D5382">
            <w:pPr>
              <w:spacing w:line="360" w:lineRule="auto"/>
            </w:pPr>
            <w:r w:rsidRPr="006D5382">
              <w:t>0</w:t>
            </w:r>
          </w:p>
        </w:tc>
        <w:tc>
          <w:tcPr>
            <w:tcW w:w="985" w:type="pct"/>
            <w:shd w:val="clear" w:color="auto" w:fill="auto"/>
            <w:noWrap/>
            <w:hideMark/>
          </w:tcPr>
          <w:p w14:paraId="5B53D3D8" w14:textId="77777777" w:rsidR="00DA1B98" w:rsidRPr="006D5382" w:rsidRDefault="00DA1B98" w:rsidP="006D5382">
            <w:pPr>
              <w:spacing w:line="360" w:lineRule="auto"/>
            </w:pPr>
            <w:r w:rsidRPr="006D5382">
              <w:t>1</w:t>
            </w:r>
          </w:p>
        </w:tc>
        <w:tc>
          <w:tcPr>
            <w:tcW w:w="514" w:type="pct"/>
            <w:shd w:val="clear" w:color="auto" w:fill="auto"/>
            <w:noWrap/>
            <w:hideMark/>
          </w:tcPr>
          <w:p w14:paraId="39F2DE7C" w14:textId="77777777" w:rsidR="00DA1B98" w:rsidRPr="006D5382" w:rsidRDefault="00DA1B98" w:rsidP="006D5382">
            <w:pPr>
              <w:spacing w:line="360" w:lineRule="auto"/>
            </w:pPr>
            <w:r w:rsidRPr="006D5382">
              <w:t>1</w:t>
            </w:r>
          </w:p>
        </w:tc>
        <w:tc>
          <w:tcPr>
            <w:tcW w:w="297" w:type="pct"/>
            <w:shd w:val="clear" w:color="auto" w:fill="auto"/>
            <w:noWrap/>
            <w:hideMark/>
          </w:tcPr>
          <w:p w14:paraId="354E0CCB" w14:textId="77777777" w:rsidR="00DA1B98" w:rsidRPr="006D5382" w:rsidRDefault="00DA1B98" w:rsidP="006D5382">
            <w:pPr>
              <w:spacing w:line="360" w:lineRule="auto"/>
            </w:pPr>
            <w:r w:rsidRPr="006D5382">
              <w:t>0</w:t>
            </w:r>
          </w:p>
        </w:tc>
        <w:tc>
          <w:tcPr>
            <w:tcW w:w="321" w:type="pct"/>
            <w:shd w:val="clear" w:color="000000" w:fill="FFFF00"/>
            <w:noWrap/>
            <w:hideMark/>
          </w:tcPr>
          <w:p w14:paraId="0E4DA81B" w14:textId="77777777" w:rsidR="00DA1B98" w:rsidRPr="006D5382" w:rsidRDefault="00DA1B98" w:rsidP="006D5382">
            <w:pPr>
              <w:spacing w:line="360" w:lineRule="auto"/>
            </w:pPr>
            <w:r w:rsidRPr="006D5382">
              <w:t>2</w:t>
            </w:r>
          </w:p>
        </w:tc>
        <w:tc>
          <w:tcPr>
            <w:tcW w:w="304" w:type="pct"/>
            <w:shd w:val="clear" w:color="000000" w:fill="92D050"/>
            <w:noWrap/>
            <w:hideMark/>
          </w:tcPr>
          <w:p w14:paraId="5436DDE9" w14:textId="77777777" w:rsidR="00DA1B98" w:rsidRPr="006D5382" w:rsidRDefault="00DA1B98" w:rsidP="006D5382">
            <w:pPr>
              <w:spacing w:line="360" w:lineRule="auto"/>
            </w:pPr>
            <w:r w:rsidRPr="006D5382">
              <w:t>2</w:t>
            </w:r>
          </w:p>
        </w:tc>
        <w:tc>
          <w:tcPr>
            <w:tcW w:w="254" w:type="pct"/>
            <w:shd w:val="clear" w:color="auto" w:fill="auto"/>
            <w:noWrap/>
            <w:hideMark/>
          </w:tcPr>
          <w:p w14:paraId="57EC2622" w14:textId="77777777" w:rsidR="00DA1B98" w:rsidRPr="006D5382" w:rsidRDefault="00DA1B98" w:rsidP="006D5382">
            <w:pPr>
              <w:spacing w:line="360" w:lineRule="auto"/>
            </w:pPr>
            <w:r w:rsidRPr="006D5382">
              <w:t>1</w:t>
            </w:r>
          </w:p>
        </w:tc>
        <w:tc>
          <w:tcPr>
            <w:tcW w:w="210" w:type="pct"/>
            <w:shd w:val="clear" w:color="auto" w:fill="auto"/>
            <w:noWrap/>
            <w:hideMark/>
          </w:tcPr>
          <w:p w14:paraId="197FD52C" w14:textId="77777777" w:rsidR="00DA1B98" w:rsidRPr="006D5382" w:rsidRDefault="00DA1B98" w:rsidP="006D5382">
            <w:pPr>
              <w:spacing w:line="360" w:lineRule="auto"/>
            </w:pPr>
            <w:r w:rsidRPr="006D5382">
              <w:t>1</w:t>
            </w:r>
          </w:p>
        </w:tc>
        <w:tc>
          <w:tcPr>
            <w:tcW w:w="221" w:type="pct"/>
            <w:shd w:val="clear" w:color="auto" w:fill="auto"/>
            <w:noWrap/>
            <w:hideMark/>
          </w:tcPr>
          <w:p w14:paraId="5821C543" w14:textId="77777777" w:rsidR="00DA1B98" w:rsidRPr="006D5382" w:rsidRDefault="00DA1B98" w:rsidP="006D5382">
            <w:pPr>
              <w:spacing w:line="360" w:lineRule="auto"/>
            </w:pPr>
            <w:r w:rsidRPr="006D5382">
              <w:t>0</w:t>
            </w:r>
          </w:p>
        </w:tc>
        <w:tc>
          <w:tcPr>
            <w:tcW w:w="299" w:type="pct"/>
            <w:shd w:val="clear" w:color="000000" w:fill="00B0F0"/>
            <w:noWrap/>
            <w:hideMark/>
          </w:tcPr>
          <w:p w14:paraId="229971BC" w14:textId="77777777" w:rsidR="00DA1B98" w:rsidRPr="006D5382" w:rsidRDefault="00DA1B98" w:rsidP="006D5382">
            <w:pPr>
              <w:spacing w:line="360" w:lineRule="auto"/>
            </w:pPr>
            <w:r w:rsidRPr="006D5382">
              <w:t>2</w:t>
            </w:r>
          </w:p>
        </w:tc>
        <w:tc>
          <w:tcPr>
            <w:tcW w:w="265" w:type="pct"/>
            <w:shd w:val="clear" w:color="auto" w:fill="auto"/>
            <w:noWrap/>
            <w:hideMark/>
          </w:tcPr>
          <w:p w14:paraId="73ACFD54" w14:textId="77777777" w:rsidR="00DA1B98" w:rsidRPr="006D5382" w:rsidRDefault="00DA1B98" w:rsidP="006D5382">
            <w:pPr>
              <w:spacing w:line="360" w:lineRule="auto"/>
              <w:rPr>
                <w:b/>
                <w:bCs/>
              </w:rPr>
            </w:pPr>
            <w:r w:rsidRPr="006D5382">
              <w:rPr>
                <w:b/>
                <w:bCs/>
              </w:rPr>
              <w:t xml:space="preserve">Fair </w:t>
            </w:r>
          </w:p>
        </w:tc>
      </w:tr>
      <w:tr w:rsidR="006D5382" w:rsidRPr="006D5382" w14:paraId="00FEAFBE" w14:textId="77777777" w:rsidTr="008D2B81">
        <w:trPr>
          <w:trHeight w:val="324"/>
        </w:trPr>
        <w:tc>
          <w:tcPr>
            <w:tcW w:w="899" w:type="pct"/>
            <w:shd w:val="clear" w:color="auto" w:fill="auto"/>
            <w:noWrap/>
            <w:hideMark/>
          </w:tcPr>
          <w:p w14:paraId="0BEC0C40" w14:textId="77777777" w:rsidR="00DA1B98" w:rsidRPr="006D5382" w:rsidRDefault="00DA1B98" w:rsidP="006D5382">
            <w:pPr>
              <w:spacing w:line="360" w:lineRule="auto"/>
            </w:pPr>
            <w:proofErr w:type="spellStart"/>
            <w:r w:rsidRPr="006D5382">
              <w:t>Shakeri</w:t>
            </w:r>
            <w:proofErr w:type="spellEnd"/>
            <w:r w:rsidRPr="006D5382">
              <w:t xml:space="preserve"> M, </w:t>
            </w:r>
            <w:r w:rsidRPr="006D5382">
              <w:rPr>
                <w:i/>
              </w:rPr>
              <w:t>2014</w:t>
            </w:r>
            <w:r w:rsidRPr="006D5382">
              <w:rPr>
                <w:noProof/>
                <w:vertAlign w:val="superscript"/>
              </w:rPr>
              <w:t>43</w:t>
            </w:r>
          </w:p>
        </w:tc>
        <w:tc>
          <w:tcPr>
            <w:tcW w:w="434" w:type="pct"/>
            <w:shd w:val="clear" w:color="auto" w:fill="auto"/>
            <w:noWrap/>
            <w:hideMark/>
          </w:tcPr>
          <w:p w14:paraId="799EA825" w14:textId="77777777" w:rsidR="00DA1B98" w:rsidRPr="006D5382" w:rsidRDefault="00DA1B98" w:rsidP="006D5382">
            <w:pPr>
              <w:spacing w:line="360" w:lineRule="auto"/>
            </w:pPr>
            <w:r w:rsidRPr="006D5382">
              <w:t>0</w:t>
            </w:r>
          </w:p>
        </w:tc>
        <w:tc>
          <w:tcPr>
            <w:tcW w:w="985" w:type="pct"/>
            <w:shd w:val="clear" w:color="auto" w:fill="auto"/>
            <w:noWrap/>
            <w:hideMark/>
          </w:tcPr>
          <w:p w14:paraId="56A59CC9" w14:textId="77777777" w:rsidR="00DA1B98" w:rsidRPr="006D5382" w:rsidRDefault="00DA1B98" w:rsidP="006D5382">
            <w:pPr>
              <w:spacing w:line="360" w:lineRule="auto"/>
            </w:pPr>
            <w:r w:rsidRPr="006D5382">
              <w:t>1</w:t>
            </w:r>
          </w:p>
        </w:tc>
        <w:tc>
          <w:tcPr>
            <w:tcW w:w="514" w:type="pct"/>
            <w:shd w:val="clear" w:color="auto" w:fill="auto"/>
            <w:noWrap/>
            <w:hideMark/>
          </w:tcPr>
          <w:p w14:paraId="2A7CA2E9" w14:textId="77777777" w:rsidR="00DA1B98" w:rsidRPr="006D5382" w:rsidRDefault="00DA1B98" w:rsidP="006D5382">
            <w:pPr>
              <w:spacing w:line="360" w:lineRule="auto"/>
            </w:pPr>
            <w:r w:rsidRPr="006D5382">
              <w:t>1</w:t>
            </w:r>
          </w:p>
        </w:tc>
        <w:tc>
          <w:tcPr>
            <w:tcW w:w="297" w:type="pct"/>
            <w:shd w:val="clear" w:color="auto" w:fill="auto"/>
            <w:noWrap/>
            <w:hideMark/>
          </w:tcPr>
          <w:p w14:paraId="0A82A0F6" w14:textId="77777777" w:rsidR="00DA1B98" w:rsidRPr="006D5382" w:rsidRDefault="00DA1B98" w:rsidP="006D5382">
            <w:pPr>
              <w:spacing w:line="360" w:lineRule="auto"/>
            </w:pPr>
            <w:r w:rsidRPr="006D5382">
              <w:t>1</w:t>
            </w:r>
          </w:p>
        </w:tc>
        <w:tc>
          <w:tcPr>
            <w:tcW w:w="321" w:type="pct"/>
            <w:shd w:val="clear" w:color="000000" w:fill="FFFF00"/>
            <w:noWrap/>
            <w:hideMark/>
          </w:tcPr>
          <w:p w14:paraId="5065A873" w14:textId="77777777" w:rsidR="00DA1B98" w:rsidRPr="006D5382" w:rsidRDefault="00DA1B98" w:rsidP="006D5382">
            <w:pPr>
              <w:spacing w:line="360" w:lineRule="auto"/>
            </w:pPr>
            <w:r w:rsidRPr="006D5382">
              <w:t>3</w:t>
            </w:r>
          </w:p>
        </w:tc>
        <w:tc>
          <w:tcPr>
            <w:tcW w:w="304" w:type="pct"/>
            <w:shd w:val="clear" w:color="000000" w:fill="92D050"/>
            <w:noWrap/>
            <w:hideMark/>
          </w:tcPr>
          <w:p w14:paraId="66FC2E9F" w14:textId="77777777" w:rsidR="00DA1B98" w:rsidRPr="006D5382" w:rsidRDefault="00DA1B98" w:rsidP="006D5382">
            <w:pPr>
              <w:spacing w:line="360" w:lineRule="auto"/>
            </w:pPr>
            <w:r w:rsidRPr="006D5382">
              <w:t>2</w:t>
            </w:r>
          </w:p>
        </w:tc>
        <w:tc>
          <w:tcPr>
            <w:tcW w:w="254" w:type="pct"/>
            <w:shd w:val="clear" w:color="auto" w:fill="auto"/>
            <w:noWrap/>
            <w:hideMark/>
          </w:tcPr>
          <w:p w14:paraId="73958AB6" w14:textId="77777777" w:rsidR="00DA1B98" w:rsidRPr="006D5382" w:rsidRDefault="00DA1B98" w:rsidP="006D5382">
            <w:pPr>
              <w:spacing w:line="360" w:lineRule="auto"/>
            </w:pPr>
            <w:r w:rsidRPr="006D5382">
              <w:t>1</w:t>
            </w:r>
          </w:p>
        </w:tc>
        <w:tc>
          <w:tcPr>
            <w:tcW w:w="210" w:type="pct"/>
            <w:shd w:val="clear" w:color="auto" w:fill="auto"/>
            <w:noWrap/>
            <w:hideMark/>
          </w:tcPr>
          <w:p w14:paraId="4AF7591C" w14:textId="77777777" w:rsidR="00DA1B98" w:rsidRPr="006D5382" w:rsidRDefault="00DA1B98" w:rsidP="006D5382">
            <w:pPr>
              <w:spacing w:line="360" w:lineRule="auto"/>
            </w:pPr>
            <w:r w:rsidRPr="006D5382">
              <w:t>1</w:t>
            </w:r>
          </w:p>
        </w:tc>
        <w:tc>
          <w:tcPr>
            <w:tcW w:w="221" w:type="pct"/>
            <w:shd w:val="clear" w:color="auto" w:fill="auto"/>
            <w:noWrap/>
            <w:hideMark/>
          </w:tcPr>
          <w:p w14:paraId="0E225DB8" w14:textId="77777777" w:rsidR="00DA1B98" w:rsidRPr="006D5382" w:rsidRDefault="00DA1B98" w:rsidP="006D5382">
            <w:pPr>
              <w:spacing w:line="360" w:lineRule="auto"/>
            </w:pPr>
            <w:r w:rsidRPr="006D5382">
              <w:t>1</w:t>
            </w:r>
          </w:p>
        </w:tc>
        <w:tc>
          <w:tcPr>
            <w:tcW w:w="299" w:type="pct"/>
            <w:shd w:val="clear" w:color="000000" w:fill="00B0F0"/>
            <w:noWrap/>
            <w:hideMark/>
          </w:tcPr>
          <w:p w14:paraId="57720773" w14:textId="77777777" w:rsidR="00DA1B98" w:rsidRPr="006D5382" w:rsidRDefault="00DA1B98" w:rsidP="006D5382">
            <w:pPr>
              <w:spacing w:line="360" w:lineRule="auto"/>
            </w:pPr>
            <w:r w:rsidRPr="006D5382">
              <w:t>3</w:t>
            </w:r>
          </w:p>
        </w:tc>
        <w:tc>
          <w:tcPr>
            <w:tcW w:w="265" w:type="pct"/>
            <w:shd w:val="clear" w:color="auto" w:fill="auto"/>
            <w:noWrap/>
            <w:hideMark/>
          </w:tcPr>
          <w:p w14:paraId="4C94BC0A" w14:textId="77777777" w:rsidR="00DA1B98" w:rsidRPr="006D5382" w:rsidRDefault="00DA1B98" w:rsidP="006D5382">
            <w:pPr>
              <w:spacing w:line="360" w:lineRule="auto"/>
              <w:rPr>
                <w:b/>
                <w:bCs/>
              </w:rPr>
            </w:pPr>
            <w:r w:rsidRPr="006D5382">
              <w:rPr>
                <w:b/>
                <w:bCs/>
              </w:rPr>
              <w:t xml:space="preserve">Good </w:t>
            </w:r>
          </w:p>
        </w:tc>
      </w:tr>
      <w:tr w:rsidR="006D5382" w:rsidRPr="006D5382" w14:paraId="4F5091AB" w14:textId="77777777" w:rsidTr="008D2B81">
        <w:trPr>
          <w:trHeight w:val="324"/>
        </w:trPr>
        <w:tc>
          <w:tcPr>
            <w:tcW w:w="899" w:type="pct"/>
            <w:shd w:val="clear" w:color="auto" w:fill="auto"/>
            <w:noWrap/>
            <w:hideMark/>
          </w:tcPr>
          <w:p w14:paraId="45A8B2E9" w14:textId="77777777" w:rsidR="00DA1B98" w:rsidRPr="006D5382" w:rsidRDefault="00DA1B98" w:rsidP="006D5382">
            <w:pPr>
              <w:spacing w:line="360" w:lineRule="auto"/>
            </w:pPr>
            <w:proofErr w:type="spellStart"/>
            <w:r w:rsidRPr="006D5382">
              <w:t>Skandsen</w:t>
            </w:r>
            <w:proofErr w:type="spellEnd"/>
            <w:r w:rsidRPr="006D5382">
              <w:t xml:space="preserve"> T, </w:t>
            </w:r>
            <w:r w:rsidRPr="006D5382">
              <w:rPr>
                <w:i/>
              </w:rPr>
              <w:t>2018</w:t>
            </w:r>
            <w:r w:rsidRPr="006D5382">
              <w:rPr>
                <w:noProof/>
                <w:vertAlign w:val="superscript"/>
              </w:rPr>
              <w:t>44</w:t>
            </w:r>
          </w:p>
        </w:tc>
        <w:tc>
          <w:tcPr>
            <w:tcW w:w="434" w:type="pct"/>
            <w:shd w:val="clear" w:color="auto" w:fill="auto"/>
            <w:noWrap/>
            <w:hideMark/>
          </w:tcPr>
          <w:p w14:paraId="73E478E6" w14:textId="77777777" w:rsidR="00DA1B98" w:rsidRPr="006D5382" w:rsidRDefault="00DA1B98" w:rsidP="006D5382">
            <w:pPr>
              <w:spacing w:line="360" w:lineRule="auto"/>
            </w:pPr>
            <w:r w:rsidRPr="006D5382">
              <w:t>0</w:t>
            </w:r>
          </w:p>
        </w:tc>
        <w:tc>
          <w:tcPr>
            <w:tcW w:w="985" w:type="pct"/>
            <w:shd w:val="clear" w:color="auto" w:fill="auto"/>
            <w:noWrap/>
            <w:hideMark/>
          </w:tcPr>
          <w:p w14:paraId="1EFEF635" w14:textId="77777777" w:rsidR="00DA1B98" w:rsidRPr="006D5382" w:rsidRDefault="00DA1B98" w:rsidP="006D5382">
            <w:pPr>
              <w:spacing w:line="360" w:lineRule="auto"/>
            </w:pPr>
            <w:r w:rsidRPr="006D5382">
              <w:t>0</w:t>
            </w:r>
          </w:p>
        </w:tc>
        <w:tc>
          <w:tcPr>
            <w:tcW w:w="514" w:type="pct"/>
            <w:shd w:val="clear" w:color="auto" w:fill="auto"/>
            <w:noWrap/>
            <w:hideMark/>
          </w:tcPr>
          <w:p w14:paraId="36382366" w14:textId="77777777" w:rsidR="00DA1B98" w:rsidRPr="006D5382" w:rsidRDefault="00DA1B98" w:rsidP="006D5382">
            <w:pPr>
              <w:spacing w:line="360" w:lineRule="auto"/>
            </w:pPr>
            <w:r w:rsidRPr="006D5382">
              <w:t>1</w:t>
            </w:r>
          </w:p>
        </w:tc>
        <w:tc>
          <w:tcPr>
            <w:tcW w:w="297" w:type="pct"/>
            <w:shd w:val="clear" w:color="auto" w:fill="auto"/>
            <w:noWrap/>
            <w:hideMark/>
          </w:tcPr>
          <w:p w14:paraId="22B2D939" w14:textId="77777777" w:rsidR="00DA1B98" w:rsidRPr="006D5382" w:rsidRDefault="00DA1B98" w:rsidP="006D5382">
            <w:pPr>
              <w:spacing w:line="360" w:lineRule="auto"/>
            </w:pPr>
            <w:r w:rsidRPr="006D5382">
              <w:t>0</w:t>
            </w:r>
          </w:p>
        </w:tc>
        <w:tc>
          <w:tcPr>
            <w:tcW w:w="321" w:type="pct"/>
            <w:shd w:val="clear" w:color="000000" w:fill="FFFF00"/>
            <w:noWrap/>
            <w:hideMark/>
          </w:tcPr>
          <w:p w14:paraId="42441907" w14:textId="77777777" w:rsidR="00DA1B98" w:rsidRPr="006D5382" w:rsidRDefault="00DA1B98" w:rsidP="006D5382">
            <w:pPr>
              <w:spacing w:line="360" w:lineRule="auto"/>
            </w:pPr>
            <w:r w:rsidRPr="006D5382">
              <w:t>1</w:t>
            </w:r>
          </w:p>
        </w:tc>
        <w:tc>
          <w:tcPr>
            <w:tcW w:w="304" w:type="pct"/>
            <w:shd w:val="clear" w:color="000000" w:fill="92D050"/>
            <w:noWrap/>
            <w:hideMark/>
          </w:tcPr>
          <w:p w14:paraId="4980F9A9" w14:textId="77777777" w:rsidR="00DA1B98" w:rsidRPr="006D5382" w:rsidRDefault="00DA1B98" w:rsidP="006D5382">
            <w:pPr>
              <w:spacing w:line="360" w:lineRule="auto"/>
            </w:pPr>
            <w:r w:rsidRPr="006D5382">
              <w:t>1</w:t>
            </w:r>
          </w:p>
        </w:tc>
        <w:tc>
          <w:tcPr>
            <w:tcW w:w="254" w:type="pct"/>
            <w:shd w:val="clear" w:color="auto" w:fill="auto"/>
            <w:noWrap/>
            <w:hideMark/>
          </w:tcPr>
          <w:p w14:paraId="73F6933F" w14:textId="77777777" w:rsidR="00DA1B98" w:rsidRPr="006D5382" w:rsidRDefault="00DA1B98" w:rsidP="006D5382">
            <w:pPr>
              <w:spacing w:line="360" w:lineRule="auto"/>
            </w:pPr>
            <w:r w:rsidRPr="006D5382">
              <w:t>0</w:t>
            </w:r>
          </w:p>
        </w:tc>
        <w:tc>
          <w:tcPr>
            <w:tcW w:w="210" w:type="pct"/>
            <w:shd w:val="clear" w:color="auto" w:fill="auto"/>
            <w:noWrap/>
            <w:hideMark/>
          </w:tcPr>
          <w:p w14:paraId="557BC355" w14:textId="77777777" w:rsidR="00DA1B98" w:rsidRPr="006D5382" w:rsidRDefault="00DA1B98" w:rsidP="006D5382">
            <w:pPr>
              <w:spacing w:line="360" w:lineRule="auto"/>
            </w:pPr>
            <w:r w:rsidRPr="006D5382">
              <w:t>1</w:t>
            </w:r>
          </w:p>
        </w:tc>
        <w:tc>
          <w:tcPr>
            <w:tcW w:w="221" w:type="pct"/>
            <w:shd w:val="clear" w:color="auto" w:fill="auto"/>
            <w:noWrap/>
            <w:hideMark/>
          </w:tcPr>
          <w:p w14:paraId="08018001" w14:textId="77777777" w:rsidR="00DA1B98" w:rsidRPr="006D5382" w:rsidRDefault="00DA1B98" w:rsidP="006D5382">
            <w:pPr>
              <w:spacing w:line="360" w:lineRule="auto"/>
            </w:pPr>
            <w:r w:rsidRPr="006D5382">
              <w:t>1</w:t>
            </w:r>
          </w:p>
        </w:tc>
        <w:tc>
          <w:tcPr>
            <w:tcW w:w="299" w:type="pct"/>
            <w:shd w:val="clear" w:color="000000" w:fill="00B0F0"/>
            <w:noWrap/>
            <w:hideMark/>
          </w:tcPr>
          <w:p w14:paraId="3C985DF6" w14:textId="77777777" w:rsidR="00DA1B98" w:rsidRPr="006D5382" w:rsidRDefault="00DA1B98" w:rsidP="006D5382">
            <w:pPr>
              <w:spacing w:line="360" w:lineRule="auto"/>
            </w:pPr>
            <w:r w:rsidRPr="006D5382">
              <w:t>2</w:t>
            </w:r>
          </w:p>
        </w:tc>
        <w:tc>
          <w:tcPr>
            <w:tcW w:w="265" w:type="pct"/>
            <w:shd w:val="clear" w:color="auto" w:fill="auto"/>
            <w:noWrap/>
            <w:hideMark/>
          </w:tcPr>
          <w:p w14:paraId="3C5977AA" w14:textId="77777777" w:rsidR="00DA1B98" w:rsidRPr="006D5382" w:rsidRDefault="00DA1B98" w:rsidP="006D5382">
            <w:pPr>
              <w:spacing w:line="360" w:lineRule="auto"/>
              <w:rPr>
                <w:b/>
                <w:bCs/>
              </w:rPr>
            </w:pPr>
            <w:r w:rsidRPr="006D5382">
              <w:rPr>
                <w:b/>
                <w:bCs/>
              </w:rPr>
              <w:t xml:space="preserve">Poor </w:t>
            </w:r>
          </w:p>
        </w:tc>
      </w:tr>
      <w:tr w:rsidR="006D5382" w:rsidRPr="006D5382" w14:paraId="713E7E8C" w14:textId="77777777" w:rsidTr="008D2B81">
        <w:trPr>
          <w:trHeight w:val="324"/>
        </w:trPr>
        <w:tc>
          <w:tcPr>
            <w:tcW w:w="899" w:type="pct"/>
            <w:shd w:val="clear" w:color="auto" w:fill="auto"/>
            <w:noWrap/>
            <w:hideMark/>
          </w:tcPr>
          <w:p w14:paraId="60F12FF3" w14:textId="77777777" w:rsidR="00DA1B98" w:rsidRPr="006D5382" w:rsidRDefault="00DA1B98" w:rsidP="006D5382">
            <w:pPr>
              <w:spacing w:line="360" w:lineRule="auto"/>
            </w:pPr>
            <w:proofErr w:type="spellStart"/>
            <w:r w:rsidRPr="006D5382">
              <w:t>Skogseid</w:t>
            </w:r>
            <w:proofErr w:type="spellEnd"/>
            <w:r w:rsidRPr="006D5382">
              <w:t xml:space="preserve"> IM, 1992</w:t>
            </w:r>
            <w:r w:rsidRPr="006D5382">
              <w:rPr>
                <w:noProof/>
                <w:vertAlign w:val="superscript"/>
              </w:rPr>
              <w:t>45</w:t>
            </w:r>
          </w:p>
        </w:tc>
        <w:tc>
          <w:tcPr>
            <w:tcW w:w="434" w:type="pct"/>
            <w:shd w:val="clear" w:color="auto" w:fill="auto"/>
            <w:noWrap/>
            <w:hideMark/>
          </w:tcPr>
          <w:p w14:paraId="1FC96D86" w14:textId="77777777" w:rsidR="00DA1B98" w:rsidRPr="006D5382" w:rsidRDefault="00DA1B98" w:rsidP="006D5382">
            <w:pPr>
              <w:spacing w:line="360" w:lineRule="auto"/>
            </w:pPr>
            <w:r w:rsidRPr="006D5382">
              <w:t>0</w:t>
            </w:r>
          </w:p>
        </w:tc>
        <w:tc>
          <w:tcPr>
            <w:tcW w:w="985" w:type="pct"/>
            <w:shd w:val="clear" w:color="auto" w:fill="auto"/>
            <w:noWrap/>
            <w:hideMark/>
          </w:tcPr>
          <w:p w14:paraId="0D7B64E8" w14:textId="77777777" w:rsidR="00DA1B98" w:rsidRPr="006D5382" w:rsidRDefault="00DA1B98" w:rsidP="006D5382">
            <w:pPr>
              <w:spacing w:line="360" w:lineRule="auto"/>
            </w:pPr>
            <w:r w:rsidRPr="006D5382">
              <w:t>1</w:t>
            </w:r>
          </w:p>
        </w:tc>
        <w:tc>
          <w:tcPr>
            <w:tcW w:w="514" w:type="pct"/>
            <w:shd w:val="clear" w:color="auto" w:fill="auto"/>
            <w:noWrap/>
            <w:hideMark/>
          </w:tcPr>
          <w:p w14:paraId="51DAC6BC" w14:textId="77777777" w:rsidR="00DA1B98" w:rsidRPr="006D5382" w:rsidRDefault="00DA1B98" w:rsidP="006D5382">
            <w:pPr>
              <w:spacing w:line="360" w:lineRule="auto"/>
            </w:pPr>
            <w:r w:rsidRPr="006D5382">
              <w:t>1</w:t>
            </w:r>
          </w:p>
        </w:tc>
        <w:tc>
          <w:tcPr>
            <w:tcW w:w="297" w:type="pct"/>
            <w:shd w:val="clear" w:color="auto" w:fill="auto"/>
            <w:noWrap/>
            <w:hideMark/>
          </w:tcPr>
          <w:p w14:paraId="51070BD0" w14:textId="77777777" w:rsidR="00DA1B98" w:rsidRPr="006D5382" w:rsidRDefault="00DA1B98" w:rsidP="006D5382">
            <w:pPr>
              <w:spacing w:line="360" w:lineRule="auto"/>
            </w:pPr>
            <w:r w:rsidRPr="006D5382">
              <w:t>0</w:t>
            </w:r>
          </w:p>
        </w:tc>
        <w:tc>
          <w:tcPr>
            <w:tcW w:w="321" w:type="pct"/>
            <w:shd w:val="clear" w:color="000000" w:fill="FFFF00"/>
            <w:noWrap/>
            <w:hideMark/>
          </w:tcPr>
          <w:p w14:paraId="165D0B86" w14:textId="77777777" w:rsidR="00DA1B98" w:rsidRPr="006D5382" w:rsidRDefault="00DA1B98" w:rsidP="006D5382">
            <w:pPr>
              <w:spacing w:line="360" w:lineRule="auto"/>
            </w:pPr>
            <w:r w:rsidRPr="006D5382">
              <w:t>2</w:t>
            </w:r>
          </w:p>
        </w:tc>
        <w:tc>
          <w:tcPr>
            <w:tcW w:w="304" w:type="pct"/>
            <w:shd w:val="clear" w:color="000000" w:fill="92D050"/>
            <w:noWrap/>
            <w:hideMark/>
          </w:tcPr>
          <w:p w14:paraId="0A8FC8CF" w14:textId="77777777" w:rsidR="00DA1B98" w:rsidRPr="006D5382" w:rsidRDefault="00DA1B98" w:rsidP="006D5382">
            <w:pPr>
              <w:spacing w:line="360" w:lineRule="auto"/>
            </w:pPr>
            <w:r w:rsidRPr="006D5382">
              <w:t>1</w:t>
            </w:r>
          </w:p>
        </w:tc>
        <w:tc>
          <w:tcPr>
            <w:tcW w:w="254" w:type="pct"/>
            <w:shd w:val="clear" w:color="auto" w:fill="auto"/>
            <w:noWrap/>
            <w:hideMark/>
          </w:tcPr>
          <w:p w14:paraId="4917585C" w14:textId="77777777" w:rsidR="00DA1B98" w:rsidRPr="006D5382" w:rsidRDefault="00DA1B98" w:rsidP="006D5382">
            <w:pPr>
              <w:spacing w:line="360" w:lineRule="auto"/>
            </w:pPr>
            <w:r w:rsidRPr="006D5382">
              <w:t>0</w:t>
            </w:r>
          </w:p>
        </w:tc>
        <w:tc>
          <w:tcPr>
            <w:tcW w:w="210" w:type="pct"/>
            <w:shd w:val="clear" w:color="auto" w:fill="auto"/>
            <w:noWrap/>
            <w:hideMark/>
          </w:tcPr>
          <w:p w14:paraId="1FA58CE1" w14:textId="77777777" w:rsidR="00DA1B98" w:rsidRPr="006D5382" w:rsidRDefault="00DA1B98" w:rsidP="006D5382">
            <w:pPr>
              <w:spacing w:line="360" w:lineRule="auto"/>
            </w:pPr>
            <w:r w:rsidRPr="006D5382">
              <w:t>1</w:t>
            </w:r>
          </w:p>
        </w:tc>
        <w:tc>
          <w:tcPr>
            <w:tcW w:w="221" w:type="pct"/>
            <w:shd w:val="clear" w:color="auto" w:fill="auto"/>
            <w:noWrap/>
            <w:hideMark/>
          </w:tcPr>
          <w:p w14:paraId="2D1A43D8" w14:textId="77777777" w:rsidR="00DA1B98" w:rsidRPr="006D5382" w:rsidRDefault="00DA1B98" w:rsidP="006D5382">
            <w:pPr>
              <w:spacing w:line="360" w:lineRule="auto"/>
            </w:pPr>
            <w:r w:rsidRPr="006D5382">
              <w:t>1</w:t>
            </w:r>
          </w:p>
        </w:tc>
        <w:tc>
          <w:tcPr>
            <w:tcW w:w="299" w:type="pct"/>
            <w:shd w:val="clear" w:color="000000" w:fill="00B0F0"/>
            <w:noWrap/>
            <w:hideMark/>
          </w:tcPr>
          <w:p w14:paraId="63A98078" w14:textId="77777777" w:rsidR="00DA1B98" w:rsidRPr="006D5382" w:rsidRDefault="00DA1B98" w:rsidP="006D5382">
            <w:pPr>
              <w:spacing w:line="360" w:lineRule="auto"/>
            </w:pPr>
            <w:r w:rsidRPr="006D5382">
              <w:t>2</w:t>
            </w:r>
          </w:p>
        </w:tc>
        <w:tc>
          <w:tcPr>
            <w:tcW w:w="265" w:type="pct"/>
            <w:shd w:val="clear" w:color="auto" w:fill="auto"/>
            <w:noWrap/>
            <w:hideMark/>
          </w:tcPr>
          <w:p w14:paraId="78B274F9" w14:textId="77777777" w:rsidR="00DA1B98" w:rsidRPr="006D5382" w:rsidRDefault="00DA1B98" w:rsidP="006D5382">
            <w:pPr>
              <w:spacing w:line="360" w:lineRule="auto"/>
              <w:rPr>
                <w:b/>
                <w:bCs/>
              </w:rPr>
            </w:pPr>
            <w:r w:rsidRPr="006D5382">
              <w:rPr>
                <w:b/>
                <w:bCs/>
              </w:rPr>
              <w:t xml:space="preserve">Fair </w:t>
            </w:r>
          </w:p>
        </w:tc>
      </w:tr>
      <w:tr w:rsidR="006D5382" w:rsidRPr="006D5382" w14:paraId="6D953319" w14:textId="77777777" w:rsidTr="008D2B81">
        <w:trPr>
          <w:trHeight w:val="324"/>
        </w:trPr>
        <w:tc>
          <w:tcPr>
            <w:tcW w:w="899" w:type="pct"/>
            <w:shd w:val="clear" w:color="auto" w:fill="auto"/>
            <w:noWrap/>
            <w:hideMark/>
          </w:tcPr>
          <w:p w14:paraId="0589B813" w14:textId="77777777" w:rsidR="00DA1B98" w:rsidRPr="006D5382" w:rsidRDefault="00DA1B98" w:rsidP="006D5382">
            <w:pPr>
              <w:spacing w:line="360" w:lineRule="auto"/>
            </w:pPr>
            <w:proofErr w:type="spellStart"/>
            <w:r w:rsidRPr="006D5382">
              <w:t>Thelin</w:t>
            </w:r>
            <w:proofErr w:type="spellEnd"/>
            <w:r w:rsidRPr="006D5382">
              <w:t xml:space="preserve"> EP, </w:t>
            </w:r>
            <w:r w:rsidRPr="006D5382">
              <w:rPr>
                <w:i/>
              </w:rPr>
              <w:t>2019</w:t>
            </w:r>
            <w:r w:rsidRPr="006D5382">
              <w:t xml:space="preserve"> (</w:t>
            </w:r>
            <w:proofErr w:type="spellStart"/>
            <w:r w:rsidRPr="006D5382">
              <w:t>e,f</w:t>
            </w:r>
            <w:proofErr w:type="spellEnd"/>
            <w:r w:rsidRPr="006D5382">
              <w:t>)</w:t>
            </w:r>
            <w:r w:rsidRPr="006D5382">
              <w:rPr>
                <w:noProof/>
                <w:vertAlign w:val="superscript"/>
              </w:rPr>
              <w:t>46</w:t>
            </w:r>
          </w:p>
        </w:tc>
        <w:tc>
          <w:tcPr>
            <w:tcW w:w="434" w:type="pct"/>
            <w:shd w:val="clear" w:color="auto" w:fill="auto"/>
            <w:noWrap/>
            <w:hideMark/>
          </w:tcPr>
          <w:p w14:paraId="0F676415" w14:textId="77777777" w:rsidR="00DA1B98" w:rsidRPr="006D5382" w:rsidRDefault="00DA1B98" w:rsidP="006D5382">
            <w:pPr>
              <w:spacing w:line="360" w:lineRule="auto"/>
            </w:pPr>
            <w:r w:rsidRPr="006D5382">
              <w:t>0</w:t>
            </w:r>
          </w:p>
        </w:tc>
        <w:tc>
          <w:tcPr>
            <w:tcW w:w="985" w:type="pct"/>
            <w:shd w:val="clear" w:color="auto" w:fill="auto"/>
            <w:noWrap/>
            <w:hideMark/>
          </w:tcPr>
          <w:p w14:paraId="0C772F6E" w14:textId="77777777" w:rsidR="00DA1B98" w:rsidRPr="006D5382" w:rsidRDefault="00DA1B98" w:rsidP="006D5382">
            <w:pPr>
              <w:spacing w:line="360" w:lineRule="auto"/>
            </w:pPr>
            <w:r w:rsidRPr="006D5382">
              <w:t>1</w:t>
            </w:r>
          </w:p>
        </w:tc>
        <w:tc>
          <w:tcPr>
            <w:tcW w:w="514" w:type="pct"/>
            <w:shd w:val="clear" w:color="auto" w:fill="auto"/>
            <w:noWrap/>
            <w:hideMark/>
          </w:tcPr>
          <w:p w14:paraId="53635278" w14:textId="77777777" w:rsidR="00DA1B98" w:rsidRPr="006D5382" w:rsidRDefault="00DA1B98" w:rsidP="006D5382">
            <w:pPr>
              <w:spacing w:line="360" w:lineRule="auto"/>
            </w:pPr>
            <w:r w:rsidRPr="006D5382">
              <w:t>1</w:t>
            </w:r>
          </w:p>
        </w:tc>
        <w:tc>
          <w:tcPr>
            <w:tcW w:w="297" w:type="pct"/>
            <w:shd w:val="clear" w:color="auto" w:fill="auto"/>
            <w:noWrap/>
            <w:hideMark/>
          </w:tcPr>
          <w:p w14:paraId="245FB8B0" w14:textId="77777777" w:rsidR="00DA1B98" w:rsidRPr="006D5382" w:rsidRDefault="00DA1B98" w:rsidP="006D5382">
            <w:pPr>
              <w:spacing w:line="360" w:lineRule="auto"/>
            </w:pPr>
            <w:r w:rsidRPr="006D5382">
              <w:t>0</w:t>
            </w:r>
          </w:p>
        </w:tc>
        <w:tc>
          <w:tcPr>
            <w:tcW w:w="321" w:type="pct"/>
            <w:shd w:val="clear" w:color="000000" w:fill="FFFF00"/>
            <w:noWrap/>
            <w:hideMark/>
          </w:tcPr>
          <w:p w14:paraId="073CEB6B" w14:textId="77777777" w:rsidR="00DA1B98" w:rsidRPr="006D5382" w:rsidRDefault="00DA1B98" w:rsidP="006D5382">
            <w:pPr>
              <w:spacing w:line="360" w:lineRule="auto"/>
            </w:pPr>
            <w:r w:rsidRPr="006D5382">
              <w:t>2</w:t>
            </w:r>
          </w:p>
        </w:tc>
        <w:tc>
          <w:tcPr>
            <w:tcW w:w="304" w:type="pct"/>
            <w:shd w:val="clear" w:color="000000" w:fill="92D050"/>
            <w:noWrap/>
            <w:hideMark/>
          </w:tcPr>
          <w:p w14:paraId="4720132E" w14:textId="77777777" w:rsidR="00DA1B98" w:rsidRPr="006D5382" w:rsidRDefault="00DA1B98" w:rsidP="006D5382">
            <w:pPr>
              <w:spacing w:line="360" w:lineRule="auto"/>
            </w:pPr>
            <w:r w:rsidRPr="006D5382">
              <w:t>1</w:t>
            </w:r>
          </w:p>
        </w:tc>
        <w:tc>
          <w:tcPr>
            <w:tcW w:w="254" w:type="pct"/>
            <w:shd w:val="clear" w:color="auto" w:fill="auto"/>
            <w:noWrap/>
            <w:hideMark/>
          </w:tcPr>
          <w:p w14:paraId="348CA51A" w14:textId="77777777" w:rsidR="00DA1B98" w:rsidRPr="006D5382" w:rsidRDefault="00DA1B98" w:rsidP="006D5382">
            <w:pPr>
              <w:spacing w:line="360" w:lineRule="auto"/>
            </w:pPr>
            <w:r w:rsidRPr="006D5382">
              <w:t>0</w:t>
            </w:r>
          </w:p>
        </w:tc>
        <w:tc>
          <w:tcPr>
            <w:tcW w:w="210" w:type="pct"/>
            <w:shd w:val="clear" w:color="auto" w:fill="auto"/>
            <w:noWrap/>
            <w:hideMark/>
          </w:tcPr>
          <w:p w14:paraId="12A6A4AC" w14:textId="77777777" w:rsidR="00DA1B98" w:rsidRPr="006D5382" w:rsidRDefault="00DA1B98" w:rsidP="006D5382">
            <w:pPr>
              <w:spacing w:line="360" w:lineRule="auto"/>
            </w:pPr>
            <w:r w:rsidRPr="006D5382">
              <w:t>1</w:t>
            </w:r>
          </w:p>
        </w:tc>
        <w:tc>
          <w:tcPr>
            <w:tcW w:w="221" w:type="pct"/>
            <w:shd w:val="clear" w:color="auto" w:fill="auto"/>
            <w:noWrap/>
            <w:hideMark/>
          </w:tcPr>
          <w:p w14:paraId="1E08263D" w14:textId="77777777" w:rsidR="00DA1B98" w:rsidRPr="006D5382" w:rsidRDefault="00DA1B98" w:rsidP="006D5382">
            <w:pPr>
              <w:spacing w:line="360" w:lineRule="auto"/>
            </w:pPr>
            <w:r w:rsidRPr="006D5382">
              <w:t>1</w:t>
            </w:r>
          </w:p>
        </w:tc>
        <w:tc>
          <w:tcPr>
            <w:tcW w:w="299" w:type="pct"/>
            <w:shd w:val="clear" w:color="000000" w:fill="00B0F0"/>
            <w:noWrap/>
            <w:hideMark/>
          </w:tcPr>
          <w:p w14:paraId="39AFBE23" w14:textId="77777777" w:rsidR="00DA1B98" w:rsidRPr="006D5382" w:rsidRDefault="00DA1B98" w:rsidP="006D5382">
            <w:pPr>
              <w:spacing w:line="360" w:lineRule="auto"/>
            </w:pPr>
            <w:r w:rsidRPr="006D5382">
              <w:t>2</w:t>
            </w:r>
          </w:p>
        </w:tc>
        <w:tc>
          <w:tcPr>
            <w:tcW w:w="265" w:type="pct"/>
            <w:shd w:val="clear" w:color="auto" w:fill="auto"/>
            <w:noWrap/>
            <w:hideMark/>
          </w:tcPr>
          <w:p w14:paraId="261E2599" w14:textId="77777777" w:rsidR="00DA1B98" w:rsidRPr="006D5382" w:rsidRDefault="00DA1B98" w:rsidP="006D5382">
            <w:pPr>
              <w:spacing w:line="360" w:lineRule="auto"/>
              <w:rPr>
                <w:b/>
                <w:bCs/>
              </w:rPr>
            </w:pPr>
            <w:r w:rsidRPr="006D5382">
              <w:rPr>
                <w:b/>
                <w:bCs/>
              </w:rPr>
              <w:t xml:space="preserve">Fair </w:t>
            </w:r>
          </w:p>
        </w:tc>
      </w:tr>
      <w:tr w:rsidR="006D5382" w:rsidRPr="006D5382" w14:paraId="2C78B649" w14:textId="77777777" w:rsidTr="008D2B81">
        <w:trPr>
          <w:trHeight w:val="324"/>
        </w:trPr>
        <w:tc>
          <w:tcPr>
            <w:tcW w:w="899" w:type="pct"/>
            <w:shd w:val="clear" w:color="auto" w:fill="auto"/>
            <w:noWrap/>
            <w:hideMark/>
          </w:tcPr>
          <w:p w14:paraId="0FD64217" w14:textId="77777777" w:rsidR="00DA1B98" w:rsidRPr="006D5382" w:rsidRDefault="00DA1B98" w:rsidP="006D5382">
            <w:pPr>
              <w:spacing w:line="360" w:lineRule="auto"/>
            </w:pPr>
            <w:proofErr w:type="spellStart"/>
            <w:r w:rsidRPr="006D5382">
              <w:t>Thelin</w:t>
            </w:r>
            <w:proofErr w:type="spellEnd"/>
            <w:r w:rsidRPr="006D5382">
              <w:t xml:space="preserve"> EP, </w:t>
            </w:r>
            <w:r w:rsidRPr="006D5382">
              <w:rPr>
                <w:i/>
              </w:rPr>
              <w:t>2016</w:t>
            </w:r>
            <w:r w:rsidRPr="006D5382">
              <w:t xml:space="preserve"> (</w:t>
            </w:r>
            <w:proofErr w:type="spellStart"/>
            <w:r w:rsidRPr="006D5382">
              <w:t>e,f</w:t>
            </w:r>
            <w:proofErr w:type="spellEnd"/>
            <w:r w:rsidRPr="006D5382">
              <w:t>)</w:t>
            </w:r>
            <w:r w:rsidRPr="006D5382">
              <w:rPr>
                <w:noProof/>
                <w:vertAlign w:val="superscript"/>
              </w:rPr>
              <w:t>47</w:t>
            </w:r>
          </w:p>
        </w:tc>
        <w:tc>
          <w:tcPr>
            <w:tcW w:w="434" w:type="pct"/>
            <w:shd w:val="clear" w:color="auto" w:fill="auto"/>
            <w:noWrap/>
            <w:hideMark/>
          </w:tcPr>
          <w:p w14:paraId="29B23783" w14:textId="77777777" w:rsidR="00DA1B98" w:rsidRPr="006D5382" w:rsidRDefault="00DA1B98" w:rsidP="006D5382">
            <w:pPr>
              <w:spacing w:line="360" w:lineRule="auto"/>
            </w:pPr>
            <w:r w:rsidRPr="006D5382">
              <w:t>1</w:t>
            </w:r>
          </w:p>
        </w:tc>
        <w:tc>
          <w:tcPr>
            <w:tcW w:w="985" w:type="pct"/>
            <w:shd w:val="clear" w:color="auto" w:fill="auto"/>
            <w:noWrap/>
            <w:hideMark/>
          </w:tcPr>
          <w:p w14:paraId="3508572F" w14:textId="77777777" w:rsidR="00DA1B98" w:rsidRPr="006D5382" w:rsidRDefault="00DA1B98" w:rsidP="006D5382">
            <w:pPr>
              <w:spacing w:line="360" w:lineRule="auto"/>
            </w:pPr>
            <w:r w:rsidRPr="006D5382">
              <w:t>1</w:t>
            </w:r>
          </w:p>
        </w:tc>
        <w:tc>
          <w:tcPr>
            <w:tcW w:w="514" w:type="pct"/>
            <w:shd w:val="clear" w:color="auto" w:fill="auto"/>
            <w:noWrap/>
            <w:hideMark/>
          </w:tcPr>
          <w:p w14:paraId="1C058190" w14:textId="77777777" w:rsidR="00DA1B98" w:rsidRPr="006D5382" w:rsidRDefault="00DA1B98" w:rsidP="006D5382">
            <w:pPr>
              <w:spacing w:line="360" w:lineRule="auto"/>
            </w:pPr>
            <w:r w:rsidRPr="006D5382">
              <w:t>1</w:t>
            </w:r>
          </w:p>
        </w:tc>
        <w:tc>
          <w:tcPr>
            <w:tcW w:w="297" w:type="pct"/>
            <w:shd w:val="clear" w:color="auto" w:fill="auto"/>
            <w:noWrap/>
            <w:hideMark/>
          </w:tcPr>
          <w:p w14:paraId="1A4842D6" w14:textId="77777777" w:rsidR="00DA1B98" w:rsidRPr="006D5382" w:rsidRDefault="00DA1B98" w:rsidP="006D5382">
            <w:pPr>
              <w:spacing w:line="360" w:lineRule="auto"/>
            </w:pPr>
            <w:r w:rsidRPr="006D5382">
              <w:t>0</w:t>
            </w:r>
          </w:p>
        </w:tc>
        <w:tc>
          <w:tcPr>
            <w:tcW w:w="321" w:type="pct"/>
            <w:shd w:val="clear" w:color="000000" w:fill="FFFF00"/>
            <w:noWrap/>
            <w:hideMark/>
          </w:tcPr>
          <w:p w14:paraId="6138D731" w14:textId="77777777" w:rsidR="00DA1B98" w:rsidRPr="006D5382" w:rsidRDefault="00DA1B98" w:rsidP="006D5382">
            <w:pPr>
              <w:spacing w:line="360" w:lineRule="auto"/>
            </w:pPr>
            <w:r w:rsidRPr="006D5382">
              <w:t>3</w:t>
            </w:r>
          </w:p>
        </w:tc>
        <w:tc>
          <w:tcPr>
            <w:tcW w:w="304" w:type="pct"/>
            <w:shd w:val="clear" w:color="000000" w:fill="92D050"/>
            <w:noWrap/>
            <w:hideMark/>
          </w:tcPr>
          <w:p w14:paraId="5CA46FA1" w14:textId="77777777" w:rsidR="00DA1B98" w:rsidRPr="006D5382" w:rsidRDefault="00DA1B98" w:rsidP="006D5382">
            <w:pPr>
              <w:spacing w:line="360" w:lineRule="auto"/>
            </w:pPr>
            <w:r w:rsidRPr="006D5382">
              <w:t>2</w:t>
            </w:r>
          </w:p>
        </w:tc>
        <w:tc>
          <w:tcPr>
            <w:tcW w:w="254" w:type="pct"/>
            <w:shd w:val="clear" w:color="auto" w:fill="auto"/>
            <w:noWrap/>
            <w:hideMark/>
          </w:tcPr>
          <w:p w14:paraId="2B5B64DB" w14:textId="77777777" w:rsidR="00DA1B98" w:rsidRPr="006D5382" w:rsidRDefault="00DA1B98" w:rsidP="006D5382">
            <w:pPr>
              <w:spacing w:line="360" w:lineRule="auto"/>
            </w:pPr>
            <w:r w:rsidRPr="006D5382">
              <w:t>0</w:t>
            </w:r>
          </w:p>
        </w:tc>
        <w:tc>
          <w:tcPr>
            <w:tcW w:w="210" w:type="pct"/>
            <w:shd w:val="clear" w:color="auto" w:fill="auto"/>
            <w:noWrap/>
            <w:hideMark/>
          </w:tcPr>
          <w:p w14:paraId="6C38F894" w14:textId="77777777" w:rsidR="00DA1B98" w:rsidRPr="006D5382" w:rsidRDefault="00DA1B98" w:rsidP="006D5382">
            <w:pPr>
              <w:spacing w:line="360" w:lineRule="auto"/>
            </w:pPr>
            <w:r w:rsidRPr="006D5382">
              <w:t>1</w:t>
            </w:r>
          </w:p>
        </w:tc>
        <w:tc>
          <w:tcPr>
            <w:tcW w:w="221" w:type="pct"/>
            <w:shd w:val="clear" w:color="auto" w:fill="auto"/>
            <w:noWrap/>
            <w:hideMark/>
          </w:tcPr>
          <w:p w14:paraId="60A5297E" w14:textId="77777777" w:rsidR="00DA1B98" w:rsidRPr="006D5382" w:rsidRDefault="00DA1B98" w:rsidP="006D5382">
            <w:pPr>
              <w:spacing w:line="360" w:lineRule="auto"/>
            </w:pPr>
            <w:r w:rsidRPr="006D5382">
              <w:t>1</w:t>
            </w:r>
          </w:p>
        </w:tc>
        <w:tc>
          <w:tcPr>
            <w:tcW w:w="299" w:type="pct"/>
            <w:shd w:val="clear" w:color="000000" w:fill="00B0F0"/>
            <w:noWrap/>
            <w:hideMark/>
          </w:tcPr>
          <w:p w14:paraId="3B35BDFC" w14:textId="77777777" w:rsidR="00DA1B98" w:rsidRPr="006D5382" w:rsidRDefault="00DA1B98" w:rsidP="006D5382">
            <w:pPr>
              <w:spacing w:line="360" w:lineRule="auto"/>
            </w:pPr>
            <w:r w:rsidRPr="006D5382">
              <w:t>2</w:t>
            </w:r>
          </w:p>
        </w:tc>
        <w:tc>
          <w:tcPr>
            <w:tcW w:w="265" w:type="pct"/>
            <w:shd w:val="clear" w:color="auto" w:fill="auto"/>
            <w:noWrap/>
            <w:hideMark/>
          </w:tcPr>
          <w:p w14:paraId="17C64604" w14:textId="77777777" w:rsidR="00DA1B98" w:rsidRPr="006D5382" w:rsidRDefault="00DA1B98" w:rsidP="006D5382">
            <w:pPr>
              <w:spacing w:line="360" w:lineRule="auto"/>
              <w:rPr>
                <w:b/>
                <w:bCs/>
              </w:rPr>
            </w:pPr>
            <w:r w:rsidRPr="006D5382">
              <w:rPr>
                <w:b/>
                <w:bCs/>
              </w:rPr>
              <w:t xml:space="preserve">Good </w:t>
            </w:r>
          </w:p>
        </w:tc>
      </w:tr>
      <w:tr w:rsidR="006D5382" w:rsidRPr="006D5382" w14:paraId="462AC254" w14:textId="77777777" w:rsidTr="008D2B81">
        <w:trPr>
          <w:trHeight w:val="324"/>
        </w:trPr>
        <w:tc>
          <w:tcPr>
            <w:tcW w:w="899" w:type="pct"/>
            <w:shd w:val="clear" w:color="auto" w:fill="auto"/>
            <w:noWrap/>
            <w:hideMark/>
          </w:tcPr>
          <w:p w14:paraId="2DF5D627" w14:textId="77777777" w:rsidR="00DA1B98" w:rsidRPr="006D5382" w:rsidRDefault="00DA1B98" w:rsidP="006D5382">
            <w:pPr>
              <w:spacing w:line="360" w:lineRule="auto"/>
            </w:pPr>
            <w:proofErr w:type="spellStart"/>
            <w:r w:rsidRPr="006D5382">
              <w:t>Thelin</w:t>
            </w:r>
            <w:proofErr w:type="spellEnd"/>
            <w:r w:rsidRPr="006D5382">
              <w:t xml:space="preserve"> EP, </w:t>
            </w:r>
            <w:r w:rsidRPr="006D5382">
              <w:rPr>
                <w:i/>
              </w:rPr>
              <w:t>2013</w:t>
            </w:r>
            <w:r w:rsidRPr="006D5382">
              <w:t xml:space="preserve"> (e)</w:t>
            </w:r>
            <w:r w:rsidRPr="006D5382">
              <w:rPr>
                <w:noProof/>
                <w:vertAlign w:val="superscript"/>
              </w:rPr>
              <w:t>48</w:t>
            </w:r>
          </w:p>
        </w:tc>
        <w:tc>
          <w:tcPr>
            <w:tcW w:w="434" w:type="pct"/>
            <w:shd w:val="clear" w:color="auto" w:fill="auto"/>
            <w:noWrap/>
            <w:hideMark/>
          </w:tcPr>
          <w:p w14:paraId="4B256285" w14:textId="77777777" w:rsidR="00DA1B98" w:rsidRPr="006D5382" w:rsidRDefault="00DA1B98" w:rsidP="006D5382">
            <w:pPr>
              <w:spacing w:line="360" w:lineRule="auto"/>
            </w:pPr>
            <w:r w:rsidRPr="006D5382">
              <w:t>0</w:t>
            </w:r>
          </w:p>
        </w:tc>
        <w:tc>
          <w:tcPr>
            <w:tcW w:w="985" w:type="pct"/>
            <w:shd w:val="clear" w:color="auto" w:fill="auto"/>
            <w:noWrap/>
            <w:hideMark/>
          </w:tcPr>
          <w:p w14:paraId="744165AD" w14:textId="77777777" w:rsidR="00DA1B98" w:rsidRPr="006D5382" w:rsidRDefault="00DA1B98" w:rsidP="006D5382">
            <w:pPr>
              <w:spacing w:line="360" w:lineRule="auto"/>
            </w:pPr>
            <w:r w:rsidRPr="006D5382">
              <w:t>1</w:t>
            </w:r>
          </w:p>
        </w:tc>
        <w:tc>
          <w:tcPr>
            <w:tcW w:w="514" w:type="pct"/>
            <w:shd w:val="clear" w:color="auto" w:fill="auto"/>
            <w:noWrap/>
            <w:hideMark/>
          </w:tcPr>
          <w:p w14:paraId="0BE68421" w14:textId="77777777" w:rsidR="00DA1B98" w:rsidRPr="006D5382" w:rsidRDefault="00DA1B98" w:rsidP="006D5382">
            <w:pPr>
              <w:spacing w:line="360" w:lineRule="auto"/>
            </w:pPr>
            <w:r w:rsidRPr="006D5382">
              <w:t>1</w:t>
            </w:r>
          </w:p>
        </w:tc>
        <w:tc>
          <w:tcPr>
            <w:tcW w:w="297" w:type="pct"/>
            <w:shd w:val="clear" w:color="auto" w:fill="auto"/>
            <w:noWrap/>
            <w:hideMark/>
          </w:tcPr>
          <w:p w14:paraId="25679738" w14:textId="77777777" w:rsidR="00DA1B98" w:rsidRPr="006D5382" w:rsidRDefault="00DA1B98" w:rsidP="006D5382">
            <w:pPr>
              <w:spacing w:line="360" w:lineRule="auto"/>
            </w:pPr>
            <w:r w:rsidRPr="006D5382">
              <w:t>0</w:t>
            </w:r>
          </w:p>
        </w:tc>
        <w:tc>
          <w:tcPr>
            <w:tcW w:w="321" w:type="pct"/>
            <w:shd w:val="clear" w:color="000000" w:fill="FFFF00"/>
            <w:noWrap/>
            <w:hideMark/>
          </w:tcPr>
          <w:p w14:paraId="1220FFC9" w14:textId="77777777" w:rsidR="00DA1B98" w:rsidRPr="006D5382" w:rsidRDefault="00DA1B98" w:rsidP="006D5382">
            <w:pPr>
              <w:spacing w:line="360" w:lineRule="auto"/>
            </w:pPr>
            <w:r w:rsidRPr="006D5382">
              <w:t>2</w:t>
            </w:r>
          </w:p>
        </w:tc>
        <w:tc>
          <w:tcPr>
            <w:tcW w:w="304" w:type="pct"/>
            <w:shd w:val="clear" w:color="000000" w:fill="92D050"/>
            <w:noWrap/>
            <w:hideMark/>
          </w:tcPr>
          <w:p w14:paraId="17017D97" w14:textId="77777777" w:rsidR="00DA1B98" w:rsidRPr="006D5382" w:rsidRDefault="00DA1B98" w:rsidP="006D5382">
            <w:pPr>
              <w:spacing w:line="360" w:lineRule="auto"/>
            </w:pPr>
            <w:r w:rsidRPr="006D5382">
              <w:t>1</w:t>
            </w:r>
          </w:p>
        </w:tc>
        <w:tc>
          <w:tcPr>
            <w:tcW w:w="254" w:type="pct"/>
            <w:shd w:val="clear" w:color="auto" w:fill="auto"/>
            <w:noWrap/>
            <w:hideMark/>
          </w:tcPr>
          <w:p w14:paraId="2F3BCCD8" w14:textId="77777777" w:rsidR="00DA1B98" w:rsidRPr="006D5382" w:rsidRDefault="00DA1B98" w:rsidP="006D5382">
            <w:pPr>
              <w:spacing w:line="360" w:lineRule="auto"/>
            </w:pPr>
            <w:r w:rsidRPr="006D5382">
              <w:t>1</w:t>
            </w:r>
          </w:p>
        </w:tc>
        <w:tc>
          <w:tcPr>
            <w:tcW w:w="210" w:type="pct"/>
            <w:shd w:val="clear" w:color="auto" w:fill="auto"/>
            <w:noWrap/>
            <w:hideMark/>
          </w:tcPr>
          <w:p w14:paraId="242E3CC8" w14:textId="77777777" w:rsidR="00DA1B98" w:rsidRPr="006D5382" w:rsidRDefault="00DA1B98" w:rsidP="006D5382">
            <w:pPr>
              <w:spacing w:line="360" w:lineRule="auto"/>
            </w:pPr>
            <w:r w:rsidRPr="006D5382">
              <w:t>1</w:t>
            </w:r>
          </w:p>
        </w:tc>
        <w:tc>
          <w:tcPr>
            <w:tcW w:w="221" w:type="pct"/>
            <w:shd w:val="clear" w:color="auto" w:fill="auto"/>
            <w:noWrap/>
            <w:hideMark/>
          </w:tcPr>
          <w:p w14:paraId="1CDE94FB" w14:textId="77777777" w:rsidR="00DA1B98" w:rsidRPr="006D5382" w:rsidRDefault="00DA1B98" w:rsidP="006D5382">
            <w:pPr>
              <w:spacing w:line="360" w:lineRule="auto"/>
            </w:pPr>
            <w:r w:rsidRPr="006D5382">
              <w:t>1</w:t>
            </w:r>
          </w:p>
        </w:tc>
        <w:tc>
          <w:tcPr>
            <w:tcW w:w="299" w:type="pct"/>
            <w:shd w:val="clear" w:color="000000" w:fill="00B0F0"/>
            <w:noWrap/>
            <w:hideMark/>
          </w:tcPr>
          <w:p w14:paraId="2206303C" w14:textId="77777777" w:rsidR="00DA1B98" w:rsidRPr="006D5382" w:rsidRDefault="00DA1B98" w:rsidP="006D5382">
            <w:pPr>
              <w:spacing w:line="360" w:lineRule="auto"/>
            </w:pPr>
            <w:r w:rsidRPr="006D5382">
              <w:t>3</w:t>
            </w:r>
          </w:p>
        </w:tc>
        <w:tc>
          <w:tcPr>
            <w:tcW w:w="265" w:type="pct"/>
            <w:shd w:val="clear" w:color="auto" w:fill="auto"/>
            <w:noWrap/>
            <w:hideMark/>
          </w:tcPr>
          <w:p w14:paraId="62753979" w14:textId="77777777" w:rsidR="00DA1B98" w:rsidRPr="006D5382" w:rsidRDefault="00DA1B98" w:rsidP="006D5382">
            <w:pPr>
              <w:spacing w:line="360" w:lineRule="auto"/>
              <w:rPr>
                <w:b/>
                <w:bCs/>
              </w:rPr>
            </w:pPr>
            <w:r w:rsidRPr="006D5382">
              <w:rPr>
                <w:b/>
                <w:bCs/>
              </w:rPr>
              <w:t xml:space="preserve">Fair </w:t>
            </w:r>
          </w:p>
        </w:tc>
      </w:tr>
      <w:tr w:rsidR="006D5382" w:rsidRPr="006D5382" w14:paraId="3CA141C4" w14:textId="77777777" w:rsidTr="008D2B81">
        <w:trPr>
          <w:trHeight w:val="324"/>
        </w:trPr>
        <w:tc>
          <w:tcPr>
            <w:tcW w:w="899" w:type="pct"/>
            <w:shd w:val="clear" w:color="auto" w:fill="auto"/>
            <w:noWrap/>
            <w:hideMark/>
          </w:tcPr>
          <w:p w14:paraId="716DF584" w14:textId="77777777" w:rsidR="00DA1B98" w:rsidRPr="006D5382" w:rsidRDefault="00DA1B98" w:rsidP="006D5382">
            <w:pPr>
              <w:spacing w:line="360" w:lineRule="auto"/>
            </w:pPr>
            <w:proofErr w:type="spellStart"/>
            <w:r w:rsidRPr="006D5382">
              <w:t>Thelin</w:t>
            </w:r>
            <w:proofErr w:type="spellEnd"/>
            <w:r w:rsidRPr="006D5382">
              <w:t xml:space="preserve"> EP, </w:t>
            </w:r>
            <w:r w:rsidRPr="006D5382">
              <w:rPr>
                <w:i/>
              </w:rPr>
              <w:t>2016</w:t>
            </w:r>
            <w:r w:rsidRPr="006D5382">
              <w:t xml:space="preserve"> (f)</w:t>
            </w:r>
            <w:r w:rsidRPr="006D5382">
              <w:rPr>
                <w:noProof/>
                <w:vertAlign w:val="superscript"/>
              </w:rPr>
              <w:t>49</w:t>
            </w:r>
            <w:r w:rsidRPr="006D5382">
              <w:t xml:space="preserve"> </w:t>
            </w:r>
          </w:p>
        </w:tc>
        <w:tc>
          <w:tcPr>
            <w:tcW w:w="434" w:type="pct"/>
            <w:shd w:val="clear" w:color="auto" w:fill="auto"/>
            <w:noWrap/>
            <w:hideMark/>
          </w:tcPr>
          <w:p w14:paraId="2270C377" w14:textId="77777777" w:rsidR="00DA1B98" w:rsidRPr="006D5382" w:rsidRDefault="00DA1B98" w:rsidP="006D5382">
            <w:pPr>
              <w:spacing w:line="360" w:lineRule="auto"/>
              <w:rPr>
                <w:b/>
                <w:bCs/>
              </w:rPr>
            </w:pPr>
            <w:r w:rsidRPr="006D5382">
              <w:rPr>
                <w:b/>
                <w:bCs/>
              </w:rPr>
              <w:t>1</w:t>
            </w:r>
          </w:p>
        </w:tc>
        <w:tc>
          <w:tcPr>
            <w:tcW w:w="985" w:type="pct"/>
            <w:shd w:val="clear" w:color="auto" w:fill="auto"/>
            <w:noWrap/>
            <w:hideMark/>
          </w:tcPr>
          <w:p w14:paraId="5B075F1B" w14:textId="77777777" w:rsidR="00DA1B98" w:rsidRPr="006D5382" w:rsidRDefault="00DA1B98" w:rsidP="006D5382">
            <w:pPr>
              <w:spacing w:line="360" w:lineRule="auto"/>
            </w:pPr>
            <w:r w:rsidRPr="006D5382">
              <w:t>1</w:t>
            </w:r>
          </w:p>
        </w:tc>
        <w:tc>
          <w:tcPr>
            <w:tcW w:w="514" w:type="pct"/>
            <w:shd w:val="clear" w:color="auto" w:fill="auto"/>
            <w:noWrap/>
            <w:hideMark/>
          </w:tcPr>
          <w:p w14:paraId="44D87576" w14:textId="77777777" w:rsidR="00DA1B98" w:rsidRPr="006D5382" w:rsidRDefault="00DA1B98" w:rsidP="006D5382">
            <w:pPr>
              <w:spacing w:line="360" w:lineRule="auto"/>
            </w:pPr>
            <w:r w:rsidRPr="006D5382">
              <w:t>1</w:t>
            </w:r>
          </w:p>
        </w:tc>
        <w:tc>
          <w:tcPr>
            <w:tcW w:w="297" w:type="pct"/>
            <w:shd w:val="clear" w:color="auto" w:fill="auto"/>
            <w:noWrap/>
            <w:hideMark/>
          </w:tcPr>
          <w:p w14:paraId="3F1F03DD" w14:textId="77777777" w:rsidR="00DA1B98" w:rsidRPr="006D5382" w:rsidRDefault="00DA1B98" w:rsidP="006D5382">
            <w:pPr>
              <w:spacing w:line="360" w:lineRule="auto"/>
            </w:pPr>
            <w:r w:rsidRPr="006D5382">
              <w:t>0</w:t>
            </w:r>
          </w:p>
        </w:tc>
        <w:tc>
          <w:tcPr>
            <w:tcW w:w="321" w:type="pct"/>
            <w:shd w:val="clear" w:color="000000" w:fill="FFFF00"/>
            <w:noWrap/>
            <w:hideMark/>
          </w:tcPr>
          <w:p w14:paraId="23E40084" w14:textId="77777777" w:rsidR="00DA1B98" w:rsidRPr="006D5382" w:rsidRDefault="00DA1B98" w:rsidP="006D5382">
            <w:pPr>
              <w:spacing w:line="360" w:lineRule="auto"/>
            </w:pPr>
            <w:r w:rsidRPr="006D5382">
              <w:t>3</w:t>
            </w:r>
          </w:p>
        </w:tc>
        <w:tc>
          <w:tcPr>
            <w:tcW w:w="304" w:type="pct"/>
            <w:shd w:val="clear" w:color="000000" w:fill="92D050"/>
            <w:noWrap/>
            <w:hideMark/>
          </w:tcPr>
          <w:p w14:paraId="7CF48983" w14:textId="77777777" w:rsidR="00DA1B98" w:rsidRPr="006D5382" w:rsidRDefault="00DA1B98" w:rsidP="006D5382">
            <w:pPr>
              <w:spacing w:line="360" w:lineRule="auto"/>
            </w:pPr>
            <w:r w:rsidRPr="006D5382">
              <w:t>1</w:t>
            </w:r>
          </w:p>
        </w:tc>
        <w:tc>
          <w:tcPr>
            <w:tcW w:w="254" w:type="pct"/>
            <w:shd w:val="clear" w:color="auto" w:fill="auto"/>
            <w:noWrap/>
            <w:hideMark/>
          </w:tcPr>
          <w:p w14:paraId="4C4C6452" w14:textId="77777777" w:rsidR="00DA1B98" w:rsidRPr="006D5382" w:rsidRDefault="00DA1B98" w:rsidP="006D5382">
            <w:pPr>
              <w:spacing w:line="360" w:lineRule="auto"/>
            </w:pPr>
            <w:r w:rsidRPr="006D5382">
              <w:t>0</w:t>
            </w:r>
          </w:p>
        </w:tc>
        <w:tc>
          <w:tcPr>
            <w:tcW w:w="210" w:type="pct"/>
            <w:shd w:val="clear" w:color="auto" w:fill="auto"/>
            <w:noWrap/>
            <w:hideMark/>
          </w:tcPr>
          <w:p w14:paraId="29B16FD6" w14:textId="77777777" w:rsidR="00DA1B98" w:rsidRPr="006D5382" w:rsidRDefault="00DA1B98" w:rsidP="006D5382">
            <w:pPr>
              <w:spacing w:line="360" w:lineRule="auto"/>
            </w:pPr>
            <w:r w:rsidRPr="006D5382">
              <w:t>1</w:t>
            </w:r>
          </w:p>
        </w:tc>
        <w:tc>
          <w:tcPr>
            <w:tcW w:w="221" w:type="pct"/>
            <w:shd w:val="clear" w:color="auto" w:fill="auto"/>
            <w:noWrap/>
            <w:hideMark/>
          </w:tcPr>
          <w:p w14:paraId="171C3A9D" w14:textId="77777777" w:rsidR="00DA1B98" w:rsidRPr="006D5382" w:rsidRDefault="00DA1B98" w:rsidP="006D5382">
            <w:pPr>
              <w:spacing w:line="360" w:lineRule="auto"/>
            </w:pPr>
            <w:r w:rsidRPr="006D5382">
              <w:t>1</w:t>
            </w:r>
          </w:p>
        </w:tc>
        <w:tc>
          <w:tcPr>
            <w:tcW w:w="299" w:type="pct"/>
            <w:shd w:val="clear" w:color="000000" w:fill="00B0F0"/>
            <w:noWrap/>
            <w:hideMark/>
          </w:tcPr>
          <w:p w14:paraId="310152A8" w14:textId="77777777" w:rsidR="00DA1B98" w:rsidRPr="006D5382" w:rsidRDefault="00DA1B98" w:rsidP="006D5382">
            <w:pPr>
              <w:spacing w:line="360" w:lineRule="auto"/>
            </w:pPr>
            <w:r w:rsidRPr="006D5382">
              <w:t>2</w:t>
            </w:r>
          </w:p>
        </w:tc>
        <w:tc>
          <w:tcPr>
            <w:tcW w:w="265" w:type="pct"/>
            <w:shd w:val="clear" w:color="auto" w:fill="auto"/>
            <w:noWrap/>
            <w:hideMark/>
          </w:tcPr>
          <w:p w14:paraId="1ACCC4A9" w14:textId="77777777" w:rsidR="00DA1B98" w:rsidRPr="006D5382" w:rsidRDefault="00DA1B98" w:rsidP="006D5382">
            <w:pPr>
              <w:spacing w:line="360" w:lineRule="auto"/>
              <w:rPr>
                <w:b/>
                <w:bCs/>
              </w:rPr>
            </w:pPr>
            <w:r w:rsidRPr="006D5382">
              <w:rPr>
                <w:b/>
                <w:bCs/>
              </w:rPr>
              <w:t xml:space="preserve">Fair </w:t>
            </w:r>
          </w:p>
        </w:tc>
      </w:tr>
      <w:tr w:rsidR="006D5382" w:rsidRPr="006D5382" w14:paraId="698DA847" w14:textId="77777777" w:rsidTr="008D2B81">
        <w:trPr>
          <w:trHeight w:val="324"/>
        </w:trPr>
        <w:tc>
          <w:tcPr>
            <w:tcW w:w="899" w:type="pct"/>
            <w:shd w:val="clear" w:color="auto" w:fill="auto"/>
            <w:noWrap/>
            <w:hideMark/>
          </w:tcPr>
          <w:p w14:paraId="1164C2CA" w14:textId="77777777" w:rsidR="00DA1B98" w:rsidRPr="006D5382" w:rsidRDefault="00DA1B98" w:rsidP="006D5382">
            <w:pPr>
              <w:spacing w:line="360" w:lineRule="auto"/>
            </w:pPr>
            <w:r w:rsidRPr="006D5382">
              <w:t xml:space="preserve">Tomita K, </w:t>
            </w:r>
            <w:r w:rsidRPr="006D5382">
              <w:rPr>
                <w:i/>
              </w:rPr>
              <w:t>2019</w:t>
            </w:r>
            <w:r w:rsidRPr="006D5382">
              <w:rPr>
                <w:noProof/>
                <w:vertAlign w:val="superscript"/>
              </w:rPr>
              <w:t>50</w:t>
            </w:r>
          </w:p>
        </w:tc>
        <w:tc>
          <w:tcPr>
            <w:tcW w:w="434" w:type="pct"/>
            <w:shd w:val="clear" w:color="auto" w:fill="auto"/>
            <w:noWrap/>
            <w:hideMark/>
          </w:tcPr>
          <w:p w14:paraId="619176E7" w14:textId="77777777" w:rsidR="00DA1B98" w:rsidRPr="006D5382" w:rsidRDefault="00DA1B98" w:rsidP="006D5382">
            <w:pPr>
              <w:spacing w:line="360" w:lineRule="auto"/>
            </w:pPr>
            <w:r w:rsidRPr="006D5382">
              <w:t>1</w:t>
            </w:r>
          </w:p>
        </w:tc>
        <w:tc>
          <w:tcPr>
            <w:tcW w:w="985" w:type="pct"/>
            <w:shd w:val="clear" w:color="auto" w:fill="auto"/>
            <w:noWrap/>
            <w:hideMark/>
          </w:tcPr>
          <w:p w14:paraId="248B6C9D" w14:textId="77777777" w:rsidR="00DA1B98" w:rsidRPr="006D5382" w:rsidRDefault="00DA1B98" w:rsidP="006D5382">
            <w:pPr>
              <w:spacing w:line="360" w:lineRule="auto"/>
            </w:pPr>
            <w:r w:rsidRPr="006D5382">
              <w:t>1</w:t>
            </w:r>
          </w:p>
        </w:tc>
        <w:tc>
          <w:tcPr>
            <w:tcW w:w="514" w:type="pct"/>
            <w:shd w:val="clear" w:color="auto" w:fill="auto"/>
            <w:noWrap/>
            <w:hideMark/>
          </w:tcPr>
          <w:p w14:paraId="13D27DB5" w14:textId="77777777" w:rsidR="00DA1B98" w:rsidRPr="006D5382" w:rsidRDefault="00DA1B98" w:rsidP="006D5382">
            <w:pPr>
              <w:spacing w:line="360" w:lineRule="auto"/>
            </w:pPr>
            <w:r w:rsidRPr="006D5382">
              <w:t>1</w:t>
            </w:r>
          </w:p>
        </w:tc>
        <w:tc>
          <w:tcPr>
            <w:tcW w:w="297" w:type="pct"/>
            <w:shd w:val="clear" w:color="auto" w:fill="auto"/>
            <w:noWrap/>
            <w:hideMark/>
          </w:tcPr>
          <w:p w14:paraId="0D2D44DA" w14:textId="77777777" w:rsidR="00DA1B98" w:rsidRPr="006D5382" w:rsidRDefault="00DA1B98" w:rsidP="006D5382">
            <w:pPr>
              <w:spacing w:line="360" w:lineRule="auto"/>
            </w:pPr>
            <w:r w:rsidRPr="006D5382">
              <w:t>1</w:t>
            </w:r>
          </w:p>
        </w:tc>
        <w:tc>
          <w:tcPr>
            <w:tcW w:w="321" w:type="pct"/>
            <w:shd w:val="clear" w:color="000000" w:fill="FFFF00"/>
            <w:noWrap/>
            <w:hideMark/>
          </w:tcPr>
          <w:p w14:paraId="1CB7063C" w14:textId="77777777" w:rsidR="00DA1B98" w:rsidRPr="006D5382" w:rsidRDefault="00DA1B98" w:rsidP="006D5382">
            <w:pPr>
              <w:spacing w:line="360" w:lineRule="auto"/>
            </w:pPr>
            <w:r w:rsidRPr="006D5382">
              <w:t>4</w:t>
            </w:r>
          </w:p>
        </w:tc>
        <w:tc>
          <w:tcPr>
            <w:tcW w:w="304" w:type="pct"/>
            <w:shd w:val="clear" w:color="000000" w:fill="92D050"/>
            <w:noWrap/>
            <w:hideMark/>
          </w:tcPr>
          <w:p w14:paraId="3476F7A0" w14:textId="77777777" w:rsidR="00DA1B98" w:rsidRPr="006D5382" w:rsidRDefault="00DA1B98" w:rsidP="006D5382">
            <w:pPr>
              <w:spacing w:line="360" w:lineRule="auto"/>
            </w:pPr>
            <w:r w:rsidRPr="006D5382">
              <w:t>1</w:t>
            </w:r>
          </w:p>
        </w:tc>
        <w:tc>
          <w:tcPr>
            <w:tcW w:w="254" w:type="pct"/>
            <w:shd w:val="clear" w:color="auto" w:fill="auto"/>
            <w:noWrap/>
            <w:hideMark/>
          </w:tcPr>
          <w:p w14:paraId="53068812" w14:textId="77777777" w:rsidR="00DA1B98" w:rsidRPr="006D5382" w:rsidRDefault="00DA1B98" w:rsidP="006D5382">
            <w:pPr>
              <w:spacing w:line="360" w:lineRule="auto"/>
            </w:pPr>
            <w:r w:rsidRPr="006D5382">
              <w:t>1</w:t>
            </w:r>
          </w:p>
        </w:tc>
        <w:tc>
          <w:tcPr>
            <w:tcW w:w="210" w:type="pct"/>
            <w:shd w:val="clear" w:color="auto" w:fill="auto"/>
            <w:noWrap/>
            <w:hideMark/>
          </w:tcPr>
          <w:p w14:paraId="3C9EF74D" w14:textId="77777777" w:rsidR="00DA1B98" w:rsidRPr="006D5382" w:rsidRDefault="00DA1B98" w:rsidP="006D5382">
            <w:pPr>
              <w:spacing w:line="360" w:lineRule="auto"/>
            </w:pPr>
            <w:r w:rsidRPr="006D5382">
              <w:t>1</w:t>
            </w:r>
          </w:p>
        </w:tc>
        <w:tc>
          <w:tcPr>
            <w:tcW w:w="221" w:type="pct"/>
            <w:shd w:val="clear" w:color="auto" w:fill="auto"/>
            <w:noWrap/>
            <w:hideMark/>
          </w:tcPr>
          <w:p w14:paraId="398219DE" w14:textId="77777777" w:rsidR="00DA1B98" w:rsidRPr="006D5382" w:rsidRDefault="00DA1B98" w:rsidP="006D5382">
            <w:pPr>
              <w:spacing w:line="360" w:lineRule="auto"/>
            </w:pPr>
            <w:r w:rsidRPr="006D5382">
              <w:t>1</w:t>
            </w:r>
          </w:p>
        </w:tc>
        <w:tc>
          <w:tcPr>
            <w:tcW w:w="299" w:type="pct"/>
            <w:shd w:val="clear" w:color="000000" w:fill="00B0F0"/>
            <w:noWrap/>
            <w:hideMark/>
          </w:tcPr>
          <w:p w14:paraId="4F272BC5" w14:textId="77777777" w:rsidR="00DA1B98" w:rsidRPr="006D5382" w:rsidRDefault="00DA1B98" w:rsidP="006D5382">
            <w:pPr>
              <w:spacing w:line="360" w:lineRule="auto"/>
            </w:pPr>
            <w:r w:rsidRPr="006D5382">
              <w:t>3</w:t>
            </w:r>
          </w:p>
        </w:tc>
        <w:tc>
          <w:tcPr>
            <w:tcW w:w="265" w:type="pct"/>
            <w:shd w:val="clear" w:color="auto" w:fill="auto"/>
            <w:noWrap/>
            <w:hideMark/>
          </w:tcPr>
          <w:p w14:paraId="2CC70167" w14:textId="77777777" w:rsidR="00DA1B98" w:rsidRPr="006D5382" w:rsidRDefault="00DA1B98" w:rsidP="006D5382">
            <w:pPr>
              <w:spacing w:line="360" w:lineRule="auto"/>
              <w:rPr>
                <w:b/>
                <w:bCs/>
              </w:rPr>
            </w:pPr>
            <w:r w:rsidRPr="006D5382">
              <w:rPr>
                <w:b/>
                <w:bCs/>
              </w:rPr>
              <w:t xml:space="preserve">Good </w:t>
            </w:r>
          </w:p>
        </w:tc>
      </w:tr>
      <w:tr w:rsidR="006D5382" w:rsidRPr="006D5382" w14:paraId="184E5E9F" w14:textId="77777777" w:rsidTr="008D2B81">
        <w:trPr>
          <w:trHeight w:val="324"/>
        </w:trPr>
        <w:tc>
          <w:tcPr>
            <w:tcW w:w="899" w:type="pct"/>
            <w:shd w:val="clear" w:color="auto" w:fill="auto"/>
            <w:noWrap/>
            <w:hideMark/>
          </w:tcPr>
          <w:p w14:paraId="7A7DA027" w14:textId="77777777" w:rsidR="00DA1B98" w:rsidRPr="006D5382" w:rsidRDefault="00DA1B98" w:rsidP="006D5382">
            <w:pPr>
              <w:spacing w:line="360" w:lineRule="auto"/>
            </w:pPr>
            <w:proofErr w:type="spellStart"/>
            <w:r w:rsidRPr="006D5382">
              <w:t>Vervliet</w:t>
            </w:r>
            <w:proofErr w:type="spellEnd"/>
            <w:r w:rsidRPr="006D5382">
              <w:t xml:space="preserve"> B, </w:t>
            </w:r>
            <w:r w:rsidRPr="006D5382">
              <w:rPr>
                <w:i/>
              </w:rPr>
              <w:t>2012</w:t>
            </w:r>
            <w:r w:rsidRPr="006D5382">
              <w:rPr>
                <w:noProof/>
                <w:vertAlign w:val="superscript"/>
              </w:rPr>
              <w:t>51</w:t>
            </w:r>
          </w:p>
        </w:tc>
        <w:tc>
          <w:tcPr>
            <w:tcW w:w="434" w:type="pct"/>
            <w:shd w:val="clear" w:color="auto" w:fill="auto"/>
            <w:noWrap/>
            <w:hideMark/>
          </w:tcPr>
          <w:p w14:paraId="4075FBBE" w14:textId="77777777" w:rsidR="00DA1B98" w:rsidRPr="006D5382" w:rsidRDefault="00DA1B98" w:rsidP="006D5382">
            <w:pPr>
              <w:spacing w:line="360" w:lineRule="auto"/>
            </w:pPr>
            <w:r w:rsidRPr="006D5382">
              <w:t>1</w:t>
            </w:r>
          </w:p>
        </w:tc>
        <w:tc>
          <w:tcPr>
            <w:tcW w:w="985" w:type="pct"/>
            <w:shd w:val="clear" w:color="auto" w:fill="auto"/>
            <w:noWrap/>
            <w:hideMark/>
          </w:tcPr>
          <w:p w14:paraId="0947805E" w14:textId="77777777" w:rsidR="00DA1B98" w:rsidRPr="006D5382" w:rsidRDefault="00DA1B98" w:rsidP="006D5382">
            <w:pPr>
              <w:spacing w:line="360" w:lineRule="auto"/>
            </w:pPr>
            <w:r w:rsidRPr="006D5382">
              <w:t>1</w:t>
            </w:r>
          </w:p>
        </w:tc>
        <w:tc>
          <w:tcPr>
            <w:tcW w:w="514" w:type="pct"/>
            <w:shd w:val="clear" w:color="auto" w:fill="auto"/>
            <w:noWrap/>
            <w:hideMark/>
          </w:tcPr>
          <w:p w14:paraId="17144F8C" w14:textId="77777777" w:rsidR="00DA1B98" w:rsidRPr="006D5382" w:rsidRDefault="00DA1B98" w:rsidP="006D5382">
            <w:pPr>
              <w:spacing w:line="360" w:lineRule="auto"/>
            </w:pPr>
            <w:r w:rsidRPr="006D5382">
              <w:t>1</w:t>
            </w:r>
          </w:p>
        </w:tc>
        <w:tc>
          <w:tcPr>
            <w:tcW w:w="297" w:type="pct"/>
            <w:shd w:val="clear" w:color="auto" w:fill="auto"/>
            <w:noWrap/>
            <w:hideMark/>
          </w:tcPr>
          <w:p w14:paraId="013C6696" w14:textId="77777777" w:rsidR="00DA1B98" w:rsidRPr="006D5382" w:rsidRDefault="00DA1B98" w:rsidP="006D5382">
            <w:pPr>
              <w:spacing w:line="360" w:lineRule="auto"/>
            </w:pPr>
            <w:r w:rsidRPr="006D5382">
              <w:t>0</w:t>
            </w:r>
          </w:p>
        </w:tc>
        <w:tc>
          <w:tcPr>
            <w:tcW w:w="321" w:type="pct"/>
            <w:shd w:val="clear" w:color="000000" w:fill="FFFF00"/>
            <w:noWrap/>
            <w:hideMark/>
          </w:tcPr>
          <w:p w14:paraId="053828DD" w14:textId="77777777" w:rsidR="00DA1B98" w:rsidRPr="006D5382" w:rsidRDefault="00DA1B98" w:rsidP="006D5382">
            <w:pPr>
              <w:spacing w:line="360" w:lineRule="auto"/>
            </w:pPr>
            <w:r w:rsidRPr="006D5382">
              <w:t>3</w:t>
            </w:r>
          </w:p>
        </w:tc>
        <w:tc>
          <w:tcPr>
            <w:tcW w:w="304" w:type="pct"/>
            <w:shd w:val="clear" w:color="000000" w:fill="92D050"/>
            <w:noWrap/>
            <w:hideMark/>
          </w:tcPr>
          <w:p w14:paraId="56846BBE" w14:textId="77777777" w:rsidR="00DA1B98" w:rsidRPr="006D5382" w:rsidRDefault="00DA1B98" w:rsidP="006D5382">
            <w:pPr>
              <w:spacing w:line="360" w:lineRule="auto"/>
            </w:pPr>
            <w:r w:rsidRPr="006D5382">
              <w:t>1</w:t>
            </w:r>
          </w:p>
        </w:tc>
        <w:tc>
          <w:tcPr>
            <w:tcW w:w="254" w:type="pct"/>
            <w:shd w:val="clear" w:color="auto" w:fill="auto"/>
            <w:noWrap/>
            <w:hideMark/>
          </w:tcPr>
          <w:p w14:paraId="31264BF9" w14:textId="77777777" w:rsidR="00DA1B98" w:rsidRPr="006D5382" w:rsidRDefault="00DA1B98" w:rsidP="006D5382">
            <w:pPr>
              <w:spacing w:line="360" w:lineRule="auto"/>
            </w:pPr>
            <w:r w:rsidRPr="006D5382">
              <w:t>0</w:t>
            </w:r>
          </w:p>
        </w:tc>
        <w:tc>
          <w:tcPr>
            <w:tcW w:w="210" w:type="pct"/>
            <w:shd w:val="clear" w:color="auto" w:fill="auto"/>
            <w:noWrap/>
            <w:hideMark/>
          </w:tcPr>
          <w:p w14:paraId="253D51EC" w14:textId="77777777" w:rsidR="00DA1B98" w:rsidRPr="006D5382" w:rsidRDefault="00DA1B98" w:rsidP="006D5382">
            <w:pPr>
              <w:spacing w:line="360" w:lineRule="auto"/>
            </w:pPr>
            <w:r w:rsidRPr="006D5382">
              <w:t>1</w:t>
            </w:r>
          </w:p>
        </w:tc>
        <w:tc>
          <w:tcPr>
            <w:tcW w:w="221" w:type="pct"/>
            <w:shd w:val="clear" w:color="auto" w:fill="auto"/>
            <w:noWrap/>
            <w:hideMark/>
          </w:tcPr>
          <w:p w14:paraId="3C7C82A2" w14:textId="77777777" w:rsidR="00DA1B98" w:rsidRPr="006D5382" w:rsidRDefault="00DA1B98" w:rsidP="006D5382">
            <w:pPr>
              <w:spacing w:line="360" w:lineRule="auto"/>
            </w:pPr>
            <w:r w:rsidRPr="006D5382">
              <w:t>0</w:t>
            </w:r>
          </w:p>
        </w:tc>
        <w:tc>
          <w:tcPr>
            <w:tcW w:w="299" w:type="pct"/>
            <w:shd w:val="clear" w:color="000000" w:fill="00B0F0"/>
            <w:noWrap/>
            <w:hideMark/>
          </w:tcPr>
          <w:p w14:paraId="0FAC47A9" w14:textId="77777777" w:rsidR="00DA1B98" w:rsidRPr="006D5382" w:rsidRDefault="00DA1B98" w:rsidP="006D5382">
            <w:pPr>
              <w:spacing w:line="360" w:lineRule="auto"/>
            </w:pPr>
            <w:r w:rsidRPr="006D5382">
              <w:t>1</w:t>
            </w:r>
          </w:p>
        </w:tc>
        <w:tc>
          <w:tcPr>
            <w:tcW w:w="265" w:type="pct"/>
            <w:shd w:val="clear" w:color="auto" w:fill="auto"/>
            <w:noWrap/>
            <w:hideMark/>
          </w:tcPr>
          <w:p w14:paraId="5F45EAD2" w14:textId="77777777" w:rsidR="00DA1B98" w:rsidRPr="006D5382" w:rsidRDefault="00DA1B98" w:rsidP="006D5382">
            <w:pPr>
              <w:spacing w:line="360" w:lineRule="auto"/>
              <w:rPr>
                <w:b/>
                <w:bCs/>
              </w:rPr>
            </w:pPr>
            <w:r w:rsidRPr="006D5382">
              <w:rPr>
                <w:b/>
                <w:bCs/>
              </w:rPr>
              <w:t xml:space="preserve">Poor </w:t>
            </w:r>
          </w:p>
        </w:tc>
      </w:tr>
      <w:tr w:rsidR="006D5382" w:rsidRPr="006D5382" w14:paraId="652298B3" w14:textId="77777777" w:rsidTr="008D2B81">
        <w:trPr>
          <w:trHeight w:val="324"/>
        </w:trPr>
        <w:tc>
          <w:tcPr>
            <w:tcW w:w="899" w:type="pct"/>
            <w:shd w:val="clear" w:color="auto" w:fill="auto"/>
            <w:noWrap/>
            <w:hideMark/>
          </w:tcPr>
          <w:p w14:paraId="1190B58F" w14:textId="77777777" w:rsidR="00DA1B98" w:rsidRPr="006D5382" w:rsidRDefault="00DA1B98" w:rsidP="006D5382">
            <w:pPr>
              <w:spacing w:line="360" w:lineRule="auto"/>
            </w:pPr>
            <w:r w:rsidRPr="006D5382">
              <w:t xml:space="preserve">Vos PE, </w:t>
            </w:r>
            <w:r w:rsidRPr="006D5382">
              <w:rPr>
                <w:i/>
              </w:rPr>
              <w:t>2004</w:t>
            </w:r>
            <w:r w:rsidRPr="006D5382">
              <w:rPr>
                <w:noProof/>
                <w:vertAlign w:val="superscript"/>
              </w:rPr>
              <w:t>52</w:t>
            </w:r>
          </w:p>
        </w:tc>
        <w:tc>
          <w:tcPr>
            <w:tcW w:w="434" w:type="pct"/>
            <w:shd w:val="clear" w:color="auto" w:fill="auto"/>
            <w:noWrap/>
            <w:hideMark/>
          </w:tcPr>
          <w:p w14:paraId="7791E079" w14:textId="77777777" w:rsidR="00DA1B98" w:rsidRPr="006D5382" w:rsidRDefault="00DA1B98" w:rsidP="006D5382">
            <w:pPr>
              <w:spacing w:line="360" w:lineRule="auto"/>
            </w:pPr>
            <w:r w:rsidRPr="006D5382">
              <w:t>0</w:t>
            </w:r>
          </w:p>
        </w:tc>
        <w:tc>
          <w:tcPr>
            <w:tcW w:w="985" w:type="pct"/>
            <w:shd w:val="clear" w:color="auto" w:fill="auto"/>
            <w:noWrap/>
            <w:hideMark/>
          </w:tcPr>
          <w:p w14:paraId="325D84A2" w14:textId="77777777" w:rsidR="00DA1B98" w:rsidRPr="006D5382" w:rsidRDefault="00DA1B98" w:rsidP="006D5382">
            <w:pPr>
              <w:spacing w:line="360" w:lineRule="auto"/>
            </w:pPr>
            <w:r w:rsidRPr="006D5382">
              <w:t>1</w:t>
            </w:r>
          </w:p>
        </w:tc>
        <w:tc>
          <w:tcPr>
            <w:tcW w:w="514" w:type="pct"/>
            <w:shd w:val="clear" w:color="auto" w:fill="auto"/>
            <w:noWrap/>
            <w:hideMark/>
          </w:tcPr>
          <w:p w14:paraId="48B60C4C" w14:textId="77777777" w:rsidR="00DA1B98" w:rsidRPr="006D5382" w:rsidRDefault="00DA1B98" w:rsidP="006D5382">
            <w:pPr>
              <w:spacing w:line="360" w:lineRule="auto"/>
            </w:pPr>
            <w:r w:rsidRPr="006D5382">
              <w:t>1</w:t>
            </w:r>
          </w:p>
        </w:tc>
        <w:tc>
          <w:tcPr>
            <w:tcW w:w="297" w:type="pct"/>
            <w:shd w:val="clear" w:color="auto" w:fill="auto"/>
            <w:noWrap/>
            <w:hideMark/>
          </w:tcPr>
          <w:p w14:paraId="0B02AA76" w14:textId="77777777" w:rsidR="00DA1B98" w:rsidRPr="006D5382" w:rsidRDefault="00DA1B98" w:rsidP="006D5382">
            <w:pPr>
              <w:spacing w:line="360" w:lineRule="auto"/>
            </w:pPr>
            <w:r w:rsidRPr="006D5382">
              <w:t>0</w:t>
            </w:r>
          </w:p>
        </w:tc>
        <w:tc>
          <w:tcPr>
            <w:tcW w:w="321" w:type="pct"/>
            <w:shd w:val="clear" w:color="000000" w:fill="FFFF00"/>
            <w:noWrap/>
            <w:hideMark/>
          </w:tcPr>
          <w:p w14:paraId="00522519" w14:textId="77777777" w:rsidR="00DA1B98" w:rsidRPr="006D5382" w:rsidRDefault="00DA1B98" w:rsidP="006D5382">
            <w:pPr>
              <w:spacing w:line="360" w:lineRule="auto"/>
            </w:pPr>
            <w:r w:rsidRPr="006D5382">
              <w:t>2</w:t>
            </w:r>
          </w:p>
        </w:tc>
        <w:tc>
          <w:tcPr>
            <w:tcW w:w="304" w:type="pct"/>
            <w:shd w:val="clear" w:color="000000" w:fill="92D050"/>
            <w:noWrap/>
            <w:hideMark/>
          </w:tcPr>
          <w:p w14:paraId="6A65D458" w14:textId="77777777" w:rsidR="00DA1B98" w:rsidRPr="006D5382" w:rsidRDefault="00DA1B98" w:rsidP="006D5382">
            <w:pPr>
              <w:spacing w:line="360" w:lineRule="auto"/>
            </w:pPr>
            <w:r w:rsidRPr="006D5382">
              <w:t>2</w:t>
            </w:r>
          </w:p>
        </w:tc>
        <w:tc>
          <w:tcPr>
            <w:tcW w:w="254" w:type="pct"/>
            <w:shd w:val="clear" w:color="auto" w:fill="auto"/>
            <w:noWrap/>
            <w:hideMark/>
          </w:tcPr>
          <w:p w14:paraId="5F9030E0" w14:textId="77777777" w:rsidR="00DA1B98" w:rsidRPr="006D5382" w:rsidRDefault="00DA1B98" w:rsidP="006D5382">
            <w:pPr>
              <w:spacing w:line="360" w:lineRule="auto"/>
            </w:pPr>
            <w:r w:rsidRPr="006D5382">
              <w:t>0</w:t>
            </w:r>
          </w:p>
        </w:tc>
        <w:tc>
          <w:tcPr>
            <w:tcW w:w="210" w:type="pct"/>
            <w:shd w:val="clear" w:color="auto" w:fill="auto"/>
            <w:noWrap/>
            <w:hideMark/>
          </w:tcPr>
          <w:p w14:paraId="39AFE1BC" w14:textId="77777777" w:rsidR="00DA1B98" w:rsidRPr="006D5382" w:rsidRDefault="00DA1B98" w:rsidP="006D5382">
            <w:pPr>
              <w:spacing w:line="360" w:lineRule="auto"/>
            </w:pPr>
            <w:r w:rsidRPr="006D5382">
              <w:t>1</w:t>
            </w:r>
          </w:p>
        </w:tc>
        <w:tc>
          <w:tcPr>
            <w:tcW w:w="221" w:type="pct"/>
            <w:shd w:val="clear" w:color="auto" w:fill="auto"/>
            <w:noWrap/>
            <w:hideMark/>
          </w:tcPr>
          <w:p w14:paraId="2B73B367" w14:textId="77777777" w:rsidR="00DA1B98" w:rsidRPr="006D5382" w:rsidRDefault="00DA1B98" w:rsidP="006D5382">
            <w:pPr>
              <w:spacing w:line="360" w:lineRule="auto"/>
            </w:pPr>
            <w:r w:rsidRPr="006D5382">
              <w:t>1</w:t>
            </w:r>
          </w:p>
        </w:tc>
        <w:tc>
          <w:tcPr>
            <w:tcW w:w="299" w:type="pct"/>
            <w:shd w:val="clear" w:color="000000" w:fill="00B0F0"/>
            <w:noWrap/>
            <w:hideMark/>
          </w:tcPr>
          <w:p w14:paraId="10B6428C" w14:textId="77777777" w:rsidR="00DA1B98" w:rsidRPr="006D5382" w:rsidRDefault="00DA1B98" w:rsidP="006D5382">
            <w:pPr>
              <w:spacing w:line="360" w:lineRule="auto"/>
            </w:pPr>
            <w:r w:rsidRPr="006D5382">
              <w:t>2</w:t>
            </w:r>
          </w:p>
        </w:tc>
        <w:tc>
          <w:tcPr>
            <w:tcW w:w="265" w:type="pct"/>
            <w:shd w:val="clear" w:color="auto" w:fill="auto"/>
            <w:noWrap/>
            <w:hideMark/>
          </w:tcPr>
          <w:p w14:paraId="3B23BD51" w14:textId="77777777" w:rsidR="00DA1B98" w:rsidRPr="006D5382" w:rsidRDefault="00DA1B98" w:rsidP="006D5382">
            <w:pPr>
              <w:spacing w:line="360" w:lineRule="auto"/>
              <w:rPr>
                <w:b/>
                <w:bCs/>
              </w:rPr>
            </w:pPr>
            <w:r w:rsidRPr="006D5382">
              <w:rPr>
                <w:b/>
                <w:bCs/>
              </w:rPr>
              <w:t xml:space="preserve">Fair </w:t>
            </w:r>
          </w:p>
        </w:tc>
      </w:tr>
      <w:tr w:rsidR="006D5382" w:rsidRPr="006D5382" w14:paraId="1E6146D3" w14:textId="77777777" w:rsidTr="008D2B81">
        <w:trPr>
          <w:trHeight w:val="324"/>
        </w:trPr>
        <w:tc>
          <w:tcPr>
            <w:tcW w:w="899" w:type="pct"/>
            <w:shd w:val="clear" w:color="auto" w:fill="auto"/>
            <w:noWrap/>
            <w:hideMark/>
          </w:tcPr>
          <w:p w14:paraId="7B4907C8" w14:textId="77777777" w:rsidR="00DA1B98" w:rsidRPr="006D5382" w:rsidRDefault="00DA1B98" w:rsidP="006D5382">
            <w:pPr>
              <w:spacing w:line="360" w:lineRule="auto"/>
            </w:pPr>
            <w:r w:rsidRPr="006D5382">
              <w:t xml:space="preserve">Wolf H, </w:t>
            </w:r>
            <w:r w:rsidRPr="006D5382">
              <w:rPr>
                <w:i/>
              </w:rPr>
              <w:t>2015</w:t>
            </w:r>
            <w:r w:rsidRPr="006D5382">
              <w:rPr>
                <w:noProof/>
                <w:vertAlign w:val="superscript"/>
              </w:rPr>
              <w:t>53</w:t>
            </w:r>
            <w:r w:rsidRPr="006D5382">
              <w:t xml:space="preserve"> </w:t>
            </w:r>
          </w:p>
        </w:tc>
        <w:tc>
          <w:tcPr>
            <w:tcW w:w="434" w:type="pct"/>
            <w:shd w:val="clear" w:color="auto" w:fill="auto"/>
            <w:noWrap/>
            <w:hideMark/>
          </w:tcPr>
          <w:p w14:paraId="3BBC6E0E" w14:textId="77777777" w:rsidR="00DA1B98" w:rsidRPr="006D5382" w:rsidRDefault="00DA1B98" w:rsidP="006D5382">
            <w:pPr>
              <w:spacing w:line="360" w:lineRule="auto"/>
            </w:pPr>
            <w:r w:rsidRPr="006D5382">
              <w:t>1</w:t>
            </w:r>
          </w:p>
        </w:tc>
        <w:tc>
          <w:tcPr>
            <w:tcW w:w="985" w:type="pct"/>
            <w:shd w:val="clear" w:color="auto" w:fill="auto"/>
            <w:noWrap/>
            <w:hideMark/>
          </w:tcPr>
          <w:p w14:paraId="46D6E63A" w14:textId="77777777" w:rsidR="00DA1B98" w:rsidRPr="006D5382" w:rsidRDefault="00DA1B98" w:rsidP="006D5382">
            <w:pPr>
              <w:spacing w:line="360" w:lineRule="auto"/>
            </w:pPr>
            <w:r w:rsidRPr="006D5382">
              <w:t>1</w:t>
            </w:r>
          </w:p>
        </w:tc>
        <w:tc>
          <w:tcPr>
            <w:tcW w:w="514" w:type="pct"/>
            <w:shd w:val="clear" w:color="auto" w:fill="auto"/>
            <w:noWrap/>
            <w:hideMark/>
          </w:tcPr>
          <w:p w14:paraId="3D4B226D" w14:textId="77777777" w:rsidR="00DA1B98" w:rsidRPr="006D5382" w:rsidRDefault="00DA1B98" w:rsidP="006D5382">
            <w:pPr>
              <w:spacing w:line="360" w:lineRule="auto"/>
            </w:pPr>
            <w:r w:rsidRPr="006D5382">
              <w:t>1</w:t>
            </w:r>
          </w:p>
        </w:tc>
        <w:tc>
          <w:tcPr>
            <w:tcW w:w="297" w:type="pct"/>
            <w:shd w:val="clear" w:color="auto" w:fill="auto"/>
            <w:noWrap/>
            <w:hideMark/>
          </w:tcPr>
          <w:p w14:paraId="067483E5" w14:textId="77777777" w:rsidR="00DA1B98" w:rsidRPr="006D5382" w:rsidRDefault="00DA1B98" w:rsidP="006D5382">
            <w:pPr>
              <w:spacing w:line="360" w:lineRule="auto"/>
            </w:pPr>
            <w:r w:rsidRPr="006D5382">
              <w:t>0</w:t>
            </w:r>
          </w:p>
        </w:tc>
        <w:tc>
          <w:tcPr>
            <w:tcW w:w="321" w:type="pct"/>
            <w:shd w:val="clear" w:color="000000" w:fill="FFFF00"/>
            <w:noWrap/>
            <w:hideMark/>
          </w:tcPr>
          <w:p w14:paraId="3EF4A8EE" w14:textId="77777777" w:rsidR="00DA1B98" w:rsidRPr="006D5382" w:rsidRDefault="00DA1B98" w:rsidP="006D5382">
            <w:pPr>
              <w:spacing w:line="360" w:lineRule="auto"/>
            </w:pPr>
            <w:r w:rsidRPr="006D5382">
              <w:t>3</w:t>
            </w:r>
          </w:p>
        </w:tc>
        <w:tc>
          <w:tcPr>
            <w:tcW w:w="304" w:type="pct"/>
            <w:shd w:val="clear" w:color="000000" w:fill="92D050"/>
            <w:noWrap/>
            <w:hideMark/>
          </w:tcPr>
          <w:p w14:paraId="4B0189E7" w14:textId="77777777" w:rsidR="00DA1B98" w:rsidRPr="006D5382" w:rsidRDefault="00DA1B98" w:rsidP="006D5382">
            <w:pPr>
              <w:spacing w:line="360" w:lineRule="auto"/>
            </w:pPr>
            <w:r w:rsidRPr="006D5382">
              <w:t>2</w:t>
            </w:r>
          </w:p>
        </w:tc>
        <w:tc>
          <w:tcPr>
            <w:tcW w:w="254" w:type="pct"/>
            <w:shd w:val="clear" w:color="auto" w:fill="auto"/>
            <w:noWrap/>
            <w:hideMark/>
          </w:tcPr>
          <w:p w14:paraId="15143BC9" w14:textId="77777777" w:rsidR="00DA1B98" w:rsidRPr="006D5382" w:rsidRDefault="00DA1B98" w:rsidP="006D5382">
            <w:pPr>
              <w:spacing w:line="360" w:lineRule="auto"/>
            </w:pPr>
            <w:r w:rsidRPr="006D5382">
              <w:t>0</w:t>
            </w:r>
          </w:p>
        </w:tc>
        <w:tc>
          <w:tcPr>
            <w:tcW w:w="210" w:type="pct"/>
            <w:shd w:val="clear" w:color="auto" w:fill="auto"/>
            <w:noWrap/>
            <w:hideMark/>
          </w:tcPr>
          <w:p w14:paraId="444651D4" w14:textId="77777777" w:rsidR="00DA1B98" w:rsidRPr="006D5382" w:rsidRDefault="00DA1B98" w:rsidP="006D5382">
            <w:pPr>
              <w:spacing w:line="360" w:lineRule="auto"/>
            </w:pPr>
            <w:r w:rsidRPr="006D5382">
              <w:t>1</w:t>
            </w:r>
          </w:p>
        </w:tc>
        <w:tc>
          <w:tcPr>
            <w:tcW w:w="221" w:type="pct"/>
            <w:shd w:val="clear" w:color="auto" w:fill="auto"/>
            <w:noWrap/>
            <w:hideMark/>
          </w:tcPr>
          <w:p w14:paraId="58BE1A9D" w14:textId="77777777" w:rsidR="00DA1B98" w:rsidRPr="006D5382" w:rsidRDefault="00DA1B98" w:rsidP="006D5382">
            <w:pPr>
              <w:spacing w:line="360" w:lineRule="auto"/>
            </w:pPr>
            <w:r w:rsidRPr="006D5382">
              <w:t>1</w:t>
            </w:r>
          </w:p>
        </w:tc>
        <w:tc>
          <w:tcPr>
            <w:tcW w:w="299" w:type="pct"/>
            <w:shd w:val="clear" w:color="000000" w:fill="00B0F0"/>
            <w:noWrap/>
            <w:hideMark/>
          </w:tcPr>
          <w:p w14:paraId="100FE8C2" w14:textId="77777777" w:rsidR="00DA1B98" w:rsidRPr="006D5382" w:rsidRDefault="00DA1B98" w:rsidP="006D5382">
            <w:pPr>
              <w:spacing w:line="360" w:lineRule="auto"/>
            </w:pPr>
            <w:r w:rsidRPr="006D5382">
              <w:t>2</w:t>
            </w:r>
          </w:p>
        </w:tc>
        <w:tc>
          <w:tcPr>
            <w:tcW w:w="265" w:type="pct"/>
            <w:shd w:val="clear" w:color="auto" w:fill="auto"/>
            <w:noWrap/>
            <w:hideMark/>
          </w:tcPr>
          <w:p w14:paraId="4D610748" w14:textId="77777777" w:rsidR="00DA1B98" w:rsidRPr="006D5382" w:rsidRDefault="00DA1B98" w:rsidP="006D5382">
            <w:pPr>
              <w:spacing w:line="360" w:lineRule="auto"/>
              <w:rPr>
                <w:b/>
                <w:bCs/>
              </w:rPr>
            </w:pPr>
            <w:r w:rsidRPr="006D5382">
              <w:rPr>
                <w:b/>
                <w:bCs/>
              </w:rPr>
              <w:t xml:space="preserve">Good </w:t>
            </w:r>
          </w:p>
        </w:tc>
      </w:tr>
      <w:tr w:rsidR="006D5382" w:rsidRPr="006D5382" w14:paraId="48152BA2" w14:textId="77777777" w:rsidTr="008D2B81">
        <w:trPr>
          <w:trHeight w:val="324"/>
        </w:trPr>
        <w:tc>
          <w:tcPr>
            <w:tcW w:w="899" w:type="pct"/>
            <w:shd w:val="clear" w:color="auto" w:fill="auto"/>
            <w:noWrap/>
            <w:hideMark/>
          </w:tcPr>
          <w:p w14:paraId="14E6D530" w14:textId="77777777" w:rsidR="00DA1B98" w:rsidRPr="006D5382" w:rsidRDefault="00DA1B98" w:rsidP="006D5382">
            <w:pPr>
              <w:spacing w:line="360" w:lineRule="auto"/>
            </w:pPr>
            <w:r w:rsidRPr="006D5382">
              <w:lastRenderedPageBreak/>
              <w:t xml:space="preserve">Yue JK, </w:t>
            </w:r>
            <w:r w:rsidRPr="006D5382">
              <w:rPr>
                <w:i/>
              </w:rPr>
              <w:t>2019</w:t>
            </w:r>
            <w:r w:rsidRPr="006D5382">
              <w:t xml:space="preserve"> (a)</w:t>
            </w:r>
            <w:r w:rsidRPr="006D5382">
              <w:rPr>
                <w:noProof/>
                <w:vertAlign w:val="superscript"/>
              </w:rPr>
              <w:t>54</w:t>
            </w:r>
          </w:p>
        </w:tc>
        <w:tc>
          <w:tcPr>
            <w:tcW w:w="434" w:type="pct"/>
            <w:shd w:val="clear" w:color="auto" w:fill="auto"/>
            <w:noWrap/>
            <w:hideMark/>
          </w:tcPr>
          <w:p w14:paraId="768D3F51" w14:textId="77777777" w:rsidR="00DA1B98" w:rsidRPr="006D5382" w:rsidRDefault="00DA1B98" w:rsidP="006D5382">
            <w:pPr>
              <w:spacing w:line="360" w:lineRule="auto"/>
              <w:rPr>
                <w:b/>
                <w:bCs/>
              </w:rPr>
            </w:pPr>
            <w:r w:rsidRPr="006D5382">
              <w:rPr>
                <w:b/>
                <w:bCs/>
              </w:rPr>
              <w:t>0</w:t>
            </w:r>
          </w:p>
        </w:tc>
        <w:tc>
          <w:tcPr>
            <w:tcW w:w="985" w:type="pct"/>
            <w:shd w:val="clear" w:color="auto" w:fill="auto"/>
            <w:noWrap/>
            <w:hideMark/>
          </w:tcPr>
          <w:p w14:paraId="23C2FF10" w14:textId="77777777" w:rsidR="00DA1B98" w:rsidRPr="006D5382" w:rsidRDefault="00DA1B98" w:rsidP="006D5382">
            <w:pPr>
              <w:spacing w:line="360" w:lineRule="auto"/>
            </w:pPr>
            <w:r w:rsidRPr="006D5382">
              <w:t>1</w:t>
            </w:r>
          </w:p>
        </w:tc>
        <w:tc>
          <w:tcPr>
            <w:tcW w:w="514" w:type="pct"/>
            <w:shd w:val="clear" w:color="auto" w:fill="auto"/>
            <w:noWrap/>
            <w:hideMark/>
          </w:tcPr>
          <w:p w14:paraId="0ABFCD60" w14:textId="77777777" w:rsidR="00DA1B98" w:rsidRPr="006D5382" w:rsidRDefault="00DA1B98" w:rsidP="006D5382">
            <w:pPr>
              <w:spacing w:line="360" w:lineRule="auto"/>
            </w:pPr>
            <w:r w:rsidRPr="006D5382">
              <w:t>1</w:t>
            </w:r>
          </w:p>
        </w:tc>
        <w:tc>
          <w:tcPr>
            <w:tcW w:w="297" w:type="pct"/>
            <w:shd w:val="clear" w:color="auto" w:fill="auto"/>
            <w:noWrap/>
            <w:hideMark/>
          </w:tcPr>
          <w:p w14:paraId="7B369711" w14:textId="77777777" w:rsidR="00DA1B98" w:rsidRPr="006D5382" w:rsidRDefault="00DA1B98" w:rsidP="006D5382">
            <w:pPr>
              <w:spacing w:line="360" w:lineRule="auto"/>
            </w:pPr>
            <w:r w:rsidRPr="006D5382">
              <w:t>0</w:t>
            </w:r>
          </w:p>
        </w:tc>
        <w:tc>
          <w:tcPr>
            <w:tcW w:w="321" w:type="pct"/>
            <w:shd w:val="clear" w:color="000000" w:fill="FFFF00"/>
            <w:noWrap/>
            <w:hideMark/>
          </w:tcPr>
          <w:p w14:paraId="784E540B" w14:textId="77777777" w:rsidR="00DA1B98" w:rsidRPr="006D5382" w:rsidRDefault="00DA1B98" w:rsidP="006D5382">
            <w:pPr>
              <w:spacing w:line="360" w:lineRule="auto"/>
            </w:pPr>
            <w:r w:rsidRPr="006D5382">
              <w:t>2</w:t>
            </w:r>
          </w:p>
        </w:tc>
        <w:tc>
          <w:tcPr>
            <w:tcW w:w="304" w:type="pct"/>
            <w:shd w:val="clear" w:color="000000" w:fill="92D050"/>
            <w:noWrap/>
            <w:hideMark/>
          </w:tcPr>
          <w:p w14:paraId="6FFB2759" w14:textId="77777777" w:rsidR="00DA1B98" w:rsidRPr="006D5382" w:rsidRDefault="00DA1B98" w:rsidP="006D5382">
            <w:pPr>
              <w:spacing w:line="360" w:lineRule="auto"/>
            </w:pPr>
            <w:r w:rsidRPr="006D5382">
              <w:t>2</w:t>
            </w:r>
          </w:p>
        </w:tc>
        <w:tc>
          <w:tcPr>
            <w:tcW w:w="254" w:type="pct"/>
            <w:shd w:val="clear" w:color="auto" w:fill="auto"/>
            <w:noWrap/>
            <w:hideMark/>
          </w:tcPr>
          <w:p w14:paraId="11217D31" w14:textId="77777777" w:rsidR="00DA1B98" w:rsidRPr="006D5382" w:rsidRDefault="00DA1B98" w:rsidP="006D5382">
            <w:pPr>
              <w:spacing w:line="360" w:lineRule="auto"/>
            </w:pPr>
            <w:r w:rsidRPr="006D5382">
              <w:t>1</w:t>
            </w:r>
          </w:p>
        </w:tc>
        <w:tc>
          <w:tcPr>
            <w:tcW w:w="210" w:type="pct"/>
            <w:shd w:val="clear" w:color="auto" w:fill="auto"/>
            <w:noWrap/>
            <w:hideMark/>
          </w:tcPr>
          <w:p w14:paraId="4CCC7E04" w14:textId="77777777" w:rsidR="00DA1B98" w:rsidRPr="006D5382" w:rsidRDefault="00DA1B98" w:rsidP="006D5382">
            <w:pPr>
              <w:spacing w:line="360" w:lineRule="auto"/>
            </w:pPr>
            <w:r w:rsidRPr="006D5382">
              <w:t>1</w:t>
            </w:r>
          </w:p>
        </w:tc>
        <w:tc>
          <w:tcPr>
            <w:tcW w:w="221" w:type="pct"/>
            <w:shd w:val="clear" w:color="auto" w:fill="auto"/>
            <w:noWrap/>
            <w:hideMark/>
          </w:tcPr>
          <w:p w14:paraId="5C0B48A7" w14:textId="77777777" w:rsidR="00DA1B98" w:rsidRPr="006D5382" w:rsidRDefault="00DA1B98" w:rsidP="006D5382">
            <w:pPr>
              <w:spacing w:line="360" w:lineRule="auto"/>
            </w:pPr>
            <w:r w:rsidRPr="006D5382">
              <w:t>1</w:t>
            </w:r>
          </w:p>
        </w:tc>
        <w:tc>
          <w:tcPr>
            <w:tcW w:w="299" w:type="pct"/>
            <w:shd w:val="clear" w:color="000000" w:fill="00B0F0"/>
            <w:noWrap/>
            <w:hideMark/>
          </w:tcPr>
          <w:p w14:paraId="37EF0968" w14:textId="77777777" w:rsidR="00DA1B98" w:rsidRPr="006D5382" w:rsidRDefault="00DA1B98" w:rsidP="006D5382">
            <w:pPr>
              <w:spacing w:line="360" w:lineRule="auto"/>
            </w:pPr>
            <w:r w:rsidRPr="006D5382">
              <w:t>3</w:t>
            </w:r>
          </w:p>
        </w:tc>
        <w:tc>
          <w:tcPr>
            <w:tcW w:w="265" w:type="pct"/>
            <w:shd w:val="clear" w:color="auto" w:fill="auto"/>
            <w:noWrap/>
            <w:hideMark/>
          </w:tcPr>
          <w:p w14:paraId="6848B358" w14:textId="77777777" w:rsidR="00DA1B98" w:rsidRPr="006D5382" w:rsidRDefault="00DA1B98" w:rsidP="006D5382">
            <w:pPr>
              <w:spacing w:line="360" w:lineRule="auto"/>
              <w:rPr>
                <w:b/>
                <w:bCs/>
              </w:rPr>
            </w:pPr>
            <w:r w:rsidRPr="006D5382">
              <w:rPr>
                <w:b/>
                <w:bCs/>
              </w:rPr>
              <w:t xml:space="preserve">Fair </w:t>
            </w:r>
          </w:p>
        </w:tc>
      </w:tr>
      <w:tr w:rsidR="006D5382" w:rsidRPr="006D5382" w14:paraId="06CB500C" w14:textId="77777777" w:rsidTr="008D2B81">
        <w:trPr>
          <w:trHeight w:val="324"/>
        </w:trPr>
        <w:tc>
          <w:tcPr>
            <w:tcW w:w="899" w:type="pct"/>
            <w:shd w:val="clear" w:color="auto" w:fill="auto"/>
            <w:noWrap/>
            <w:hideMark/>
          </w:tcPr>
          <w:p w14:paraId="6F37B892" w14:textId="77777777" w:rsidR="00DA1B98" w:rsidRPr="006D5382" w:rsidRDefault="00DA1B98" w:rsidP="006D5382">
            <w:pPr>
              <w:spacing w:line="360" w:lineRule="auto"/>
            </w:pPr>
            <w:r w:rsidRPr="006D5382">
              <w:t xml:space="preserve">Zurek J, </w:t>
            </w:r>
            <w:r w:rsidRPr="006D5382">
              <w:rPr>
                <w:i/>
              </w:rPr>
              <w:t xml:space="preserve">2011 </w:t>
            </w:r>
            <w:r w:rsidRPr="006D5382">
              <w:t>(g)</w:t>
            </w:r>
            <w:r w:rsidRPr="006D5382">
              <w:rPr>
                <w:noProof/>
                <w:vertAlign w:val="superscript"/>
              </w:rPr>
              <w:t>55</w:t>
            </w:r>
            <w:r w:rsidRPr="006D5382">
              <w:t xml:space="preserve"> </w:t>
            </w:r>
          </w:p>
        </w:tc>
        <w:tc>
          <w:tcPr>
            <w:tcW w:w="434" w:type="pct"/>
            <w:shd w:val="clear" w:color="auto" w:fill="auto"/>
            <w:noWrap/>
            <w:hideMark/>
          </w:tcPr>
          <w:p w14:paraId="47B0A742" w14:textId="77777777" w:rsidR="00DA1B98" w:rsidRPr="006D5382" w:rsidRDefault="00DA1B98" w:rsidP="006D5382">
            <w:pPr>
              <w:spacing w:line="360" w:lineRule="auto"/>
            </w:pPr>
            <w:r w:rsidRPr="006D5382">
              <w:t>1</w:t>
            </w:r>
          </w:p>
        </w:tc>
        <w:tc>
          <w:tcPr>
            <w:tcW w:w="985" w:type="pct"/>
            <w:shd w:val="clear" w:color="auto" w:fill="auto"/>
            <w:noWrap/>
            <w:hideMark/>
          </w:tcPr>
          <w:p w14:paraId="5F0D704F" w14:textId="77777777" w:rsidR="00DA1B98" w:rsidRPr="006D5382" w:rsidRDefault="00DA1B98" w:rsidP="006D5382">
            <w:pPr>
              <w:spacing w:line="360" w:lineRule="auto"/>
            </w:pPr>
            <w:r w:rsidRPr="006D5382">
              <w:t>1</w:t>
            </w:r>
          </w:p>
        </w:tc>
        <w:tc>
          <w:tcPr>
            <w:tcW w:w="514" w:type="pct"/>
            <w:shd w:val="clear" w:color="auto" w:fill="auto"/>
            <w:noWrap/>
            <w:hideMark/>
          </w:tcPr>
          <w:p w14:paraId="219A5EAB" w14:textId="77777777" w:rsidR="00DA1B98" w:rsidRPr="006D5382" w:rsidRDefault="00DA1B98" w:rsidP="006D5382">
            <w:pPr>
              <w:spacing w:line="360" w:lineRule="auto"/>
            </w:pPr>
            <w:r w:rsidRPr="006D5382">
              <w:t>1</w:t>
            </w:r>
          </w:p>
        </w:tc>
        <w:tc>
          <w:tcPr>
            <w:tcW w:w="297" w:type="pct"/>
            <w:shd w:val="clear" w:color="auto" w:fill="auto"/>
            <w:noWrap/>
            <w:hideMark/>
          </w:tcPr>
          <w:p w14:paraId="3A2E830A" w14:textId="77777777" w:rsidR="00DA1B98" w:rsidRPr="006D5382" w:rsidRDefault="00DA1B98" w:rsidP="006D5382">
            <w:pPr>
              <w:spacing w:line="360" w:lineRule="auto"/>
            </w:pPr>
            <w:r w:rsidRPr="006D5382">
              <w:t>0</w:t>
            </w:r>
          </w:p>
        </w:tc>
        <w:tc>
          <w:tcPr>
            <w:tcW w:w="321" w:type="pct"/>
            <w:shd w:val="clear" w:color="000000" w:fill="FFFF00"/>
            <w:noWrap/>
            <w:hideMark/>
          </w:tcPr>
          <w:p w14:paraId="2565E3F6" w14:textId="77777777" w:rsidR="00DA1B98" w:rsidRPr="006D5382" w:rsidRDefault="00DA1B98" w:rsidP="006D5382">
            <w:pPr>
              <w:spacing w:line="360" w:lineRule="auto"/>
            </w:pPr>
            <w:r w:rsidRPr="006D5382">
              <w:t>3</w:t>
            </w:r>
          </w:p>
        </w:tc>
        <w:tc>
          <w:tcPr>
            <w:tcW w:w="304" w:type="pct"/>
            <w:shd w:val="clear" w:color="000000" w:fill="92D050"/>
            <w:noWrap/>
            <w:hideMark/>
          </w:tcPr>
          <w:p w14:paraId="50E7193A" w14:textId="77777777" w:rsidR="00DA1B98" w:rsidRPr="006D5382" w:rsidRDefault="00DA1B98" w:rsidP="006D5382">
            <w:pPr>
              <w:spacing w:line="360" w:lineRule="auto"/>
            </w:pPr>
            <w:r w:rsidRPr="006D5382">
              <w:t>1</w:t>
            </w:r>
          </w:p>
        </w:tc>
        <w:tc>
          <w:tcPr>
            <w:tcW w:w="254" w:type="pct"/>
            <w:shd w:val="clear" w:color="auto" w:fill="auto"/>
            <w:noWrap/>
            <w:hideMark/>
          </w:tcPr>
          <w:p w14:paraId="4CBF9D23" w14:textId="77777777" w:rsidR="00DA1B98" w:rsidRPr="006D5382" w:rsidRDefault="00DA1B98" w:rsidP="006D5382">
            <w:pPr>
              <w:spacing w:line="360" w:lineRule="auto"/>
            </w:pPr>
            <w:r w:rsidRPr="006D5382">
              <w:t>0</w:t>
            </w:r>
          </w:p>
        </w:tc>
        <w:tc>
          <w:tcPr>
            <w:tcW w:w="210" w:type="pct"/>
            <w:shd w:val="clear" w:color="auto" w:fill="auto"/>
            <w:noWrap/>
            <w:hideMark/>
          </w:tcPr>
          <w:p w14:paraId="6DFC2419" w14:textId="77777777" w:rsidR="00DA1B98" w:rsidRPr="006D5382" w:rsidRDefault="00DA1B98" w:rsidP="006D5382">
            <w:pPr>
              <w:spacing w:line="360" w:lineRule="auto"/>
            </w:pPr>
            <w:r w:rsidRPr="006D5382">
              <w:t>1</w:t>
            </w:r>
          </w:p>
        </w:tc>
        <w:tc>
          <w:tcPr>
            <w:tcW w:w="221" w:type="pct"/>
            <w:shd w:val="clear" w:color="auto" w:fill="auto"/>
            <w:noWrap/>
            <w:hideMark/>
          </w:tcPr>
          <w:p w14:paraId="7D01D1DB" w14:textId="77777777" w:rsidR="00DA1B98" w:rsidRPr="006D5382" w:rsidRDefault="00DA1B98" w:rsidP="006D5382">
            <w:pPr>
              <w:spacing w:line="360" w:lineRule="auto"/>
            </w:pPr>
            <w:r w:rsidRPr="006D5382">
              <w:t>1</w:t>
            </w:r>
          </w:p>
        </w:tc>
        <w:tc>
          <w:tcPr>
            <w:tcW w:w="299" w:type="pct"/>
            <w:shd w:val="clear" w:color="000000" w:fill="00B0F0"/>
            <w:noWrap/>
            <w:hideMark/>
          </w:tcPr>
          <w:p w14:paraId="49DCCBA6" w14:textId="77777777" w:rsidR="00DA1B98" w:rsidRPr="006D5382" w:rsidRDefault="00DA1B98" w:rsidP="006D5382">
            <w:pPr>
              <w:spacing w:line="360" w:lineRule="auto"/>
            </w:pPr>
            <w:r w:rsidRPr="006D5382">
              <w:t>2</w:t>
            </w:r>
          </w:p>
        </w:tc>
        <w:tc>
          <w:tcPr>
            <w:tcW w:w="265" w:type="pct"/>
            <w:shd w:val="clear" w:color="auto" w:fill="auto"/>
            <w:noWrap/>
            <w:hideMark/>
          </w:tcPr>
          <w:p w14:paraId="367D7A58" w14:textId="77777777" w:rsidR="00DA1B98" w:rsidRPr="006D5382" w:rsidRDefault="00DA1B98" w:rsidP="006D5382">
            <w:pPr>
              <w:spacing w:line="360" w:lineRule="auto"/>
              <w:rPr>
                <w:b/>
                <w:bCs/>
              </w:rPr>
            </w:pPr>
            <w:r w:rsidRPr="006D5382">
              <w:rPr>
                <w:b/>
                <w:bCs/>
              </w:rPr>
              <w:t xml:space="preserve">Good </w:t>
            </w:r>
          </w:p>
        </w:tc>
      </w:tr>
      <w:tr w:rsidR="006D5382" w:rsidRPr="006D5382" w14:paraId="2370C97F" w14:textId="77777777" w:rsidTr="008D2B81">
        <w:trPr>
          <w:trHeight w:val="324"/>
        </w:trPr>
        <w:tc>
          <w:tcPr>
            <w:tcW w:w="899" w:type="pct"/>
            <w:shd w:val="clear" w:color="auto" w:fill="auto"/>
            <w:noWrap/>
            <w:hideMark/>
          </w:tcPr>
          <w:p w14:paraId="40CA9A2D" w14:textId="77777777" w:rsidR="00DA1B98" w:rsidRPr="006D5382" w:rsidRDefault="00DA1B98" w:rsidP="006D5382">
            <w:pPr>
              <w:spacing w:line="360" w:lineRule="auto"/>
            </w:pPr>
            <w:r w:rsidRPr="006D5382">
              <w:t xml:space="preserve">Zurek J, </w:t>
            </w:r>
            <w:r w:rsidRPr="006D5382">
              <w:rPr>
                <w:i/>
              </w:rPr>
              <w:t xml:space="preserve">2010 </w:t>
            </w:r>
            <w:r w:rsidRPr="006D5382">
              <w:t>(g)</w:t>
            </w:r>
            <w:r w:rsidRPr="006D5382">
              <w:rPr>
                <w:noProof/>
                <w:vertAlign w:val="superscript"/>
              </w:rPr>
              <w:t>56</w:t>
            </w:r>
            <w:r w:rsidRPr="006D5382">
              <w:t xml:space="preserve"> </w:t>
            </w:r>
          </w:p>
        </w:tc>
        <w:tc>
          <w:tcPr>
            <w:tcW w:w="434" w:type="pct"/>
            <w:shd w:val="clear" w:color="auto" w:fill="auto"/>
            <w:noWrap/>
            <w:hideMark/>
          </w:tcPr>
          <w:p w14:paraId="37898491" w14:textId="77777777" w:rsidR="00DA1B98" w:rsidRPr="006D5382" w:rsidRDefault="00DA1B98" w:rsidP="006D5382">
            <w:pPr>
              <w:spacing w:line="360" w:lineRule="auto"/>
            </w:pPr>
            <w:r w:rsidRPr="006D5382">
              <w:t>1</w:t>
            </w:r>
          </w:p>
        </w:tc>
        <w:tc>
          <w:tcPr>
            <w:tcW w:w="985" w:type="pct"/>
            <w:shd w:val="clear" w:color="auto" w:fill="auto"/>
            <w:noWrap/>
            <w:hideMark/>
          </w:tcPr>
          <w:p w14:paraId="31AF8ECF" w14:textId="77777777" w:rsidR="00DA1B98" w:rsidRPr="006D5382" w:rsidRDefault="00DA1B98" w:rsidP="006D5382">
            <w:pPr>
              <w:spacing w:line="360" w:lineRule="auto"/>
            </w:pPr>
            <w:r w:rsidRPr="006D5382">
              <w:t>1</w:t>
            </w:r>
          </w:p>
        </w:tc>
        <w:tc>
          <w:tcPr>
            <w:tcW w:w="514" w:type="pct"/>
            <w:shd w:val="clear" w:color="auto" w:fill="auto"/>
            <w:noWrap/>
            <w:hideMark/>
          </w:tcPr>
          <w:p w14:paraId="370676C3" w14:textId="77777777" w:rsidR="00DA1B98" w:rsidRPr="006D5382" w:rsidRDefault="00DA1B98" w:rsidP="006D5382">
            <w:pPr>
              <w:spacing w:line="360" w:lineRule="auto"/>
            </w:pPr>
            <w:r w:rsidRPr="006D5382">
              <w:t>1</w:t>
            </w:r>
          </w:p>
        </w:tc>
        <w:tc>
          <w:tcPr>
            <w:tcW w:w="297" w:type="pct"/>
            <w:shd w:val="clear" w:color="auto" w:fill="auto"/>
            <w:noWrap/>
            <w:hideMark/>
          </w:tcPr>
          <w:p w14:paraId="0E06EF55" w14:textId="77777777" w:rsidR="00DA1B98" w:rsidRPr="006D5382" w:rsidRDefault="00DA1B98" w:rsidP="006D5382">
            <w:pPr>
              <w:spacing w:line="360" w:lineRule="auto"/>
            </w:pPr>
            <w:r w:rsidRPr="006D5382">
              <w:t>0</w:t>
            </w:r>
          </w:p>
        </w:tc>
        <w:tc>
          <w:tcPr>
            <w:tcW w:w="321" w:type="pct"/>
            <w:shd w:val="clear" w:color="000000" w:fill="FFFF00"/>
            <w:noWrap/>
            <w:hideMark/>
          </w:tcPr>
          <w:p w14:paraId="3B185736" w14:textId="77777777" w:rsidR="00DA1B98" w:rsidRPr="006D5382" w:rsidRDefault="00DA1B98" w:rsidP="006D5382">
            <w:pPr>
              <w:spacing w:line="360" w:lineRule="auto"/>
            </w:pPr>
            <w:r w:rsidRPr="006D5382">
              <w:t>3</w:t>
            </w:r>
          </w:p>
        </w:tc>
        <w:tc>
          <w:tcPr>
            <w:tcW w:w="304" w:type="pct"/>
            <w:shd w:val="clear" w:color="000000" w:fill="92D050"/>
            <w:noWrap/>
            <w:hideMark/>
          </w:tcPr>
          <w:p w14:paraId="2FD68976" w14:textId="77777777" w:rsidR="00DA1B98" w:rsidRPr="006D5382" w:rsidRDefault="00DA1B98" w:rsidP="006D5382">
            <w:pPr>
              <w:spacing w:line="360" w:lineRule="auto"/>
            </w:pPr>
            <w:r w:rsidRPr="006D5382">
              <w:t>1</w:t>
            </w:r>
          </w:p>
        </w:tc>
        <w:tc>
          <w:tcPr>
            <w:tcW w:w="254" w:type="pct"/>
            <w:shd w:val="clear" w:color="auto" w:fill="auto"/>
            <w:noWrap/>
            <w:hideMark/>
          </w:tcPr>
          <w:p w14:paraId="54643B59" w14:textId="77777777" w:rsidR="00DA1B98" w:rsidRPr="006D5382" w:rsidRDefault="00DA1B98" w:rsidP="006D5382">
            <w:pPr>
              <w:spacing w:line="360" w:lineRule="auto"/>
            </w:pPr>
            <w:r w:rsidRPr="006D5382">
              <w:t>0</w:t>
            </w:r>
          </w:p>
        </w:tc>
        <w:tc>
          <w:tcPr>
            <w:tcW w:w="210" w:type="pct"/>
            <w:shd w:val="clear" w:color="auto" w:fill="auto"/>
            <w:noWrap/>
            <w:hideMark/>
          </w:tcPr>
          <w:p w14:paraId="2445AA1D" w14:textId="77777777" w:rsidR="00DA1B98" w:rsidRPr="006D5382" w:rsidRDefault="00DA1B98" w:rsidP="006D5382">
            <w:pPr>
              <w:spacing w:line="360" w:lineRule="auto"/>
            </w:pPr>
            <w:r w:rsidRPr="006D5382">
              <w:t>1</w:t>
            </w:r>
          </w:p>
        </w:tc>
        <w:tc>
          <w:tcPr>
            <w:tcW w:w="221" w:type="pct"/>
            <w:shd w:val="clear" w:color="auto" w:fill="auto"/>
            <w:noWrap/>
            <w:hideMark/>
          </w:tcPr>
          <w:p w14:paraId="1F9BD9C7" w14:textId="77777777" w:rsidR="00DA1B98" w:rsidRPr="006D5382" w:rsidRDefault="00DA1B98" w:rsidP="006D5382">
            <w:pPr>
              <w:spacing w:line="360" w:lineRule="auto"/>
            </w:pPr>
            <w:r w:rsidRPr="006D5382">
              <w:t>1</w:t>
            </w:r>
          </w:p>
        </w:tc>
        <w:tc>
          <w:tcPr>
            <w:tcW w:w="299" w:type="pct"/>
            <w:shd w:val="clear" w:color="000000" w:fill="00B0F0"/>
            <w:noWrap/>
            <w:hideMark/>
          </w:tcPr>
          <w:p w14:paraId="38FE6675" w14:textId="77777777" w:rsidR="00DA1B98" w:rsidRPr="006D5382" w:rsidRDefault="00DA1B98" w:rsidP="006D5382">
            <w:pPr>
              <w:spacing w:line="360" w:lineRule="auto"/>
            </w:pPr>
            <w:r w:rsidRPr="006D5382">
              <w:t>2</w:t>
            </w:r>
          </w:p>
        </w:tc>
        <w:tc>
          <w:tcPr>
            <w:tcW w:w="265" w:type="pct"/>
            <w:shd w:val="clear" w:color="auto" w:fill="auto"/>
            <w:noWrap/>
            <w:hideMark/>
          </w:tcPr>
          <w:p w14:paraId="12AD7511" w14:textId="77777777" w:rsidR="00DA1B98" w:rsidRPr="006D5382" w:rsidRDefault="00DA1B98" w:rsidP="006D5382">
            <w:pPr>
              <w:spacing w:line="360" w:lineRule="auto"/>
              <w:rPr>
                <w:b/>
                <w:bCs/>
              </w:rPr>
            </w:pPr>
            <w:r w:rsidRPr="006D5382">
              <w:rPr>
                <w:b/>
                <w:bCs/>
              </w:rPr>
              <w:t xml:space="preserve">Good </w:t>
            </w:r>
          </w:p>
        </w:tc>
      </w:tr>
      <w:tr w:rsidR="006D5382" w:rsidRPr="006D5382" w14:paraId="482A1104" w14:textId="77777777" w:rsidTr="008D2B81">
        <w:trPr>
          <w:trHeight w:val="324"/>
        </w:trPr>
        <w:tc>
          <w:tcPr>
            <w:tcW w:w="899" w:type="pct"/>
            <w:shd w:val="clear" w:color="auto" w:fill="auto"/>
            <w:noWrap/>
            <w:hideMark/>
          </w:tcPr>
          <w:p w14:paraId="38EEC915" w14:textId="77777777" w:rsidR="00DA1B98" w:rsidRPr="006D5382" w:rsidRDefault="00DA1B98" w:rsidP="006D5382">
            <w:pPr>
              <w:spacing w:line="360" w:lineRule="auto"/>
            </w:pPr>
            <w:r w:rsidRPr="006D5382">
              <w:t xml:space="preserve">Zurek J, </w:t>
            </w:r>
            <w:r w:rsidRPr="006D5382">
              <w:rPr>
                <w:i/>
              </w:rPr>
              <w:t xml:space="preserve">2011 </w:t>
            </w:r>
            <w:r w:rsidRPr="006D5382">
              <w:t>(g)</w:t>
            </w:r>
            <w:r w:rsidRPr="006D5382">
              <w:rPr>
                <w:noProof/>
                <w:vertAlign w:val="superscript"/>
              </w:rPr>
              <w:t>57</w:t>
            </w:r>
            <w:r w:rsidRPr="006D5382">
              <w:t xml:space="preserve"> </w:t>
            </w:r>
          </w:p>
        </w:tc>
        <w:tc>
          <w:tcPr>
            <w:tcW w:w="434" w:type="pct"/>
            <w:shd w:val="clear" w:color="auto" w:fill="auto"/>
            <w:noWrap/>
            <w:hideMark/>
          </w:tcPr>
          <w:p w14:paraId="3BA4EA18" w14:textId="77777777" w:rsidR="00DA1B98" w:rsidRPr="006D5382" w:rsidRDefault="00DA1B98" w:rsidP="006D5382">
            <w:pPr>
              <w:spacing w:line="360" w:lineRule="auto"/>
            </w:pPr>
            <w:r w:rsidRPr="006D5382">
              <w:t>0</w:t>
            </w:r>
          </w:p>
        </w:tc>
        <w:tc>
          <w:tcPr>
            <w:tcW w:w="985" w:type="pct"/>
            <w:shd w:val="clear" w:color="auto" w:fill="auto"/>
            <w:noWrap/>
            <w:hideMark/>
          </w:tcPr>
          <w:p w14:paraId="40B56ECA" w14:textId="77777777" w:rsidR="00DA1B98" w:rsidRPr="006D5382" w:rsidRDefault="00DA1B98" w:rsidP="006D5382">
            <w:pPr>
              <w:spacing w:line="360" w:lineRule="auto"/>
            </w:pPr>
            <w:r w:rsidRPr="006D5382">
              <w:t>1</w:t>
            </w:r>
          </w:p>
        </w:tc>
        <w:tc>
          <w:tcPr>
            <w:tcW w:w="514" w:type="pct"/>
            <w:shd w:val="clear" w:color="auto" w:fill="auto"/>
            <w:noWrap/>
            <w:hideMark/>
          </w:tcPr>
          <w:p w14:paraId="0B680D95" w14:textId="77777777" w:rsidR="00DA1B98" w:rsidRPr="006D5382" w:rsidRDefault="00DA1B98" w:rsidP="006D5382">
            <w:pPr>
              <w:spacing w:line="360" w:lineRule="auto"/>
            </w:pPr>
            <w:r w:rsidRPr="006D5382">
              <w:t>1</w:t>
            </w:r>
          </w:p>
        </w:tc>
        <w:tc>
          <w:tcPr>
            <w:tcW w:w="297" w:type="pct"/>
            <w:shd w:val="clear" w:color="auto" w:fill="auto"/>
            <w:noWrap/>
            <w:hideMark/>
          </w:tcPr>
          <w:p w14:paraId="31DDCA92" w14:textId="77777777" w:rsidR="00DA1B98" w:rsidRPr="006D5382" w:rsidRDefault="00DA1B98" w:rsidP="006D5382">
            <w:pPr>
              <w:spacing w:line="360" w:lineRule="auto"/>
            </w:pPr>
            <w:r w:rsidRPr="006D5382">
              <w:t>0</w:t>
            </w:r>
          </w:p>
        </w:tc>
        <w:tc>
          <w:tcPr>
            <w:tcW w:w="321" w:type="pct"/>
            <w:shd w:val="clear" w:color="000000" w:fill="FFFF00"/>
            <w:noWrap/>
            <w:hideMark/>
          </w:tcPr>
          <w:p w14:paraId="24B11AC8" w14:textId="77777777" w:rsidR="00DA1B98" w:rsidRPr="006D5382" w:rsidRDefault="00DA1B98" w:rsidP="006D5382">
            <w:pPr>
              <w:spacing w:line="360" w:lineRule="auto"/>
            </w:pPr>
            <w:r w:rsidRPr="006D5382">
              <w:t>2</w:t>
            </w:r>
          </w:p>
        </w:tc>
        <w:tc>
          <w:tcPr>
            <w:tcW w:w="304" w:type="pct"/>
            <w:shd w:val="clear" w:color="000000" w:fill="92D050"/>
            <w:noWrap/>
            <w:hideMark/>
          </w:tcPr>
          <w:p w14:paraId="395D3908" w14:textId="77777777" w:rsidR="00DA1B98" w:rsidRPr="006D5382" w:rsidRDefault="00DA1B98" w:rsidP="006D5382">
            <w:pPr>
              <w:spacing w:line="360" w:lineRule="auto"/>
            </w:pPr>
            <w:r w:rsidRPr="006D5382">
              <w:t>2</w:t>
            </w:r>
          </w:p>
        </w:tc>
        <w:tc>
          <w:tcPr>
            <w:tcW w:w="254" w:type="pct"/>
            <w:shd w:val="clear" w:color="auto" w:fill="auto"/>
            <w:noWrap/>
            <w:hideMark/>
          </w:tcPr>
          <w:p w14:paraId="4861C198" w14:textId="77777777" w:rsidR="00DA1B98" w:rsidRPr="006D5382" w:rsidRDefault="00DA1B98" w:rsidP="006D5382">
            <w:pPr>
              <w:spacing w:line="360" w:lineRule="auto"/>
            </w:pPr>
            <w:r w:rsidRPr="006D5382">
              <w:t>1</w:t>
            </w:r>
          </w:p>
        </w:tc>
        <w:tc>
          <w:tcPr>
            <w:tcW w:w="210" w:type="pct"/>
            <w:shd w:val="clear" w:color="auto" w:fill="auto"/>
            <w:noWrap/>
            <w:hideMark/>
          </w:tcPr>
          <w:p w14:paraId="694CCE51" w14:textId="77777777" w:rsidR="00DA1B98" w:rsidRPr="006D5382" w:rsidRDefault="00DA1B98" w:rsidP="006D5382">
            <w:pPr>
              <w:spacing w:line="360" w:lineRule="auto"/>
            </w:pPr>
            <w:r w:rsidRPr="006D5382">
              <w:t>1</w:t>
            </w:r>
          </w:p>
        </w:tc>
        <w:tc>
          <w:tcPr>
            <w:tcW w:w="221" w:type="pct"/>
            <w:shd w:val="clear" w:color="auto" w:fill="auto"/>
            <w:noWrap/>
            <w:hideMark/>
          </w:tcPr>
          <w:p w14:paraId="4293DB0F" w14:textId="77777777" w:rsidR="00DA1B98" w:rsidRPr="006D5382" w:rsidRDefault="00DA1B98" w:rsidP="006D5382">
            <w:pPr>
              <w:spacing w:line="360" w:lineRule="auto"/>
            </w:pPr>
            <w:r w:rsidRPr="006D5382">
              <w:t>1</w:t>
            </w:r>
          </w:p>
        </w:tc>
        <w:tc>
          <w:tcPr>
            <w:tcW w:w="299" w:type="pct"/>
            <w:shd w:val="clear" w:color="000000" w:fill="00B0F0"/>
            <w:noWrap/>
            <w:hideMark/>
          </w:tcPr>
          <w:p w14:paraId="3D479BED" w14:textId="77777777" w:rsidR="00DA1B98" w:rsidRPr="006D5382" w:rsidRDefault="00DA1B98" w:rsidP="006D5382">
            <w:pPr>
              <w:spacing w:line="360" w:lineRule="auto"/>
            </w:pPr>
            <w:r w:rsidRPr="006D5382">
              <w:t>3</w:t>
            </w:r>
          </w:p>
        </w:tc>
        <w:tc>
          <w:tcPr>
            <w:tcW w:w="265" w:type="pct"/>
            <w:shd w:val="clear" w:color="auto" w:fill="auto"/>
            <w:noWrap/>
            <w:hideMark/>
          </w:tcPr>
          <w:p w14:paraId="7F35A5E4" w14:textId="77777777" w:rsidR="00DA1B98" w:rsidRPr="006D5382" w:rsidRDefault="00DA1B98" w:rsidP="006D5382">
            <w:pPr>
              <w:spacing w:line="360" w:lineRule="auto"/>
              <w:rPr>
                <w:b/>
                <w:bCs/>
              </w:rPr>
            </w:pPr>
            <w:r w:rsidRPr="006D5382">
              <w:rPr>
                <w:b/>
                <w:bCs/>
              </w:rPr>
              <w:t xml:space="preserve">Fair </w:t>
            </w:r>
          </w:p>
        </w:tc>
      </w:tr>
    </w:tbl>
    <w:p w14:paraId="10DBA398" w14:textId="77777777" w:rsidR="00F5593D" w:rsidRPr="006D5382" w:rsidRDefault="00F5593D" w:rsidP="006D5382">
      <w:pPr>
        <w:spacing w:line="360" w:lineRule="auto"/>
        <w:rPr>
          <w:b/>
        </w:rPr>
      </w:pPr>
    </w:p>
    <w:p w14:paraId="551FA93A" w14:textId="77777777" w:rsidR="00A61ECD" w:rsidRPr="006D5382" w:rsidRDefault="00DA1B98" w:rsidP="006D5382">
      <w:pPr>
        <w:spacing w:line="360" w:lineRule="auto"/>
        <w:rPr>
          <w:bCs/>
        </w:rPr>
      </w:pPr>
      <w:r w:rsidRPr="006D5382">
        <w:rPr>
          <w:bCs/>
        </w:rPr>
        <w:t>T</w:t>
      </w:r>
      <w:r w:rsidR="0005645F" w:rsidRPr="006D5382">
        <w:rPr>
          <w:bCs/>
        </w:rPr>
        <w:t>he</w:t>
      </w:r>
      <w:r w:rsidRPr="006D5382">
        <w:rPr>
          <w:bCs/>
        </w:rPr>
        <w:t xml:space="preserve"> itemised domain scores of papers according to Newcastle-Ottawa Quality Assessment Form for Cohort Studies. Note: A study can be given a maximum of one star for each numbered item within the Selection and Outcome categories. A maximum of two stars can be given for Comparability.</w:t>
      </w:r>
    </w:p>
    <w:p w14:paraId="3AABF9F3" w14:textId="77777777" w:rsidR="00DA1B98" w:rsidRPr="006D5382" w:rsidRDefault="00DA1B98" w:rsidP="006D5382">
      <w:pPr>
        <w:spacing w:line="360" w:lineRule="auto"/>
        <w:rPr>
          <w:b/>
        </w:rPr>
      </w:pPr>
    </w:p>
    <w:p w14:paraId="72A0BDFC" w14:textId="77777777" w:rsidR="00DA1B98" w:rsidRPr="006D5382" w:rsidRDefault="00DA1B98" w:rsidP="006D5382">
      <w:pPr>
        <w:spacing w:line="360" w:lineRule="auto"/>
        <w:rPr>
          <w:b/>
        </w:rPr>
      </w:pPr>
      <w:r w:rsidRPr="006D5382">
        <w:rPr>
          <w:b/>
        </w:rPr>
        <w:br w:type="page"/>
      </w:r>
    </w:p>
    <w:p w14:paraId="1BA55D2B" w14:textId="548F5580" w:rsidR="00DA1B98" w:rsidRPr="006D5382" w:rsidRDefault="00DA1B98" w:rsidP="006D5382">
      <w:pPr>
        <w:spacing w:line="360" w:lineRule="auto"/>
      </w:pPr>
      <w:r w:rsidRPr="006D5382">
        <w:rPr>
          <w:b/>
        </w:rPr>
        <w:lastRenderedPageBreak/>
        <w:t xml:space="preserve">Supplemental Digital Content 2, Table 4: </w:t>
      </w:r>
      <w:bookmarkStart w:id="2" w:name="_Hlk73291990"/>
      <w:r w:rsidRPr="006D5382">
        <w:t xml:space="preserve">Newcastle-Ottawa score </w:t>
      </w:r>
      <w:r w:rsidR="00F02B22" w:rsidRPr="006D5382">
        <w:t xml:space="preserve">breakdown </w:t>
      </w:r>
      <w:r w:rsidRPr="006D5382">
        <w:t>for each case-control/case series stud</w:t>
      </w:r>
      <w:bookmarkEnd w:id="2"/>
      <w:r w:rsidR="00D1106C" w:rsidRPr="006D5382">
        <w:t>y</w:t>
      </w:r>
    </w:p>
    <w:p w14:paraId="31F3EE66" w14:textId="77777777" w:rsidR="00DA1B98" w:rsidRPr="006D5382" w:rsidRDefault="00DA1B98" w:rsidP="006D5382">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06"/>
        <w:gridCol w:w="607"/>
        <w:gridCol w:w="607"/>
        <w:gridCol w:w="607"/>
        <w:gridCol w:w="607"/>
        <w:gridCol w:w="607"/>
        <w:gridCol w:w="607"/>
        <w:gridCol w:w="607"/>
        <w:gridCol w:w="607"/>
        <w:gridCol w:w="607"/>
        <w:gridCol w:w="723"/>
      </w:tblGrid>
      <w:tr w:rsidR="006D5382" w:rsidRPr="006D5382" w14:paraId="1631FA06" w14:textId="77777777" w:rsidTr="00DA1B98">
        <w:trPr>
          <w:cantSplit/>
          <w:trHeight w:val="2460"/>
        </w:trPr>
        <w:tc>
          <w:tcPr>
            <w:tcW w:w="708" w:type="pct"/>
            <w:shd w:val="clear" w:color="auto" w:fill="auto"/>
            <w:hideMark/>
          </w:tcPr>
          <w:p w14:paraId="760D863C" w14:textId="77777777" w:rsidR="00DA1B98" w:rsidRPr="006D5382" w:rsidRDefault="00DA1B98" w:rsidP="006D5382">
            <w:pPr>
              <w:spacing w:line="360" w:lineRule="auto"/>
              <w:rPr>
                <w:b/>
                <w:bCs/>
              </w:rPr>
            </w:pPr>
            <w:r w:rsidRPr="006D5382">
              <w:rPr>
                <w:b/>
                <w:bCs/>
              </w:rPr>
              <w:t>Authors</w:t>
            </w:r>
          </w:p>
        </w:tc>
        <w:tc>
          <w:tcPr>
            <w:tcW w:w="354" w:type="pct"/>
            <w:shd w:val="clear" w:color="auto" w:fill="auto"/>
            <w:noWrap/>
            <w:textDirection w:val="btLr"/>
            <w:hideMark/>
          </w:tcPr>
          <w:p w14:paraId="7FE39B10" w14:textId="77777777" w:rsidR="00DA1B98" w:rsidRPr="006D5382" w:rsidRDefault="00DA1B98" w:rsidP="006D5382">
            <w:pPr>
              <w:spacing w:line="360" w:lineRule="auto"/>
              <w:ind w:left="113" w:right="113"/>
            </w:pPr>
            <w:r w:rsidRPr="006D5382">
              <w:t>Is the case definition adequate?</w:t>
            </w:r>
          </w:p>
        </w:tc>
        <w:tc>
          <w:tcPr>
            <w:tcW w:w="541" w:type="pct"/>
            <w:shd w:val="clear" w:color="auto" w:fill="auto"/>
            <w:noWrap/>
            <w:textDirection w:val="btLr"/>
            <w:hideMark/>
          </w:tcPr>
          <w:p w14:paraId="59C0AAF9" w14:textId="77777777" w:rsidR="00DA1B98" w:rsidRPr="006D5382" w:rsidRDefault="00DA1B98" w:rsidP="006D5382">
            <w:pPr>
              <w:spacing w:line="360" w:lineRule="auto"/>
              <w:ind w:left="113" w:right="113"/>
            </w:pPr>
            <w:r w:rsidRPr="006D5382">
              <w:t xml:space="preserve">Representativeness of cases </w:t>
            </w:r>
          </w:p>
        </w:tc>
        <w:tc>
          <w:tcPr>
            <w:tcW w:w="354" w:type="pct"/>
            <w:shd w:val="clear" w:color="auto" w:fill="auto"/>
            <w:noWrap/>
            <w:textDirection w:val="btLr"/>
            <w:hideMark/>
          </w:tcPr>
          <w:p w14:paraId="4F6BFD87" w14:textId="77777777" w:rsidR="00DA1B98" w:rsidRPr="006D5382" w:rsidRDefault="00DA1B98" w:rsidP="006D5382">
            <w:pPr>
              <w:spacing w:line="360" w:lineRule="auto"/>
              <w:ind w:left="113" w:right="113"/>
            </w:pPr>
            <w:r w:rsidRPr="006D5382">
              <w:t xml:space="preserve">Selections of controls </w:t>
            </w:r>
          </w:p>
        </w:tc>
        <w:tc>
          <w:tcPr>
            <w:tcW w:w="424" w:type="pct"/>
            <w:shd w:val="clear" w:color="auto" w:fill="auto"/>
            <w:textDirection w:val="btLr"/>
            <w:hideMark/>
          </w:tcPr>
          <w:p w14:paraId="7CEA1388" w14:textId="77777777" w:rsidR="00DA1B98" w:rsidRPr="006D5382" w:rsidRDefault="00DA1B98" w:rsidP="006D5382">
            <w:pPr>
              <w:spacing w:line="360" w:lineRule="auto"/>
              <w:ind w:left="113" w:right="113"/>
            </w:pPr>
            <w:r w:rsidRPr="006D5382">
              <w:t xml:space="preserve">Definition of controls </w:t>
            </w:r>
          </w:p>
        </w:tc>
        <w:tc>
          <w:tcPr>
            <w:tcW w:w="354" w:type="pct"/>
            <w:shd w:val="clear" w:color="000000" w:fill="FFFF00"/>
            <w:noWrap/>
            <w:textDirection w:val="btLr"/>
            <w:hideMark/>
          </w:tcPr>
          <w:p w14:paraId="3AFC5366" w14:textId="77777777" w:rsidR="00DA1B98" w:rsidRPr="006D5382" w:rsidRDefault="00DA1B98" w:rsidP="006D5382">
            <w:pPr>
              <w:spacing w:line="360" w:lineRule="auto"/>
              <w:ind w:left="113" w:right="113"/>
              <w:rPr>
                <w:b/>
                <w:bCs/>
              </w:rPr>
            </w:pPr>
            <w:r w:rsidRPr="006D5382">
              <w:rPr>
                <w:b/>
                <w:bCs/>
              </w:rPr>
              <w:t xml:space="preserve">Selection Total </w:t>
            </w:r>
          </w:p>
        </w:tc>
        <w:tc>
          <w:tcPr>
            <w:tcW w:w="392" w:type="pct"/>
            <w:shd w:val="clear" w:color="000000" w:fill="92D050"/>
            <w:textDirection w:val="btLr"/>
            <w:hideMark/>
          </w:tcPr>
          <w:p w14:paraId="7D1847CB" w14:textId="77777777" w:rsidR="00DA1B98" w:rsidRPr="006D5382" w:rsidRDefault="00DA1B98" w:rsidP="006D5382">
            <w:pPr>
              <w:spacing w:line="360" w:lineRule="auto"/>
              <w:ind w:left="113" w:right="113"/>
            </w:pPr>
            <w:r w:rsidRPr="006D5382">
              <w:t xml:space="preserve">Comparability of cohorts on the basis of the design or analysis controlled for confounders </w:t>
            </w:r>
          </w:p>
        </w:tc>
        <w:tc>
          <w:tcPr>
            <w:tcW w:w="408" w:type="pct"/>
            <w:shd w:val="clear" w:color="auto" w:fill="auto"/>
            <w:textDirection w:val="btLr"/>
            <w:hideMark/>
          </w:tcPr>
          <w:p w14:paraId="27872B7C" w14:textId="77777777" w:rsidR="00DA1B98" w:rsidRPr="006D5382" w:rsidRDefault="00DA1B98" w:rsidP="006D5382">
            <w:pPr>
              <w:spacing w:line="360" w:lineRule="auto"/>
              <w:ind w:left="113" w:right="113"/>
            </w:pPr>
            <w:r w:rsidRPr="006D5382">
              <w:t xml:space="preserve">Ascertainment of exposure </w:t>
            </w:r>
          </w:p>
        </w:tc>
        <w:tc>
          <w:tcPr>
            <w:tcW w:w="402" w:type="pct"/>
            <w:shd w:val="clear" w:color="auto" w:fill="auto"/>
            <w:textDirection w:val="btLr"/>
            <w:hideMark/>
          </w:tcPr>
          <w:p w14:paraId="079C0DE4" w14:textId="77777777" w:rsidR="00DA1B98" w:rsidRPr="006D5382" w:rsidRDefault="00DA1B98" w:rsidP="006D5382">
            <w:pPr>
              <w:spacing w:line="360" w:lineRule="auto"/>
              <w:ind w:left="113" w:right="113"/>
            </w:pPr>
            <w:r w:rsidRPr="006D5382">
              <w:t xml:space="preserve">Same method of ascertainment for cases and control </w:t>
            </w:r>
          </w:p>
        </w:tc>
        <w:tc>
          <w:tcPr>
            <w:tcW w:w="354" w:type="pct"/>
            <w:shd w:val="clear" w:color="auto" w:fill="auto"/>
            <w:textDirection w:val="btLr"/>
            <w:hideMark/>
          </w:tcPr>
          <w:p w14:paraId="08CD8F24" w14:textId="77777777" w:rsidR="00DA1B98" w:rsidRPr="006D5382" w:rsidRDefault="00DA1B98" w:rsidP="006D5382">
            <w:pPr>
              <w:spacing w:line="360" w:lineRule="auto"/>
              <w:ind w:left="113" w:right="113"/>
            </w:pPr>
            <w:r w:rsidRPr="006D5382">
              <w:t xml:space="preserve">Non-Response Rate </w:t>
            </w:r>
          </w:p>
        </w:tc>
        <w:tc>
          <w:tcPr>
            <w:tcW w:w="354" w:type="pct"/>
            <w:shd w:val="clear" w:color="000000" w:fill="00B0F0"/>
            <w:noWrap/>
            <w:textDirection w:val="btLr"/>
            <w:hideMark/>
          </w:tcPr>
          <w:p w14:paraId="50F90B1B" w14:textId="77777777" w:rsidR="00DA1B98" w:rsidRPr="006D5382" w:rsidRDefault="00DA1B98" w:rsidP="006D5382">
            <w:pPr>
              <w:spacing w:line="360" w:lineRule="auto"/>
              <w:ind w:left="113" w:right="113"/>
            </w:pPr>
            <w:r w:rsidRPr="006D5382">
              <w:t xml:space="preserve">Outcome Total </w:t>
            </w:r>
          </w:p>
        </w:tc>
        <w:tc>
          <w:tcPr>
            <w:tcW w:w="354" w:type="pct"/>
            <w:shd w:val="clear" w:color="auto" w:fill="auto"/>
            <w:noWrap/>
            <w:textDirection w:val="btLr"/>
            <w:hideMark/>
          </w:tcPr>
          <w:p w14:paraId="7D2BD908" w14:textId="77777777" w:rsidR="00DA1B98" w:rsidRPr="006D5382" w:rsidRDefault="00DA1B98" w:rsidP="006D5382">
            <w:pPr>
              <w:spacing w:line="360" w:lineRule="auto"/>
              <w:ind w:left="113" w:right="113"/>
              <w:rPr>
                <w:b/>
                <w:bCs/>
              </w:rPr>
            </w:pPr>
            <w:r w:rsidRPr="006D5382">
              <w:rPr>
                <w:b/>
                <w:bCs/>
              </w:rPr>
              <w:t>Ratings</w:t>
            </w:r>
          </w:p>
        </w:tc>
      </w:tr>
      <w:tr w:rsidR="006D5382" w:rsidRPr="006D5382" w14:paraId="133DDD0D" w14:textId="77777777" w:rsidTr="00DA1B98">
        <w:trPr>
          <w:trHeight w:val="312"/>
        </w:trPr>
        <w:tc>
          <w:tcPr>
            <w:tcW w:w="708" w:type="pct"/>
            <w:shd w:val="clear" w:color="auto" w:fill="auto"/>
            <w:noWrap/>
            <w:vAlign w:val="bottom"/>
            <w:hideMark/>
          </w:tcPr>
          <w:p w14:paraId="1651843C" w14:textId="77777777" w:rsidR="00DA1B98" w:rsidRPr="006D5382" w:rsidRDefault="00DA1B98" w:rsidP="006D5382">
            <w:pPr>
              <w:spacing w:line="360" w:lineRule="auto"/>
            </w:pPr>
            <w:r w:rsidRPr="006D5382">
              <w:t xml:space="preserve">Honda M, </w:t>
            </w:r>
            <w:r w:rsidRPr="006D5382">
              <w:rPr>
                <w:i/>
              </w:rPr>
              <w:t>2010</w:t>
            </w:r>
            <w:r w:rsidRPr="006D5382">
              <w:rPr>
                <w:noProof/>
                <w:vertAlign w:val="superscript"/>
              </w:rPr>
              <w:t>58</w:t>
            </w:r>
          </w:p>
        </w:tc>
        <w:tc>
          <w:tcPr>
            <w:tcW w:w="354" w:type="pct"/>
            <w:shd w:val="clear" w:color="auto" w:fill="auto"/>
            <w:noWrap/>
            <w:hideMark/>
          </w:tcPr>
          <w:p w14:paraId="504AB349" w14:textId="77777777" w:rsidR="00DA1B98" w:rsidRPr="006D5382" w:rsidRDefault="00DA1B98" w:rsidP="006D5382">
            <w:pPr>
              <w:spacing w:line="360" w:lineRule="auto"/>
            </w:pPr>
            <w:r w:rsidRPr="006D5382">
              <w:t>1</w:t>
            </w:r>
          </w:p>
        </w:tc>
        <w:tc>
          <w:tcPr>
            <w:tcW w:w="541" w:type="pct"/>
            <w:shd w:val="clear" w:color="auto" w:fill="auto"/>
            <w:noWrap/>
            <w:hideMark/>
          </w:tcPr>
          <w:p w14:paraId="5CCCC7EB" w14:textId="77777777" w:rsidR="00DA1B98" w:rsidRPr="006D5382" w:rsidRDefault="00DA1B98" w:rsidP="006D5382">
            <w:pPr>
              <w:spacing w:line="360" w:lineRule="auto"/>
            </w:pPr>
            <w:r w:rsidRPr="006D5382">
              <w:t>1</w:t>
            </w:r>
          </w:p>
        </w:tc>
        <w:tc>
          <w:tcPr>
            <w:tcW w:w="354" w:type="pct"/>
            <w:shd w:val="clear" w:color="auto" w:fill="auto"/>
            <w:noWrap/>
            <w:hideMark/>
          </w:tcPr>
          <w:p w14:paraId="371E5864" w14:textId="77777777" w:rsidR="00DA1B98" w:rsidRPr="006D5382" w:rsidRDefault="00DA1B98" w:rsidP="006D5382">
            <w:pPr>
              <w:spacing w:line="360" w:lineRule="auto"/>
            </w:pPr>
            <w:r w:rsidRPr="006D5382">
              <w:t>1</w:t>
            </w:r>
          </w:p>
        </w:tc>
        <w:tc>
          <w:tcPr>
            <w:tcW w:w="424" w:type="pct"/>
            <w:shd w:val="clear" w:color="auto" w:fill="auto"/>
            <w:noWrap/>
            <w:hideMark/>
          </w:tcPr>
          <w:p w14:paraId="2231BBE3" w14:textId="77777777" w:rsidR="00DA1B98" w:rsidRPr="006D5382" w:rsidRDefault="00DA1B98" w:rsidP="006D5382">
            <w:pPr>
              <w:spacing w:line="360" w:lineRule="auto"/>
            </w:pPr>
            <w:r w:rsidRPr="006D5382">
              <w:t>1</w:t>
            </w:r>
          </w:p>
        </w:tc>
        <w:tc>
          <w:tcPr>
            <w:tcW w:w="354" w:type="pct"/>
            <w:shd w:val="clear" w:color="000000" w:fill="FFFF00"/>
            <w:noWrap/>
            <w:hideMark/>
          </w:tcPr>
          <w:p w14:paraId="6901B8D9" w14:textId="77777777" w:rsidR="00DA1B98" w:rsidRPr="006D5382" w:rsidRDefault="00DA1B98" w:rsidP="006D5382">
            <w:pPr>
              <w:spacing w:line="360" w:lineRule="auto"/>
            </w:pPr>
            <w:r w:rsidRPr="006D5382">
              <w:t>4</w:t>
            </w:r>
          </w:p>
        </w:tc>
        <w:tc>
          <w:tcPr>
            <w:tcW w:w="392" w:type="pct"/>
            <w:shd w:val="clear" w:color="000000" w:fill="92D050"/>
            <w:noWrap/>
            <w:hideMark/>
          </w:tcPr>
          <w:p w14:paraId="021D3E51" w14:textId="77777777" w:rsidR="00DA1B98" w:rsidRPr="006D5382" w:rsidRDefault="00DA1B98" w:rsidP="006D5382">
            <w:pPr>
              <w:spacing w:line="360" w:lineRule="auto"/>
            </w:pPr>
            <w:r w:rsidRPr="006D5382">
              <w:t>2</w:t>
            </w:r>
          </w:p>
        </w:tc>
        <w:tc>
          <w:tcPr>
            <w:tcW w:w="408" w:type="pct"/>
            <w:shd w:val="clear" w:color="auto" w:fill="auto"/>
            <w:noWrap/>
            <w:hideMark/>
          </w:tcPr>
          <w:p w14:paraId="36EC68F7" w14:textId="77777777" w:rsidR="00DA1B98" w:rsidRPr="006D5382" w:rsidRDefault="00DA1B98" w:rsidP="006D5382">
            <w:pPr>
              <w:spacing w:line="360" w:lineRule="auto"/>
            </w:pPr>
            <w:r w:rsidRPr="006D5382">
              <w:t>1</w:t>
            </w:r>
          </w:p>
        </w:tc>
        <w:tc>
          <w:tcPr>
            <w:tcW w:w="402" w:type="pct"/>
            <w:shd w:val="clear" w:color="auto" w:fill="auto"/>
            <w:noWrap/>
            <w:hideMark/>
          </w:tcPr>
          <w:p w14:paraId="2683A6C6" w14:textId="77777777" w:rsidR="00DA1B98" w:rsidRPr="006D5382" w:rsidRDefault="00DA1B98" w:rsidP="006D5382">
            <w:pPr>
              <w:spacing w:line="360" w:lineRule="auto"/>
            </w:pPr>
            <w:r w:rsidRPr="006D5382">
              <w:t>1</w:t>
            </w:r>
          </w:p>
        </w:tc>
        <w:tc>
          <w:tcPr>
            <w:tcW w:w="354" w:type="pct"/>
            <w:shd w:val="clear" w:color="auto" w:fill="auto"/>
            <w:noWrap/>
            <w:hideMark/>
          </w:tcPr>
          <w:p w14:paraId="23A1B8A6" w14:textId="77777777" w:rsidR="00DA1B98" w:rsidRPr="006D5382" w:rsidRDefault="00DA1B98" w:rsidP="006D5382">
            <w:pPr>
              <w:spacing w:line="360" w:lineRule="auto"/>
            </w:pPr>
            <w:r w:rsidRPr="006D5382">
              <w:t>1</w:t>
            </w:r>
          </w:p>
        </w:tc>
        <w:tc>
          <w:tcPr>
            <w:tcW w:w="354" w:type="pct"/>
            <w:shd w:val="clear" w:color="000000" w:fill="00B0F0"/>
            <w:noWrap/>
            <w:hideMark/>
          </w:tcPr>
          <w:p w14:paraId="0E356D0F" w14:textId="77777777" w:rsidR="00DA1B98" w:rsidRPr="006D5382" w:rsidRDefault="00DA1B98" w:rsidP="006D5382">
            <w:pPr>
              <w:spacing w:line="360" w:lineRule="auto"/>
            </w:pPr>
            <w:r w:rsidRPr="006D5382">
              <w:t>3</w:t>
            </w:r>
          </w:p>
        </w:tc>
        <w:tc>
          <w:tcPr>
            <w:tcW w:w="354" w:type="pct"/>
            <w:shd w:val="clear" w:color="auto" w:fill="auto"/>
            <w:noWrap/>
            <w:hideMark/>
          </w:tcPr>
          <w:p w14:paraId="32A58721" w14:textId="77777777" w:rsidR="00DA1B98" w:rsidRPr="006D5382" w:rsidRDefault="00DA1B98" w:rsidP="006D5382">
            <w:pPr>
              <w:spacing w:line="360" w:lineRule="auto"/>
              <w:rPr>
                <w:b/>
                <w:bCs/>
              </w:rPr>
            </w:pPr>
            <w:r w:rsidRPr="006D5382">
              <w:rPr>
                <w:b/>
                <w:bCs/>
              </w:rPr>
              <w:t xml:space="preserve">Good </w:t>
            </w:r>
          </w:p>
        </w:tc>
      </w:tr>
      <w:tr w:rsidR="006D5382" w:rsidRPr="006D5382" w14:paraId="5FAAF149" w14:textId="77777777" w:rsidTr="00DA1B98">
        <w:trPr>
          <w:trHeight w:val="312"/>
        </w:trPr>
        <w:tc>
          <w:tcPr>
            <w:tcW w:w="708" w:type="pct"/>
            <w:shd w:val="clear" w:color="auto" w:fill="auto"/>
            <w:noWrap/>
            <w:vAlign w:val="bottom"/>
            <w:hideMark/>
          </w:tcPr>
          <w:p w14:paraId="4755E9F4" w14:textId="77777777" w:rsidR="00DA1B98" w:rsidRPr="006D5382" w:rsidRDefault="00DA1B98" w:rsidP="006D5382">
            <w:pPr>
              <w:spacing w:line="360" w:lineRule="auto"/>
            </w:pPr>
            <w:proofErr w:type="spellStart"/>
            <w:r w:rsidRPr="006D5382">
              <w:t>Ljungqvist</w:t>
            </w:r>
            <w:proofErr w:type="spellEnd"/>
            <w:r w:rsidRPr="006D5382">
              <w:t xml:space="preserve"> J, </w:t>
            </w:r>
            <w:r w:rsidRPr="006D5382">
              <w:rPr>
                <w:i/>
              </w:rPr>
              <w:t>2017</w:t>
            </w:r>
            <w:r w:rsidRPr="006D5382">
              <w:rPr>
                <w:noProof/>
                <w:vertAlign w:val="superscript"/>
              </w:rPr>
              <w:t>59</w:t>
            </w:r>
          </w:p>
        </w:tc>
        <w:tc>
          <w:tcPr>
            <w:tcW w:w="354" w:type="pct"/>
            <w:shd w:val="clear" w:color="auto" w:fill="auto"/>
            <w:noWrap/>
            <w:hideMark/>
          </w:tcPr>
          <w:p w14:paraId="45FD1241" w14:textId="77777777" w:rsidR="00DA1B98" w:rsidRPr="006D5382" w:rsidRDefault="00DA1B98" w:rsidP="006D5382">
            <w:pPr>
              <w:spacing w:line="360" w:lineRule="auto"/>
            </w:pPr>
            <w:r w:rsidRPr="006D5382">
              <w:t>1</w:t>
            </w:r>
          </w:p>
        </w:tc>
        <w:tc>
          <w:tcPr>
            <w:tcW w:w="541" w:type="pct"/>
            <w:shd w:val="clear" w:color="auto" w:fill="auto"/>
            <w:noWrap/>
            <w:hideMark/>
          </w:tcPr>
          <w:p w14:paraId="18B20E93" w14:textId="77777777" w:rsidR="00DA1B98" w:rsidRPr="006D5382" w:rsidRDefault="00DA1B98" w:rsidP="006D5382">
            <w:pPr>
              <w:spacing w:line="360" w:lineRule="auto"/>
            </w:pPr>
            <w:r w:rsidRPr="006D5382">
              <w:t>0</w:t>
            </w:r>
          </w:p>
        </w:tc>
        <w:tc>
          <w:tcPr>
            <w:tcW w:w="354" w:type="pct"/>
            <w:shd w:val="clear" w:color="auto" w:fill="auto"/>
            <w:noWrap/>
            <w:hideMark/>
          </w:tcPr>
          <w:p w14:paraId="01E5D168" w14:textId="77777777" w:rsidR="00DA1B98" w:rsidRPr="006D5382" w:rsidRDefault="00DA1B98" w:rsidP="006D5382">
            <w:pPr>
              <w:spacing w:line="360" w:lineRule="auto"/>
            </w:pPr>
            <w:r w:rsidRPr="006D5382">
              <w:t>0</w:t>
            </w:r>
          </w:p>
        </w:tc>
        <w:tc>
          <w:tcPr>
            <w:tcW w:w="424" w:type="pct"/>
            <w:shd w:val="clear" w:color="auto" w:fill="auto"/>
            <w:noWrap/>
            <w:hideMark/>
          </w:tcPr>
          <w:p w14:paraId="689F3881" w14:textId="77777777" w:rsidR="00DA1B98" w:rsidRPr="006D5382" w:rsidRDefault="00DA1B98" w:rsidP="006D5382">
            <w:pPr>
              <w:spacing w:line="360" w:lineRule="auto"/>
            </w:pPr>
            <w:r w:rsidRPr="006D5382">
              <w:t>0</w:t>
            </w:r>
          </w:p>
        </w:tc>
        <w:tc>
          <w:tcPr>
            <w:tcW w:w="354" w:type="pct"/>
            <w:shd w:val="clear" w:color="000000" w:fill="FFFF00"/>
            <w:noWrap/>
            <w:hideMark/>
          </w:tcPr>
          <w:p w14:paraId="3F478FC5" w14:textId="77777777" w:rsidR="00DA1B98" w:rsidRPr="006D5382" w:rsidRDefault="00DA1B98" w:rsidP="006D5382">
            <w:pPr>
              <w:spacing w:line="360" w:lineRule="auto"/>
            </w:pPr>
            <w:r w:rsidRPr="006D5382">
              <w:t>1</w:t>
            </w:r>
          </w:p>
        </w:tc>
        <w:tc>
          <w:tcPr>
            <w:tcW w:w="392" w:type="pct"/>
            <w:shd w:val="clear" w:color="000000" w:fill="92D050"/>
            <w:noWrap/>
            <w:hideMark/>
          </w:tcPr>
          <w:p w14:paraId="3763606B" w14:textId="77777777" w:rsidR="00DA1B98" w:rsidRPr="006D5382" w:rsidRDefault="00DA1B98" w:rsidP="006D5382">
            <w:pPr>
              <w:spacing w:line="360" w:lineRule="auto"/>
            </w:pPr>
            <w:r w:rsidRPr="006D5382">
              <w:t>1</w:t>
            </w:r>
          </w:p>
        </w:tc>
        <w:tc>
          <w:tcPr>
            <w:tcW w:w="408" w:type="pct"/>
            <w:shd w:val="clear" w:color="auto" w:fill="auto"/>
            <w:noWrap/>
            <w:hideMark/>
          </w:tcPr>
          <w:p w14:paraId="7A76B944" w14:textId="77777777" w:rsidR="00DA1B98" w:rsidRPr="006D5382" w:rsidRDefault="00DA1B98" w:rsidP="006D5382">
            <w:pPr>
              <w:spacing w:line="360" w:lineRule="auto"/>
            </w:pPr>
            <w:r w:rsidRPr="006D5382">
              <w:t>1</w:t>
            </w:r>
          </w:p>
        </w:tc>
        <w:tc>
          <w:tcPr>
            <w:tcW w:w="402" w:type="pct"/>
            <w:shd w:val="clear" w:color="auto" w:fill="auto"/>
            <w:noWrap/>
            <w:hideMark/>
          </w:tcPr>
          <w:p w14:paraId="37AE6216" w14:textId="77777777" w:rsidR="00DA1B98" w:rsidRPr="006D5382" w:rsidRDefault="00DA1B98" w:rsidP="006D5382">
            <w:pPr>
              <w:spacing w:line="360" w:lineRule="auto"/>
            </w:pPr>
            <w:r w:rsidRPr="006D5382">
              <w:t>1</w:t>
            </w:r>
          </w:p>
        </w:tc>
        <w:tc>
          <w:tcPr>
            <w:tcW w:w="354" w:type="pct"/>
            <w:shd w:val="clear" w:color="auto" w:fill="auto"/>
            <w:noWrap/>
            <w:hideMark/>
          </w:tcPr>
          <w:p w14:paraId="37F5AD8D" w14:textId="77777777" w:rsidR="00DA1B98" w:rsidRPr="006D5382" w:rsidRDefault="00DA1B98" w:rsidP="006D5382">
            <w:pPr>
              <w:spacing w:line="360" w:lineRule="auto"/>
            </w:pPr>
            <w:r w:rsidRPr="006D5382">
              <w:t>0</w:t>
            </w:r>
          </w:p>
        </w:tc>
        <w:tc>
          <w:tcPr>
            <w:tcW w:w="354" w:type="pct"/>
            <w:shd w:val="clear" w:color="000000" w:fill="00B0F0"/>
            <w:noWrap/>
            <w:hideMark/>
          </w:tcPr>
          <w:p w14:paraId="670FBF9B" w14:textId="77777777" w:rsidR="00DA1B98" w:rsidRPr="006D5382" w:rsidRDefault="00DA1B98" w:rsidP="006D5382">
            <w:pPr>
              <w:spacing w:line="360" w:lineRule="auto"/>
            </w:pPr>
            <w:r w:rsidRPr="006D5382">
              <w:t>2</w:t>
            </w:r>
          </w:p>
        </w:tc>
        <w:tc>
          <w:tcPr>
            <w:tcW w:w="354" w:type="pct"/>
            <w:shd w:val="clear" w:color="auto" w:fill="auto"/>
            <w:noWrap/>
            <w:hideMark/>
          </w:tcPr>
          <w:p w14:paraId="62367ECA" w14:textId="77777777" w:rsidR="00DA1B98" w:rsidRPr="006D5382" w:rsidRDefault="00DA1B98" w:rsidP="006D5382">
            <w:pPr>
              <w:spacing w:line="360" w:lineRule="auto"/>
              <w:rPr>
                <w:b/>
                <w:bCs/>
              </w:rPr>
            </w:pPr>
            <w:r w:rsidRPr="006D5382">
              <w:rPr>
                <w:b/>
                <w:bCs/>
              </w:rPr>
              <w:t xml:space="preserve">Poor </w:t>
            </w:r>
          </w:p>
        </w:tc>
      </w:tr>
      <w:tr w:rsidR="006D5382" w:rsidRPr="006D5382" w14:paraId="72B64ABB" w14:textId="77777777" w:rsidTr="00DA1B98">
        <w:trPr>
          <w:trHeight w:val="312"/>
        </w:trPr>
        <w:tc>
          <w:tcPr>
            <w:tcW w:w="708" w:type="pct"/>
            <w:shd w:val="clear" w:color="auto" w:fill="auto"/>
            <w:noWrap/>
            <w:vAlign w:val="bottom"/>
            <w:hideMark/>
          </w:tcPr>
          <w:p w14:paraId="3BF7588F" w14:textId="77777777" w:rsidR="00DA1B98" w:rsidRPr="006D5382" w:rsidRDefault="00DA1B98" w:rsidP="006D5382">
            <w:pPr>
              <w:spacing w:line="360" w:lineRule="auto"/>
            </w:pPr>
            <w:proofErr w:type="spellStart"/>
            <w:r w:rsidRPr="006D5382">
              <w:t>Mondello</w:t>
            </w:r>
            <w:proofErr w:type="spellEnd"/>
            <w:r w:rsidRPr="006D5382">
              <w:t xml:space="preserve"> S, </w:t>
            </w:r>
            <w:r w:rsidRPr="006D5382">
              <w:rPr>
                <w:i/>
              </w:rPr>
              <w:t>2011</w:t>
            </w:r>
            <w:r w:rsidRPr="006D5382">
              <w:t xml:space="preserve"> (c)</w:t>
            </w:r>
            <w:r w:rsidRPr="006D5382">
              <w:rPr>
                <w:noProof/>
                <w:vertAlign w:val="superscript"/>
              </w:rPr>
              <w:t>60</w:t>
            </w:r>
          </w:p>
        </w:tc>
        <w:tc>
          <w:tcPr>
            <w:tcW w:w="354" w:type="pct"/>
            <w:shd w:val="clear" w:color="auto" w:fill="auto"/>
            <w:noWrap/>
            <w:hideMark/>
          </w:tcPr>
          <w:p w14:paraId="1B0D3407" w14:textId="77777777" w:rsidR="00DA1B98" w:rsidRPr="006D5382" w:rsidRDefault="00DA1B98" w:rsidP="006D5382">
            <w:pPr>
              <w:spacing w:line="360" w:lineRule="auto"/>
            </w:pPr>
            <w:r w:rsidRPr="006D5382">
              <w:t>0</w:t>
            </w:r>
          </w:p>
        </w:tc>
        <w:tc>
          <w:tcPr>
            <w:tcW w:w="541" w:type="pct"/>
            <w:shd w:val="clear" w:color="auto" w:fill="auto"/>
            <w:noWrap/>
            <w:hideMark/>
          </w:tcPr>
          <w:p w14:paraId="6491AE5B" w14:textId="77777777" w:rsidR="00DA1B98" w:rsidRPr="006D5382" w:rsidRDefault="00DA1B98" w:rsidP="006D5382">
            <w:pPr>
              <w:spacing w:line="360" w:lineRule="auto"/>
            </w:pPr>
            <w:r w:rsidRPr="006D5382">
              <w:t>1</w:t>
            </w:r>
          </w:p>
        </w:tc>
        <w:tc>
          <w:tcPr>
            <w:tcW w:w="354" w:type="pct"/>
            <w:shd w:val="clear" w:color="auto" w:fill="auto"/>
            <w:noWrap/>
            <w:hideMark/>
          </w:tcPr>
          <w:p w14:paraId="43DAD3A4" w14:textId="77777777" w:rsidR="00DA1B98" w:rsidRPr="006D5382" w:rsidRDefault="00DA1B98" w:rsidP="006D5382">
            <w:pPr>
              <w:spacing w:line="360" w:lineRule="auto"/>
            </w:pPr>
            <w:r w:rsidRPr="006D5382">
              <w:t>1</w:t>
            </w:r>
          </w:p>
        </w:tc>
        <w:tc>
          <w:tcPr>
            <w:tcW w:w="424" w:type="pct"/>
            <w:shd w:val="clear" w:color="auto" w:fill="auto"/>
            <w:noWrap/>
            <w:hideMark/>
          </w:tcPr>
          <w:p w14:paraId="3CF61AB6" w14:textId="77777777" w:rsidR="00DA1B98" w:rsidRPr="006D5382" w:rsidRDefault="00DA1B98" w:rsidP="006D5382">
            <w:pPr>
              <w:spacing w:line="360" w:lineRule="auto"/>
            </w:pPr>
            <w:r w:rsidRPr="006D5382">
              <w:t>0</w:t>
            </w:r>
          </w:p>
        </w:tc>
        <w:tc>
          <w:tcPr>
            <w:tcW w:w="354" w:type="pct"/>
            <w:shd w:val="clear" w:color="000000" w:fill="FFFF00"/>
            <w:noWrap/>
            <w:hideMark/>
          </w:tcPr>
          <w:p w14:paraId="486B93AE" w14:textId="77777777" w:rsidR="00DA1B98" w:rsidRPr="006D5382" w:rsidRDefault="00DA1B98" w:rsidP="006D5382">
            <w:pPr>
              <w:spacing w:line="360" w:lineRule="auto"/>
            </w:pPr>
            <w:r w:rsidRPr="006D5382">
              <w:t>2</w:t>
            </w:r>
          </w:p>
        </w:tc>
        <w:tc>
          <w:tcPr>
            <w:tcW w:w="392" w:type="pct"/>
            <w:shd w:val="clear" w:color="000000" w:fill="92D050"/>
            <w:noWrap/>
            <w:hideMark/>
          </w:tcPr>
          <w:p w14:paraId="620D52B3" w14:textId="77777777" w:rsidR="00DA1B98" w:rsidRPr="006D5382" w:rsidRDefault="00DA1B98" w:rsidP="006D5382">
            <w:pPr>
              <w:spacing w:line="360" w:lineRule="auto"/>
            </w:pPr>
            <w:r w:rsidRPr="006D5382">
              <w:t>2</w:t>
            </w:r>
          </w:p>
        </w:tc>
        <w:tc>
          <w:tcPr>
            <w:tcW w:w="408" w:type="pct"/>
            <w:shd w:val="clear" w:color="auto" w:fill="auto"/>
            <w:noWrap/>
            <w:hideMark/>
          </w:tcPr>
          <w:p w14:paraId="342A8AB9" w14:textId="77777777" w:rsidR="00DA1B98" w:rsidRPr="006D5382" w:rsidRDefault="00DA1B98" w:rsidP="006D5382">
            <w:pPr>
              <w:spacing w:line="360" w:lineRule="auto"/>
            </w:pPr>
            <w:r w:rsidRPr="006D5382">
              <w:t>1</w:t>
            </w:r>
          </w:p>
        </w:tc>
        <w:tc>
          <w:tcPr>
            <w:tcW w:w="402" w:type="pct"/>
            <w:shd w:val="clear" w:color="auto" w:fill="auto"/>
            <w:noWrap/>
            <w:hideMark/>
          </w:tcPr>
          <w:p w14:paraId="5F18B20C" w14:textId="77777777" w:rsidR="00DA1B98" w:rsidRPr="006D5382" w:rsidRDefault="00DA1B98" w:rsidP="006D5382">
            <w:pPr>
              <w:spacing w:line="360" w:lineRule="auto"/>
            </w:pPr>
            <w:r w:rsidRPr="006D5382">
              <w:t>1</w:t>
            </w:r>
          </w:p>
        </w:tc>
        <w:tc>
          <w:tcPr>
            <w:tcW w:w="354" w:type="pct"/>
            <w:shd w:val="clear" w:color="auto" w:fill="auto"/>
            <w:noWrap/>
            <w:hideMark/>
          </w:tcPr>
          <w:p w14:paraId="51736434" w14:textId="77777777" w:rsidR="00DA1B98" w:rsidRPr="006D5382" w:rsidRDefault="00DA1B98" w:rsidP="006D5382">
            <w:pPr>
              <w:spacing w:line="360" w:lineRule="auto"/>
            </w:pPr>
            <w:r w:rsidRPr="006D5382">
              <w:t>1</w:t>
            </w:r>
          </w:p>
        </w:tc>
        <w:tc>
          <w:tcPr>
            <w:tcW w:w="354" w:type="pct"/>
            <w:shd w:val="clear" w:color="000000" w:fill="00B0F0"/>
            <w:noWrap/>
            <w:hideMark/>
          </w:tcPr>
          <w:p w14:paraId="52D803AB" w14:textId="77777777" w:rsidR="00DA1B98" w:rsidRPr="006D5382" w:rsidRDefault="00DA1B98" w:rsidP="006D5382">
            <w:pPr>
              <w:spacing w:line="360" w:lineRule="auto"/>
            </w:pPr>
            <w:r w:rsidRPr="006D5382">
              <w:t>3</w:t>
            </w:r>
          </w:p>
        </w:tc>
        <w:tc>
          <w:tcPr>
            <w:tcW w:w="354" w:type="pct"/>
            <w:shd w:val="clear" w:color="auto" w:fill="auto"/>
            <w:noWrap/>
            <w:hideMark/>
          </w:tcPr>
          <w:p w14:paraId="44119CB9" w14:textId="77777777" w:rsidR="00DA1B98" w:rsidRPr="006D5382" w:rsidRDefault="00DA1B98" w:rsidP="006D5382">
            <w:pPr>
              <w:spacing w:line="360" w:lineRule="auto"/>
              <w:rPr>
                <w:b/>
                <w:bCs/>
              </w:rPr>
            </w:pPr>
            <w:r w:rsidRPr="006D5382">
              <w:rPr>
                <w:b/>
                <w:bCs/>
              </w:rPr>
              <w:t xml:space="preserve">Fair </w:t>
            </w:r>
          </w:p>
        </w:tc>
      </w:tr>
      <w:tr w:rsidR="006D5382" w:rsidRPr="006D5382" w14:paraId="0BEA143A" w14:textId="77777777" w:rsidTr="00DA1B98">
        <w:trPr>
          <w:trHeight w:val="312"/>
        </w:trPr>
        <w:tc>
          <w:tcPr>
            <w:tcW w:w="708" w:type="pct"/>
            <w:shd w:val="clear" w:color="auto" w:fill="auto"/>
            <w:noWrap/>
            <w:vAlign w:val="bottom"/>
            <w:hideMark/>
          </w:tcPr>
          <w:p w14:paraId="565DECDB" w14:textId="77777777" w:rsidR="00DA1B98" w:rsidRPr="006D5382" w:rsidRDefault="00DA1B98" w:rsidP="006D5382">
            <w:pPr>
              <w:spacing w:line="360" w:lineRule="auto"/>
            </w:pPr>
            <w:proofErr w:type="spellStart"/>
            <w:r w:rsidRPr="006D5382">
              <w:t>Pleines</w:t>
            </w:r>
            <w:proofErr w:type="spellEnd"/>
            <w:r w:rsidRPr="006D5382">
              <w:t xml:space="preserve">, UE </w:t>
            </w:r>
            <w:r w:rsidRPr="006D5382">
              <w:rPr>
                <w:i/>
              </w:rPr>
              <w:t>2001</w:t>
            </w:r>
            <w:r w:rsidRPr="006D5382">
              <w:rPr>
                <w:noProof/>
                <w:vertAlign w:val="superscript"/>
              </w:rPr>
              <w:t>61</w:t>
            </w:r>
          </w:p>
        </w:tc>
        <w:tc>
          <w:tcPr>
            <w:tcW w:w="354" w:type="pct"/>
            <w:shd w:val="clear" w:color="auto" w:fill="auto"/>
            <w:noWrap/>
            <w:hideMark/>
          </w:tcPr>
          <w:p w14:paraId="6C547063" w14:textId="77777777" w:rsidR="00DA1B98" w:rsidRPr="006D5382" w:rsidRDefault="00DA1B98" w:rsidP="006D5382">
            <w:pPr>
              <w:spacing w:line="360" w:lineRule="auto"/>
            </w:pPr>
            <w:r w:rsidRPr="006D5382">
              <w:t>1</w:t>
            </w:r>
          </w:p>
        </w:tc>
        <w:tc>
          <w:tcPr>
            <w:tcW w:w="541" w:type="pct"/>
            <w:shd w:val="clear" w:color="auto" w:fill="auto"/>
            <w:noWrap/>
            <w:hideMark/>
          </w:tcPr>
          <w:p w14:paraId="7E687634" w14:textId="77777777" w:rsidR="00DA1B98" w:rsidRPr="006D5382" w:rsidRDefault="00DA1B98" w:rsidP="006D5382">
            <w:pPr>
              <w:spacing w:line="360" w:lineRule="auto"/>
            </w:pPr>
            <w:r w:rsidRPr="006D5382">
              <w:t>0</w:t>
            </w:r>
          </w:p>
        </w:tc>
        <w:tc>
          <w:tcPr>
            <w:tcW w:w="354" w:type="pct"/>
            <w:shd w:val="clear" w:color="auto" w:fill="auto"/>
            <w:noWrap/>
            <w:hideMark/>
          </w:tcPr>
          <w:p w14:paraId="088BACFE" w14:textId="77777777" w:rsidR="00DA1B98" w:rsidRPr="006D5382" w:rsidRDefault="00DA1B98" w:rsidP="006D5382">
            <w:pPr>
              <w:spacing w:line="360" w:lineRule="auto"/>
            </w:pPr>
            <w:r w:rsidRPr="006D5382">
              <w:t>0</w:t>
            </w:r>
          </w:p>
        </w:tc>
        <w:tc>
          <w:tcPr>
            <w:tcW w:w="424" w:type="pct"/>
            <w:shd w:val="clear" w:color="auto" w:fill="auto"/>
            <w:noWrap/>
            <w:hideMark/>
          </w:tcPr>
          <w:p w14:paraId="717848BD" w14:textId="77777777" w:rsidR="00DA1B98" w:rsidRPr="006D5382" w:rsidRDefault="00DA1B98" w:rsidP="006D5382">
            <w:pPr>
              <w:spacing w:line="360" w:lineRule="auto"/>
            </w:pPr>
            <w:r w:rsidRPr="006D5382">
              <w:t>0</w:t>
            </w:r>
          </w:p>
        </w:tc>
        <w:tc>
          <w:tcPr>
            <w:tcW w:w="354" w:type="pct"/>
            <w:shd w:val="clear" w:color="000000" w:fill="FFFF00"/>
            <w:noWrap/>
            <w:hideMark/>
          </w:tcPr>
          <w:p w14:paraId="2E8B6AE7" w14:textId="77777777" w:rsidR="00DA1B98" w:rsidRPr="006D5382" w:rsidRDefault="00DA1B98" w:rsidP="006D5382">
            <w:pPr>
              <w:spacing w:line="360" w:lineRule="auto"/>
            </w:pPr>
            <w:r w:rsidRPr="006D5382">
              <w:t>1</w:t>
            </w:r>
          </w:p>
        </w:tc>
        <w:tc>
          <w:tcPr>
            <w:tcW w:w="392" w:type="pct"/>
            <w:shd w:val="clear" w:color="000000" w:fill="92D050"/>
            <w:noWrap/>
            <w:hideMark/>
          </w:tcPr>
          <w:p w14:paraId="3590FDA7" w14:textId="77777777" w:rsidR="00DA1B98" w:rsidRPr="006D5382" w:rsidRDefault="00DA1B98" w:rsidP="006D5382">
            <w:pPr>
              <w:spacing w:line="360" w:lineRule="auto"/>
            </w:pPr>
            <w:r w:rsidRPr="006D5382">
              <w:t>1</w:t>
            </w:r>
          </w:p>
        </w:tc>
        <w:tc>
          <w:tcPr>
            <w:tcW w:w="408" w:type="pct"/>
            <w:shd w:val="clear" w:color="auto" w:fill="auto"/>
            <w:noWrap/>
            <w:hideMark/>
          </w:tcPr>
          <w:p w14:paraId="165FD26D" w14:textId="77777777" w:rsidR="00DA1B98" w:rsidRPr="006D5382" w:rsidRDefault="00DA1B98" w:rsidP="006D5382">
            <w:pPr>
              <w:spacing w:line="360" w:lineRule="auto"/>
            </w:pPr>
            <w:r w:rsidRPr="006D5382">
              <w:t>1</w:t>
            </w:r>
          </w:p>
        </w:tc>
        <w:tc>
          <w:tcPr>
            <w:tcW w:w="402" w:type="pct"/>
            <w:shd w:val="clear" w:color="auto" w:fill="auto"/>
            <w:noWrap/>
            <w:hideMark/>
          </w:tcPr>
          <w:p w14:paraId="75186281" w14:textId="77777777" w:rsidR="00DA1B98" w:rsidRPr="006D5382" w:rsidRDefault="00DA1B98" w:rsidP="006D5382">
            <w:pPr>
              <w:spacing w:line="360" w:lineRule="auto"/>
            </w:pPr>
            <w:r w:rsidRPr="006D5382">
              <w:t>0</w:t>
            </w:r>
          </w:p>
        </w:tc>
        <w:tc>
          <w:tcPr>
            <w:tcW w:w="354" w:type="pct"/>
            <w:shd w:val="clear" w:color="auto" w:fill="auto"/>
            <w:noWrap/>
            <w:hideMark/>
          </w:tcPr>
          <w:p w14:paraId="4387F6EF" w14:textId="77777777" w:rsidR="00DA1B98" w:rsidRPr="006D5382" w:rsidRDefault="00DA1B98" w:rsidP="006D5382">
            <w:pPr>
              <w:spacing w:line="360" w:lineRule="auto"/>
            </w:pPr>
            <w:r w:rsidRPr="006D5382">
              <w:t>1</w:t>
            </w:r>
          </w:p>
        </w:tc>
        <w:tc>
          <w:tcPr>
            <w:tcW w:w="354" w:type="pct"/>
            <w:shd w:val="clear" w:color="000000" w:fill="00B0F0"/>
            <w:noWrap/>
            <w:hideMark/>
          </w:tcPr>
          <w:p w14:paraId="52190345" w14:textId="77777777" w:rsidR="00DA1B98" w:rsidRPr="006D5382" w:rsidRDefault="00DA1B98" w:rsidP="006D5382">
            <w:pPr>
              <w:spacing w:line="360" w:lineRule="auto"/>
            </w:pPr>
            <w:r w:rsidRPr="006D5382">
              <w:t>2</w:t>
            </w:r>
          </w:p>
        </w:tc>
        <w:tc>
          <w:tcPr>
            <w:tcW w:w="354" w:type="pct"/>
            <w:shd w:val="clear" w:color="auto" w:fill="auto"/>
            <w:noWrap/>
            <w:hideMark/>
          </w:tcPr>
          <w:p w14:paraId="249F3CBE" w14:textId="77777777" w:rsidR="00DA1B98" w:rsidRPr="006D5382" w:rsidRDefault="00DA1B98" w:rsidP="006D5382">
            <w:pPr>
              <w:spacing w:line="360" w:lineRule="auto"/>
              <w:rPr>
                <w:b/>
                <w:bCs/>
              </w:rPr>
            </w:pPr>
            <w:r w:rsidRPr="006D5382">
              <w:rPr>
                <w:b/>
                <w:bCs/>
              </w:rPr>
              <w:t xml:space="preserve">Poor </w:t>
            </w:r>
          </w:p>
        </w:tc>
      </w:tr>
    </w:tbl>
    <w:p w14:paraId="2E16A853" w14:textId="77777777" w:rsidR="00DA1B98" w:rsidRPr="006D5382" w:rsidRDefault="00DA1B98" w:rsidP="006D5382">
      <w:pPr>
        <w:spacing w:line="360" w:lineRule="auto"/>
        <w:rPr>
          <w:bCs/>
        </w:rPr>
      </w:pPr>
    </w:p>
    <w:p w14:paraId="364434EC" w14:textId="77777777" w:rsidR="00F02B22" w:rsidRPr="006D5382" w:rsidRDefault="0005645F" w:rsidP="006D5382">
      <w:pPr>
        <w:spacing w:line="360" w:lineRule="auto"/>
        <w:rPr>
          <w:bCs/>
        </w:rPr>
        <w:sectPr w:rsidR="00F02B22" w:rsidRPr="006D5382" w:rsidSect="006D5382">
          <w:pgSz w:w="11900" w:h="16840"/>
          <w:pgMar w:top="1440" w:right="1440" w:bottom="1440" w:left="1440" w:header="720" w:footer="720" w:gutter="0"/>
          <w:cols w:space="720"/>
          <w:docGrid w:linePitch="360"/>
        </w:sectPr>
      </w:pPr>
      <w:r w:rsidRPr="006D5382">
        <w:rPr>
          <w:bCs/>
        </w:rPr>
        <w:t>The itemised domain scores of papers according to Newcastle-Ottawa Quality Assessment Form for Case Control/Case Series studies. Note: A study can be given a maximum of one star for each numbered item within the Selection and Outcome categories. A maximum of two stars can be given for Comparability.</w:t>
      </w:r>
    </w:p>
    <w:p w14:paraId="71AF011F" w14:textId="77777777" w:rsidR="00C6508A" w:rsidRPr="006D5382" w:rsidRDefault="00F5593D" w:rsidP="006D5382">
      <w:pPr>
        <w:spacing w:line="360" w:lineRule="auto"/>
        <w:rPr>
          <w:b/>
        </w:rPr>
      </w:pPr>
      <w:r w:rsidRPr="006D5382">
        <w:rPr>
          <w:b/>
        </w:rPr>
        <w:lastRenderedPageBreak/>
        <w:t xml:space="preserve">Supplemental Digital Content </w:t>
      </w:r>
      <w:r w:rsidR="007931E8" w:rsidRPr="006D5382">
        <w:rPr>
          <w:b/>
        </w:rPr>
        <w:t>2</w:t>
      </w:r>
      <w:r w:rsidRPr="006D5382">
        <w:rPr>
          <w:b/>
        </w:rPr>
        <w:t xml:space="preserve">. </w:t>
      </w:r>
      <w:r w:rsidR="00C6508A" w:rsidRPr="006D5382">
        <w:rPr>
          <w:b/>
        </w:rPr>
        <w:t>References</w:t>
      </w:r>
    </w:p>
    <w:p w14:paraId="61CAF5B9" w14:textId="77777777" w:rsidR="00C6508A" w:rsidRPr="006D5382" w:rsidRDefault="00C6508A" w:rsidP="006D5382">
      <w:pPr>
        <w:spacing w:line="360" w:lineRule="auto"/>
      </w:pPr>
    </w:p>
    <w:p w14:paraId="4241B6F6"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1. </w:t>
      </w:r>
      <w:r w:rsidRPr="006D5382">
        <w:rPr>
          <w:noProof/>
        </w:rPr>
        <w:tab/>
        <w:t>Higgins J, Green S. Cochrane Handbook for Systematic Reviews of Interventions - Version 5.1.0. Cochrane Collab., Appendix. www.cochrane-handbook.org. Published 2011. Accessed April 5, 2020.</w:t>
      </w:r>
    </w:p>
    <w:p w14:paraId="6E14E5C3"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2. </w:t>
      </w:r>
      <w:r w:rsidRPr="006D5382">
        <w:rPr>
          <w:noProof/>
        </w:rPr>
        <w:tab/>
        <w:t>Wells G, Shea B, O’Connell D, et al. The Newcastle-Ottawa Scale (NOS) for assessing the quality of nonrandomised studies in meta-analyses. The Ottawa Hospital Research Institute. http://www.ohri.ca/programs/clinical_epidemiology/oxford.htm. Published 2019. Accessed April 5, 2020.</w:t>
      </w:r>
    </w:p>
    <w:p w14:paraId="32BF6759"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3. </w:t>
      </w:r>
      <w:r w:rsidRPr="006D5382">
        <w:rPr>
          <w:noProof/>
        </w:rPr>
        <w:tab/>
        <w:t xml:space="preserve">Abbasi M, Sajjadi M, Fathi M, Maghsoudi M. Serum S100B protein as an outcome prediction tool in emergency department patients with traumatic brain injury. </w:t>
      </w:r>
      <w:r w:rsidRPr="006D5382">
        <w:rPr>
          <w:i/>
          <w:iCs/>
          <w:noProof/>
        </w:rPr>
        <w:t>Turkiye Acil Tip Derg</w:t>
      </w:r>
      <w:r w:rsidRPr="006D5382">
        <w:rPr>
          <w:noProof/>
        </w:rPr>
        <w:t>. 2014;14(4):147-152. doi:10.5505/1304.7361.2014.74317</w:t>
      </w:r>
    </w:p>
    <w:p w14:paraId="73EC7E65" w14:textId="77777777" w:rsidR="00DA1B98" w:rsidRPr="006D5382" w:rsidRDefault="00DA1B98" w:rsidP="006D5382">
      <w:pPr>
        <w:widowControl w:val="0"/>
        <w:autoSpaceDE w:val="0"/>
        <w:autoSpaceDN w:val="0"/>
        <w:adjustRightInd w:val="0"/>
        <w:spacing w:line="360" w:lineRule="auto"/>
        <w:ind w:left="640" w:hanging="640"/>
        <w:rPr>
          <w:noProof/>
          <w:lang w:val="fr-FR"/>
        </w:rPr>
      </w:pPr>
      <w:r w:rsidRPr="006D5382">
        <w:rPr>
          <w:noProof/>
        </w:rPr>
        <w:t xml:space="preserve">4. </w:t>
      </w:r>
      <w:r w:rsidRPr="006D5382">
        <w:rPr>
          <w:noProof/>
        </w:rPr>
        <w:tab/>
        <w:t xml:space="preserve">Al Nimer F, Thelin E, Nyström H, et al. Comparative assessment of the prognostic value of biomarkers in traumatic brain injury reveals an independent role for serum levels of neurofilament light. </w:t>
      </w:r>
      <w:r w:rsidRPr="006D5382">
        <w:rPr>
          <w:i/>
          <w:iCs/>
          <w:noProof/>
          <w:lang w:val="fr-FR"/>
        </w:rPr>
        <w:t>PLoS One</w:t>
      </w:r>
      <w:r w:rsidRPr="006D5382">
        <w:rPr>
          <w:noProof/>
          <w:lang w:val="fr-FR"/>
        </w:rPr>
        <w:t>. 2015;10(7):e0132177. doi:10.1371/journal.pone.0132177</w:t>
      </w:r>
    </w:p>
    <w:p w14:paraId="52B9EA51"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lang w:val="fr-FR"/>
        </w:rPr>
        <w:t xml:space="preserve">5. </w:t>
      </w:r>
      <w:r w:rsidRPr="006D5382">
        <w:rPr>
          <w:noProof/>
          <w:lang w:val="fr-FR"/>
        </w:rPr>
        <w:tab/>
        <w:t xml:space="preserve">Bogoslovsky T, Wilson D, Chen Y, et al. </w:t>
      </w:r>
      <w:r w:rsidRPr="006D5382">
        <w:rPr>
          <w:noProof/>
        </w:rPr>
        <w:t xml:space="preserve">Increases of plasma levels of glial fibrillary acidic protein, tau, and amyloid β up to 90 days after traumatic brain injury. </w:t>
      </w:r>
      <w:r w:rsidRPr="006D5382">
        <w:rPr>
          <w:i/>
          <w:iCs/>
          <w:noProof/>
        </w:rPr>
        <w:t>J Neurotrauma</w:t>
      </w:r>
      <w:r w:rsidRPr="006D5382">
        <w:rPr>
          <w:noProof/>
        </w:rPr>
        <w:t>. 2017;34(1):66-73. doi:10.1089/neu.2015.4333</w:t>
      </w:r>
    </w:p>
    <w:p w14:paraId="415F088E" w14:textId="77777777" w:rsidR="00DA1B98" w:rsidRPr="006D5382" w:rsidRDefault="00DA1B98" w:rsidP="006D5382">
      <w:pPr>
        <w:widowControl w:val="0"/>
        <w:autoSpaceDE w:val="0"/>
        <w:autoSpaceDN w:val="0"/>
        <w:adjustRightInd w:val="0"/>
        <w:spacing w:line="360" w:lineRule="auto"/>
        <w:ind w:left="640" w:hanging="640"/>
        <w:rPr>
          <w:noProof/>
          <w:lang w:val="it-IT"/>
        </w:rPr>
      </w:pPr>
      <w:r w:rsidRPr="006D5382">
        <w:rPr>
          <w:noProof/>
        </w:rPr>
        <w:t xml:space="preserve">6. </w:t>
      </w:r>
      <w:r w:rsidRPr="006D5382">
        <w:rPr>
          <w:noProof/>
        </w:rPr>
        <w:tab/>
        <w:t xml:space="preserve">Carabias CS, Gomez PA, Panero I, et al. Chitinase-3-Like Protein 1, Serum Amyloid A1, C-Reactive Protein, and Procalcitonin Are Promising Biomarkers for Intracranial Severity Assessment of Traumatic Brain Injury: Relationship with Glasgow Coma Scale and Computed Tomography Volumetry. </w:t>
      </w:r>
      <w:r w:rsidRPr="006D5382">
        <w:rPr>
          <w:i/>
          <w:iCs/>
          <w:noProof/>
          <w:lang w:val="it-IT"/>
        </w:rPr>
        <w:t>World Neurosurg</w:t>
      </w:r>
      <w:r w:rsidRPr="006D5382">
        <w:rPr>
          <w:noProof/>
          <w:lang w:val="it-IT"/>
        </w:rPr>
        <w:t>. 2020;134:e120-e143. doi:10.1016/j.wneu.2019.09.143</w:t>
      </w:r>
    </w:p>
    <w:p w14:paraId="75D81556" w14:textId="77777777" w:rsidR="00DA1B98" w:rsidRPr="006D5382" w:rsidRDefault="00DA1B98" w:rsidP="006D5382">
      <w:pPr>
        <w:widowControl w:val="0"/>
        <w:autoSpaceDE w:val="0"/>
        <w:autoSpaceDN w:val="0"/>
        <w:adjustRightInd w:val="0"/>
        <w:spacing w:line="360" w:lineRule="auto"/>
        <w:ind w:left="640" w:hanging="640"/>
        <w:rPr>
          <w:noProof/>
          <w:lang w:val="de-DE"/>
        </w:rPr>
      </w:pPr>
      <w:r w:rsidRPr="006D5382">
        <w:rPr>
          <w:noProof/>
          <w:lang w:val="it-IT"/>
        </w:rPr>
        <w:t xml:space="preserve">7. </w:t>
      </w:r>
      <w:r w:rsidRPr="006D5382">
        <w:rPr>
          <w:noProof/>
          <w:lang w:val="it-IT"/>
        </w:rPr>
        <w:tab/>
        <w:t xml:space="preserve">Castello LM, Salmi L, Zanotti I, et al. </w:t>
      </w:r>
      <w:r w:rsidRPr="006D5382">
        <w:rPr>
          <w:noProof/>
        </w:rPr>
        <w:t xml:space="preserve">The increase in copeptin levels in mild head trauma does not predict the severity and the outcome of brain damage. </w:t>
      </w:r>
      <w:r w:rsidRPr="006D5382">
        <w:rPr>
          <w:i/>
          <w:iCs/>
          <w:noProof/>
          <w:lang w:val="de-DE"/>
        </w:rPr>
        <w:t>Biomark Med</w:t>
      </w:r>
      <w:r w:rsidRPr="006D5382">
        <w:rPr>
          <w:noProof/>
          <w:lang w:val="de-DE"/>
        </w:rPr>
        <w:t>. 2018;12(6):555-563. doi:10.2217/bmm-2018-0041</w:t>
      </w:r>
    </w:p>
    <w:p w14:paraId="7DB777B4"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lang w:val="de-DE"/>
        </w:rPr>
        <w:t xml:space="preserve">8. </w:t>
      </w:r>
      <w:r w:rsidRPr="006D5382">
        <w:rPr>
          <w:noProof/>
          <w:lang w:val="de-DE"/>
        </w:rPr>
        <w:tab/>
        <w:t xml:space="preserve">De Oliveira CO, Reimer AG, Da Rocha AB, et al. </w:t>
      </w:r>
      <w:r w:rsidRPr="006D5382">
        <w:rPr>
          <w:noProof/>
        </w:rPr>
        <w:t xml:space="preserve">Plasma von Willebrand factor levels correlate with clinical outcome of severe traumatic brain injury. </w:t>
      </w:r>
      <w:r w:rsidRPr="006D5382">
        <w:rPr>
          <w:i/>
          <w:iCs/>
          <w:noProof/>
        </w:rPr>
        <w:t>J Neurotrauma</w:t>
      </w:r>
      <w:r w:rsidRPr="006D5382">
        <w:rPr>
          <w:noProof/>
        </w:rPr>
        <w:t>. 2007;24(8):1331-1338. doi:10.1089/neu.2006.0159</w:t>
      </w:r>
    </w:p>
    <w:p w14:paraId="02783126"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9. </w:t>
      </w:r>
      <w:r w:rsidRPr="006D5382">
        <w:rPr>
          <w:noProof/>
        </w:rPr>
        <w:tab/>
        <w:t xml:space="preserve">Dickens AM, Posti JP, Takala RSK, et al. Serum Metabolites Associated with Computed Tomography Findings after Traumatic Brain Injury. </w:t>
      </w:r>
      <w:r w:rsidRPr="006D5382">
        <w:rPr>
          <w:i/>
          <w:iCs/>
          <w:noProof/>
        </w:rPr>
        <w:t>J Neurotrauma</w:t>
      </w:r>
      <w:r w:rsidRPr="006D5382">
        <w:rPr>
          <w:noProof/>
        </w:rPr>
        <w:t>. 2018;35(22):2673-2683. doi:10.1089/neu.2017.5272</w:t>
      </w:r>
    </w:p>
    <w:p w14:paraId="580242EA"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10. </w:t>
      </w:r>
      <w:r w:rsidRPr="006D5382">
        <w:rPr>
          <w:noProof/>
        </w:rPr>
        <w:tab/>
        <w:t xml:space="preserve">Egea-Guerrero JJ, Revuelto-Rey J, Murillo-Cabezas F, et al. Accuracy of the S100β </w:t>
      </w:r>
      <w:r w:rsidRPr="006D5382">
        <w:rPr>
          <w:noProof/>
        </w:rPr>
        <w:lastRenderedPageBreak/>
        <w:t xml:space="preserve">protein as a marker of brain damage in traumatic brain injury. </w:t>
      </w:r>
      <w:r w:rsidRPr="006D5382">
        <w:rPr>
          <w:i/>
          <w:iCs/>
          <w:noProof/>
        </w:rPr>
        <w:t>Brain Inj</w:t>
      </w:r>
      <w:r w:rsidRPr="006D5382">
        <w:rPr>
          <w:noProof/>
        </w:rPr>
        <w:t>. 2012;26(1):76-82. doi:10.3109/02699052.2011.635360</w:t>
      </w:r>
    </w:p>
    <w:p w14:paraId="69CDE91E"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11. </w:t>
      </w:r>
      <w:r w:rsidRPr="006D5382">
        <w:rPr>
          <w:noProof/>
        </w:rPr>
        <w:tab/>
        <w:t xml:space="preserve">Egea-Guerrero JJ, Rodríguez-Rodríguez A, Quintana-Díaz M, et al. Validation of S100B use in a cohort of Spanish patients with mild traumatic brain injury: a multicentre study. </w:t>
      </w:r>
      <w:r w:rsidRPr="006D5382">
        <w:rPr>
          <w:i/>
          <w:iCs/>
          <w:noProof/>
        </w:rPr>
        <w:t>Brain Inj</w:t>
      </w:r>
      <w:r w:rsidRPr="006D5382">
        <w:rPr>
          <w:noProof/>
        </w:rPr>
        <w:t>. 2018;32(4):459-463. doi:10.1080/02699052.2018.1429019</w:t>
      </w:r>
    </w:p>
    <w:p w14:paraId="1B751A23"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12. </w:t>
      </w:r>
      <w:r w:rsidRPr="006D5382">
        <w:rPr>
          <w:noProof/>
        </w:rPr>
        <w:tab/>
        <w:t xml:space="preserve">Faulkinberry S, Wang K., Yang Z, Li X, Kerrigan M, Ghosh S. Tau as a potential biomarker for prognosis and diagnosis of pediatric traumatic brain injury. </w:t>
      </w:r>
      <w:r w:rsidRPr="006D5382">
        <w:rPr>
          <w:i/>
          <w:iCs/>
          <w:noProof/>
        </w:rPr>
        <w:t>J Neurotrauma</w:t>
      </w:r>
      <w:r w:rsidRPr="006D5382">
        <w:rPr>
          <w:noProof/>
        </w:rPr>
        <w:t>. 2019;36(13):A139-A139.</w:t>
      </w:r>
    </w:p>
    <w:p w14:paraId="76787C51"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13. </w:t>
      </w:r>
      <w:r w:rsidRPr="006D5382">
        <w:rPr>
          <w:noProof/>
        </w:rPr>
        <w:tab/>
        <w:t xml:space="preserve">Ghonemi MO, Rabah AA, Saber HM, Radwan W. Role of Phosphorylated Neurofilament H as a diagnostic and prognostic marker in traumatic brain injury. </w:t>
      </w:r>
      <w:r w:rsidRPr="006D5382">
        <w:rPr>
          <w:i/>
          <w:iCs/>
          <w:noProof/>
        </w:rPr>
        <w:t>Egypt J Crit Care Med</w:t>
      </w:r>
      <w:r w:rsidRPr="006D5382">
        <w:rPr>
          <w:noProof/>
        </w:rPr>
        <w:t>. 2013;1(3):139-144. doi:10.1016/j.ejccm.2013.03.002</w:t>
      </w:r>
    </w:p>
    <w:p w14:paraId="074613D5"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14. </w:t>
      </w:r>
      <w:r w:rsidRPr="006D5382">
        <w:rPr>
          <w:noProof/>
        </w:rPr>
        <w:tab/>
        <w:t xml:space="preserve">Guzel A, Er U, Tatli M, et al. Serum neuron-specific enolase as a predictor of short-term outcome and its correlation with Glasgow Coma Scale in traumatic brain injury. </w:t>
      </w:r>
      <w:r w:rsidRPr="006D5382">
        <w:rPr>
          <w:i/>
          <w:iCs/>
          <w:noProof/>
        </w:rPr>
        <w:t>Neurosurg Rev</w:t>
      </w:r>
      <w:r w:rsidRPr="006D5382">
        <w:rPr>
          <w:noProof/>
        </w:rPr>
        <w:t>. 2008;31(4):439-445. doi:10.1007/s10143-008-0148-2</w:t>
      </w:r>
    </w:p>
    <w:p w14:paraId="26739524"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15. </w:t>
      </w:r>
      <w:r w:rsidRPr="006D5382">
        <w:rPr>
          <w:noProof/>
        </w:rPr>
        <w:tab/>
        <w:t xml:space="preserve">Hatefi M, Dastjerdi MM, Ghiasi B, Rahmani A. Association of Serum Uric Acid Level with the Severity of Brain Injury and Patient’s Outcome in Severe Traumatic Brain Injury. </w:t>
      </w:r>
      <w:r w:rsidRPr="006D5382">
        <w:rPr>
          <w:i/>
          <w:iCs/>
          <w:noProof/>
        </w:rPr>
        <w:t>J Clin Diagn Res</w:t>
      </w:r>
      <w:r w:rsidRPr="006D5382">
        <w:rPr>
          <w:noProof/>
        </w:rPr>
        <w:t>. 2016;10(12):OC20-OC24. doi:10.7860/JCDR/2016/21918.8993</w:t>
      </w:r>
    </w:p>
    <w:p w14:paraId="3B2D59D9"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16. </w:t>
      </w:r>
      <w:r w:rsidRPr="006D5382">
        <w:rPr>
          <w:noProof/>
        </w:rPr>
        <w:tab/>
        <w:t xml:space="preserve">Heidari K, Asadollahi S, Jamshidian M, Abrishamchi SN, Nouroozi M. Prediction of neuropsychological outcome after mild traumatic brain injury using clinical parameters, serum S100B protein and findings on computed tomography. </w:t>
      </w:r>
      <w:r w:rsidRPr="006D5382">
        <w:rPr>
          <w:i/>
          <w:iCs/>
          <w:noProof/>
        </w:rPr>
        <w:t>Brain Inj</w:t>
      </w:r>
      <w:r w:rsidRPr="006D5382">
        <w:rPr>
          <w:noProof/>
        </w:rPr>
        <w:t>. 2015;29(1):33-40. doi:10.3109/02699052.2014.948068</w:t>
      </w:r>
    </w:p>
    <w:p w14:paraId="55DCB684"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17. </w:t>
      </w:r>
      <w:r w:rsidRPr="006D5382">
        <w:rPr>
          <w:noProof/>
        </w:rPr>
        <w:tab/>
        <w:t xml:space="preserve">Herrmann M, Jost S, Kutz S, et al. Temporal profile of release of neurobiochemical markers of brain damage after traumatic brain injury is associated with intracranial pathology as demonstrated in cranial computerized tomography. </w:t>
      </w:r>
      <w:r w:rsidRPr="006D5382">
        <w:rPr>
          <w:i/>
          <w:iCs/>
          <w:noProof/>
        </w:rPr>
        <w:t>J Neurotrauma</w:t>
      </w:r>
      <w:r w:rsidRPr="006D5382">
        <w:rPr>
          <w:noProof/>
        </w:rPr>
        <w:t>. 2000;17(2):113-122. doi:10.1089/neu.2000.17.113</w:t>
      </w:r>
    </w:p>
    <w:p w14:paraId="0F52DA3F"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18. </w:t>
      </w:r>
      <w:r w:rsidRPr="006D5382">
        <w:rPr>
          <w:noProof/>
        </w:rPr>
        <w:tab/>
        <w:t xml:space="preserve">Ingebrigtsen T, Waterloo K, Jacobsen EA, Langbakk B, Romner B. Traumatic brain damage in minor head injury: Relation of serum S-100 protein measurements to magnetic resonance imaging and neurobehavioral outcome. </w:t>
      </w:r>
      <w:r w:rsidRPr="006D5382">
        <w:rPr>
          <w:i/>
          <w:iCs/>
          <w:noProof/>
        </w:rPr>
        <w:t>Neurosurgery</w:t>
      </w:r>
      <w:r w:rsidRPr="006D5382">
        <w:rPr>
          <w:noProof/>
        </w:rPr>
        <w:t>. 1999;45(3):468-476. doi:10.1097/00006123-199909000-00010</w:t>
      </w:r>
    </w:p>
    <w:p w14:paraId="788B52C3"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19. </w:t>
      </w:r>
      <w:r w:rsidRPr="006D5382">
        <w:rPr>
          <w:noProof/>
        </w:rPr>
        <w:tab/>
        <w:t xml:space="preserve">Kelmendi FM, Morina AA, Mekaj AY, et al. Serum S100B Levels Can Predict Computed Tomography Findings in Paediatric Patients with Mild Head Injury. </w:t>
      </w:r>
      <w:r w:rsidRPr="006D5382">
        <w:rPr>
          <w:i/>
          <w:iCs/>
          <w:noProof/>
        </w:rPr>
        <w:t>Biomed Res Int</w:t>
      </w:r>
      <w:r w:rsidRPr="006D5382">
        <w:rPr>
          <w:noProof/>
        </w:rPr>
        <w:t>. 2018;2018:6954045. doi:10.1155/2018/6954045</w:t>
      </w:r>
    </w:p>
    <w:p w14:paraId="13F305AB"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lastRenderedPageBreak/>
        <w:t xml:space="preserve">20. </w:t>
      </w:r>
      <w:r w:rsidRPr="006D5382">
        <w:rPr>
          <w:noProof/>
        </w:rPr>
        <w:tab/>
        <w:t xml:space="preserve">Korfias S, Stranjalis G, Boviatsis E, et al. Serum S-100B protein monitoring in patients with severe traumatic brain injury. </w:t>
      </w:r>
      <w:r w:rsidRPr="006D5382">
        <w:rPr>
          <w:i/>
          <w:iCs/>
          <w:noProof/>
        </w:rPr>
        <w:t>Intensive Care Med</w:t>
      </w:r>
      <w:r w:rsidRPr="006D5382">
        <w:rPr>
          <w:noProof/>
        </w:rPr>
        <w:t>. 2007;33(2):255-260. doi:10.1007/s00134-006-0463-4</w:t>
      </w:r>
    </w:p>
    <w:p w14:paraId="6D2D2A4A"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21. </w:t>
      </w:r>
      <w:r w:rsidRPr="006D5382">
        <w:rPr>
          <w:noProof/>
        </w:rPr>
        <w:tab/>
        <w:t xml:space="preserve">Kou Z, Gattu R, Kobeissy F, et al. Combining biochemical and imaging markers to improve diagnosis and characterization of mild traumatic brain injury in the acute setting: Results from a pilot study. </w:t>
      </w:r>
      <w:r w:rsidRPr="006D5382">
        <w:rPr>
          <w:i/>
          <w:iCs/>
          <w:noProof/>
        </w:rPr>
        <w:t>PLoS One</w:t>
      </w:r>
      <w:r w:rsidRPr="006D5382">
        <w:rPr>
          <w:noProof/>
        </w:rPr>
        <w:t>. 2013;8(11). doi:10.1371/journal.pone.0080296</w:t>
      </w:r>
    </w:p>
    <w:p w14:paraId="78BC496C"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22. </w:t>
      </w:r>
      <w:r w:rsidRPr="006D5382">
        <w:rPr>
          <w:noProof/>
        </w:rPr>
        <w:tab/>
        <w:t xml:space="preserve">Langness S, Ward E, Halbach J, et al. Plasma D-dimer safely reduces unnecessary CT scans obtained in the evaluation of pediatric head trauma. </w:t>
      </w:r>
      <w:r w:rsidRPr="006D5382">
        <w:rPr>
          <w:i/>
          <w:iCs/>
          <w:noProof/>
        </w:rPr>
        <w:t>J Pediatr Surg</w:t>
      </w:r>
      <w:r w:rsidRPr="006D5382">
        <w:rPr>
          <w:noProof/>
        </w:rPr>
        <w:t>. 2018;53(4):752-757. doi:10.1016/j.jpedsurg.2017.08.017</w:t>
      </w:r>
    </w:p>
    <w:p w14:paraId="6A59ADD7"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23. </w:t>
      </w:r>
      <w:r w:rsidRPr="006D5382">
        <w:rPr>
          <w:noProof/>
        </w:rPr>
        <w:tab/>
        <w:t xml:space="preserve">Li Q, Zhou Q. Relationship between CT features and serum gfAP, NSE and S100B protein in patients with severe traumatic brain injury. </w:t>
      </w:r>
      <w:r w:rsidRPr="006D5382">
        <w:rPr>
          <w:i/>
          <w:iCs/>
          <w:noProof/>
        </w:rPr>
        <w:t>Biomed Res</w:t>
      </w:r>
      <w:r w:rsidRPr="006D5382">
        <w:rPr>
          <w:noProof/>
        </w:rPr>
        <w:t>. 2017;28(22):9926-9929.</w:t>
      </w:r>
    </w:p>
    <w:p w14:paraId="0D6F09D1"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24. </w:t>
      </w:r>
      <w:r w:rsidRPr="006D5382">
        <w:rPr>
          <w:noProof/>
        </w:rPr>
        <w:tab/>
        <w:t xml:space="preserve">Lo TYM, Jones PA, Minns RA. Pediatric brain trauma outcome prediction using paired serum levels of inflammatory mediators and brain-specific proteins. </w:t>
      </w:r>
      <w:r w:rsidRPr="006D5382">
        <w:rPr>
          <w:i/>
          <w:iCs/>
          <w:noProof/>
        </w:rPr>
        <w:t>J Neurotrauma</w:t>
      </w:r>
      <w:r w:rsidRPr="006D5382">
        <w:rPr>
          <w:noProof/>
        </w:rPr>
        <w:t>. 2009;26(9):1479-1487. doi:10.1089/neu.2008.0753</w:t>
      </w:r>
    </w:p>
    <w:p w14:paraId="77D8624D"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25. </w:t>
      </w:r>
      <w:r w:rsidRPr="006D5382">
        <w:rPr>
          <w:noProof/>
        </w:rPr>
        <w:tab/>
        <w:t xml:space="preserve">McMahon PJ, Panczykowski DM, Yue JK, et al. Measurement of the glial fibrillary acidic protein and its breakdown products GFAP-BDP biomarker for the detection of traumatic brain injury compared to computed tomography and magnetic resonance imaging. </w:t>
      </w:r>
      <w:r w:rsidRPr="006D5382">
        <w:rPr>
          <w:i/>
          <w:iCs/>
          <w:noProof/>
        </w:rPr>
        <w:t>J Neurotrauma</w:t>
      </w:r>
      <w:r w:rsidRPr="006D5382">
        <w:rPr>
          <w:noProof/>
        </w:rPr>
        <w:t>. 2015;32(8):527-533. doi:10.1089/neu.2014.3635</w:t>
      </w:r>
    </w:p>
    <w:p w14:paraId="434019D6" w14:textId="77777777" w:rsidR="00DA1B98" w:rsidRPr="006D5382" w:rsidRDefault="00DA1B98" w:rsidP="006D5382">
      <w:pPr>
        <w:widowControl w:val="0"/>
        <w:autoSpaceDE w:val="0"/>
        <w:autoSpaceDN w:val="0"/>
        <w:adjustRightInd w:val="0"/>
        <w:spacing w:line="360" w:lineRule="auto"/>
        <w:ind w:left="640" w:hanging="640"/>
        <w:rPr>
          <w:noProof/>
          <w:lang w:val="it-IT"/>
        </w:rPr>
      </w:pPr>
      <w:r w:rsidRPr="006D5382">
        <w:rPr>
          <w:noProof/>
        </w:rPr>
        <w:t xml:space="preserve">26. </w:t>
      </w:r>
      <w:r w:rsidRPr="006D5382">
        <w:rPr>
          <w:noProof/>
        </w:rPr>
        <w:tab/>
        <w:t xml:space="preserve">Metting Z, Wilczak N, Rodiger LA, Schaaf JM, Van Der Naalt J. GFAP and S100B in the acute phase of mild traumatic brain injury. </w:t>
      </w:r>
      <w:r w:rsidRPr="006D5382">
        <w:rPr>
          <w:i/>
          <w:iCs/>
          <w:noProof/>
          <w:lang w:val="it-IT"/>
        </w:rPr>
        <w:t>Neurology</w:t>
      </w:r>
      <w:r w:rsidRPr="006D5382">
        <w:rPr>
          <w:noProof/>
          <w:lang w:val="it-IT"/>
        </w:rPr>
        <w:t>. 2012;78(18):1428-1433. doi:10.1212/WNL.0b013e318253d5c7</w:t>
      </w:r>
    </w:p>
    <w:p w14:paraId="0D2BF5F2"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lang w:val="it-IT"/>
        </w:rPr>
        <w:t xml:space="preserve">27. </w:t>
      </w:r>
      <w:r w:rsidRPr="006D5382">
        <w:rPr>
          <w:noProof/>
          <w:lang w:val="it-IT"/>
        </w:rPr>
        <w:tab/>
        <w:t xml:space="preserve">Mondello S, Jeromin A, Buki A, et al. </w:t>
      </w:r>
      <w:r w:rsidRPr="006D5382">
        <w:rPr>
          <w:noProof/>
        </w:rPr>
        <w:t xml:space="preserve">Glial neuronal ratio: A novel index for differentiating injury type in patients with severe traumatic brain injury. </w:t>
      </w:r>
      <w:r w:rsidRPr="006D5382">
        <w:rPr>
          <w:i/>
          <w:iCs/>
          <w:noProof/>
        </w:rPr>
        <w:t>J Neurotrauma</w:t>
      </w:r>
      <w:r w:rsidRPr="006D5382">
        <w:rPr>
          <w:noProof/>
        </w:rPr>
        <w:t>. 2012;29(6):1096-1104. doi:10.1089/neu.2011.2092</w:t>
      </w:r>
    </w:p>
    <w:p w14:paraId="6A86F82A"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28. </w:t>
      </w:r>
      <w:r w:rsidRPr="006D5382">
        <w:rPr>
          <w:noProof/>
        </w:rPr>
        <w:tab/>
        <w:t xml:space="preserve">Mondello S, Kobeissy F, Vestri A, Hayes RL, Kochanek PM, Berger RP. Serum Concentrations of Ubiquitin C-Terminal Hydrolase-L1 and Glial Fibrillary Acidic Protein after Pediatric Traumatic Brain Injury. </w:t>
      </w:r>
      <w:r w:rsidRPr="006D5382">
        <w:rPr>
          <w:i/>
          <w:iCs/>
          <w:noProof/>
        </w:rPr>
        <w:t>Sci Rep</w:t>
      </w:r>
      <w:r w:rsidRPr="006D5382">
        <w:rPr>
          <w:noProof/>
        </w:rPr>
        <w:t>. 2016;6:28203. doi:10.1038/srep28203</w:t>
      </w:r>
    </w:p>
    <w:p w14:paraId="56EB4663"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29. </w:t>
      </w:r>
      <w:r w:rsidRPr="006D5382">
        <w:rPr>
          <w:noProof/>
        </w:rPr>
        <w:tab/>
        <w:t xml:space="preserve">Müller K, Townend W, Biasca N, et al. S100B serum level predicts computed tomography findings after minor head injury. </w:t>
      </w:r>
      <w:r w:rsidRPr="006D5382">
        <w:rPr>
          <w:i/>
          <w:iCs/>
          <w:noProof/>
        </w:rPr>
        <w:t>J Trauma - Inj Infect Crit Care</w:t>
      </w:r>
      <w:r w:rsidRPr="006D5382">
        <w:rPr>
          <w:noProof/>
        </w:rPr>
        <w:t>. 2007;62(6):1452-1456. doi:10.1097/TA.0b013e318047bfaa</w:t>
      </w:r>
    </w:p>
    <w:p w14:paraId="1AF829B8"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30. </w:t>
      </w:r>
      <w:r w:rsidRPr="006D5382">
        <w:rPr>
          <w:noProof/>
        </w:rPr>
        <w:tab/>
        <w:t xml:space="preserve">Naeimi ZS, Weinhofer A, Sarahrudi K, Heinz T, Vécsei V. Predictive value of S-100B </w:t>
      </w:r>
      <w:r w:rsidRPr="006D5382">
        <w:rPr>
          <w:noProof/>
        </w:rPr>
        <w:lastRenderedPageBreak/>
        <w:t xml:space="preserve">protein and neuron specific-enolase as markers of traumatic brain damage in clinical use. </w:t>
      </w:r>
      <w:r w:rsidRPr="006D5382">
        <w:rPr>
          <w:i/>
          <w:iCs/>
          <w:noProof/>
        </w:rPr>
        <w:t>Brain Inj</w:t>
      </w:r>
      <w:r w:rsidRPr="006D5382">
        <w:rPr>
          <w:noProof/>
        </w:rPr>
        <w:t>. 2006;20(5):463-468. doi:10.1080/02699050600664418</w:t>
      </w:r>
    </w:p>
    <w:p w14:paraId="3D6544F2"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31. </w:t>
      </w:r>
      <w:r w:rsidRPr="006D5382">
        <w:rPr>
          <w:noProof/>
        </w:rPr>
        <w:tab/>
        <w:t xml:space="preserve">Okonkwo DO, Yue JK, Puccio AM, et al. GFAP-BDP as an acute diagnostic marker in traumatic brain injury: Results from the prospective transforming research and clinical knowledge in traumatic brain injury study. </w:t>
      </w:r>
      <w:r w:rsidRPr="006D5382">
        <w:rPr>
          <w:i/>
          <w:iCs/>
          <w:noProof/>
        </w:rPr>
        <w:t>J Neurotrauma</w:t>
      </w:r>
      <w:r w:rsidRPr="006D5382">
        <w:rPr>
          <w:noProof/>
        </w:rPr>
        <w:t>. 2013;30(17):1490-1497. doi:10.1089/neu.2013.2883</w:t>
      </w:r>
    </w:p>
    <w:p w14:paraId="7112CE3B"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32. </w:t>
      </w:r>
      <w:r w:rsidRPr="006D5382">
        <w:rPr>
          <w:noProof/>
        </w:rPr>
        <w:tab/>
        <w:t xml:space="preserve">Pandey S, Singh K, Sharma V, et al. A prospective pilot study on serum cleaved tau protein as a neurological marker in severe traumatic brain injury. </w:t>
      </w:r>
      <w:r w:rsidRPr="006D5382">
        <w:rPr>
          <w:i/>
          <w:iCs/>
          <w:noProof/>
        </w:rPr>
        <w:t>Br J Neurosurg</w:t>
      </w:r>
      <w:r w:rsidRPr="006D5382">
        <w:rPr>
          <w:noProof/>
        </w:rPr>
        <w:t>. 2017;31(3):356-363. doi:10.1080/02688697.2017.1297378</w:t>
      </w:r>
    </w:p>
    <w:p w14:paraId="797E90DC" w14:textId="77777777" w:rsidR="00DA1B98" w:rsidRPr="006D5382" w:rsidRDefault="00DA1B98" w:rsidP="006D5382">
      <w:pPr>
        <w:widowControl w:val="0"/>
        <w:autoSpaceDE w:val="0"/>
        <w:autoSpaceDN w:val="0"/>
        <w:adjustRightInd w:val="0"/>
        <w:spacing w:line="360" w:lineRule="auto"/>
        <w:ind w:left="640" w:hanging="640"/>
        <w:rPr>
          <w:noProof/>
          <w:lang w:val="fr-FR"/>
        </w:rPr>
      </w:pPr>
      <w:r w:rsidRPr="006D5382">
        <w:rPr>
          <w:noProof/>
        </w:rPr>
        <w:t xml:space="preserve">33. </w:t>
      </w:r>
      <w:r w:rsidRPr="006D5382">
        <w:rPr>
          <w:noProof/>
        </w:rPr>
        <w:tab/>
        <w:t xml:space="preserve">Papa L, Mittal MK, Ramirez J, et al. Neuronal Biomarker Ubiquitin C-Terminal Hydrolase Detects Traumatic Intracranial Lesions on Computed Tomography in Children and Youth with Mild Traumatic Brain Injury. </w:t>
      </w:r>
      <w:r w:rsidRPr="006D5382">
        <w:rPr>
          <w:i/>
          <w:iCs/>
          <w:noProof/>
          <w:lang w:val="fr-FR"/>
        </w:rPr>
        <w:t>J Neurotrauma</w:t>
      </w:r>
      <w:r w:rsidRPr="006D5382">
        <w:rPr>
          <w:noProof/>
          <w:lang w:val="fr-FR"/>
        </w:rPr>
        <w:t>. 2017;34(13):2132-2140. doi:10.1089/neu.2016.4806</w:t>
      </w:r>
    </w:p>
    <w:p w14:paraId="078849A0"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lang w:val="fr-FR"/>
        </w:rPr>
        <w:t xml:space="preserve">34. </w:t>
      </w:r>
      <w:r w:rsidRPr="006D5382">
        <w:rPr>
          <w:noProof/>
          <w:lang w:val="fr-FR"/>
        </w:rPr>
        <w:tab/>
        <w:t xml:space="preserve">Papa L, Silvestri S, Brophy GM, et al. </w:t>
      </w:r>
      <w:r w:rsidRPr="006D5382">
        <w:rPr>
          <w:noProof/>
        </w:rPr>
        <w:t xml:space="preserve">GFAP out-performs S100β in detecting traumatic intracranial lesions on computed tomography in trauma patients with mild traumatic brain injury and those with extracranial lesions. </w:t>
      </w:r>
      <w:r w:rsidRPr="006D5382">
        <w:rPr>
          <w:i/>
          <w:iCs/>
          <w:noProof/>
        </w:rPr>
        <w:t>J Neurotrauma</w:t>
      </w:r>
      <w:r w:rsidRPr="006D5382">
        <w:rPr>
          <w:noProof/>
        </w:rPr>
        <w:t>. 2014;31(22):1815-1822. doi:10.1089/neu.2013.3245</w:t>
      </w:r>
    </w:p>
    <w:p w14:paraId="127D42CA"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35. </w:t>
      </w:r>
      <w:r w:rsidRPr="006D5382">
        <w:rPr>
          <w:noProof/>
        </w:rPr>
        <w:tab/>
        <w:t xml:space="preserve">Pelinka LE, Kroepfl A, Leixnering M, Buchinger W, Raabe A, Redl H. GFAP versus S100B in serum after traumatic brain injury: Relationship to brain damage and outcome. </w:t>
      </w:r>
      <w:r w:rsidRPr="006D5382">
        <w:rPr>
          <w:i/>
          <w:iCs/>
          <w:noProof/>
        </w:rPr>
        <w:t>J Neurotrauma</w:t>
      </w:r>
      <w:r w:rsidRPr="006D5382">
        <w:rPr>
          <w:noProof/>
        </w:rPr>
        <w:t>. 2004;21(11):1553-1561. doi:10.1089/neu.2004.21.1553</w:t>
      </w:r>
    </w:p>
    <w:p w14:paraId="6A77F3AE"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36. </w:t>
      </w:r>
      <w:r w:rsidRPr="006D5382">
        <w:rPr>
          <w:noProof/>
        </w:rPr>
        <w:tab/>
        <w:t xml:space="preserve">Pelinka LE, Kroepfl A, Schmidhammer R, et al. Glial fibrillary acidic protein in serum after traumatic brain injury and multiple trauma. </w:t>
      </w:r>
      <w:r w:rsidRPr="006D5382">
        <w:rPr>
          <w:i/>
          <w:iCs/>
          <w:noProof/>
        </w:rPr>
        <w:t>J Trauma</w:t>
      </w:r>
      <w:r w:rsidRPr="006D5382">
        <w:rPr>
          <w:noProof/>
        </w:rPr>
        <w:t>. 2004;57(5):1006-1012. doi:10.1097/01.ta.0000108998.48026.c3</w:t>
      </w:r>
    </w:p>
    <w:p w14:paraId="16CC522D"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37. </w:t>
      </w:r>
      <w:r w:rsidRPr="006D5382">
        <w:rPr>
          <w:noProof/>
        </w:rPr>
        <w:tab/>
        <w:t xml:space="preserve">Posti JP, Takala RSK, Runtti H, et al. The Levels of Glial Fibrillary Acidic Protein and Ubiquitin C-Terminal Hydrolase-L1 during the First Week after a Traumatic Brain Injury: Correlations with Clinical and Imaging Findings. </w:t>
      </w:r>
      <w:r w:rsidRPr="006D5382">
        <w:rPr>
          <w:i/>
          <w:iCs/>
          <w:noProof/>
        </w:rPr>
        <w:t>Neurosurgery</w:t>
      </w:r>
      <w:r w:rsidRPr="006D5382">
        <w:rPr>
          <w:noProof/>
        </w:rPr>
        <w:t>. 2016;79(3):456-463. doi:10.1227/NEU.0000000000001226</w:t>
      </w:r>
    </w:p>
    <w:p w14:paraId="37793468"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38. </w:t>
      </w:r>
      <w:r w:rsidRPr="006D5382">
        <w:rPr>
          <w:noProof/>
        </w:rPr>
        <w:tab/>
        <w:t xml:space="preserve">Raabe A, Grolms C, Keller M, Döhnert J, Sorge O, Seifert V. Correlation of computed tomography findings and serum brain damage markers following severe head injury. </w:t>
      </w:r>
      <w:r w:rsidRPr="006D5382">
        <w:rPr>
          <w:i/>
          <w:iCs/>
          <w:noProof/>
        </w:rPr>
        <w:t>Acta Neurochir (Wien)</w:t>
      </w:r>
      <w:r w:rsidRPr="006D5382">
        <w:rPr>
          <w:noProof/>
        </w:rPr>
        <w:t>. 1998;140(8):787-792. doi:10.1007/s007010050180</w:t>
      </w:r>
    </w:p>
    <w:p w14:paraId="3FDC4C21"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39. </w:t>
      </w:r>
      <w:r w:rsidRPr="006D5382">
        <w:rPr>
          <w:noProof/>
        </w:rPr>
        <w:tab/>
        <w:t xml:space="preserve">Radwan W, Rabah A, Saber H. Phosphorylated neurofilament heavy subunit (PNF-H) in blood as a potential diagnostic and prognostic biomarker in traumatic brain injury. ESICM 2013 - Abstracts of Oral Presentations and Poster. </w:t>
      </w:r>
      <w:r w:rsidRPr="006D5382">
        <w:rPr>
          <w:i/>
          <w:iCs/>
          <w:noProof/>
        </w:rPr>
        <w:t>Intensive Care Med</w:t>
      </w:r>
      <w:r w:rsidRPr="006D5382">
        <w:rPr>
          <w:noProof/>
        </w:rPr>
        <w:t>. 2013;39:201–539. doi:http://dx.doi.org/10.1007/s00134-013-3095-5</w:t>
      </w:r>
    </w:p>
    <w:p w14:paraId="0161595F"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lang w:val="de-DE"/>
        </w:rPr>
        <w:lastRenderedPageBreak/>
        <w:t xml:space="preserve">40. </w:t>
      </w:r>
      <w:r w:rsidRPr="006D5382">
        <w:rPr>
          <w:noProof/>
          <w:lang w:val="de-DE"/>
        </w:rPr>
        <w:tab/>
        <w:t xml:space="preserve">Romner B, Ingebrigtsen T, Kongstad P, BoØrgesen SE. </w:t>
      </w:r>
      <w:r w:rsidRPr="006D5382">
        <w:rPr>
          <w:noProof/>
        </w:rPr>
        <w:t xml:space="preserve">Traumatic brain damage: Serum S-100 protein measurements related to neuroradiological findings. </w:t>
      </w:r>
      <w:r w:rsidRPr="006D5382">
        <w:rPr>
          <w:i/>
          <w:iCs/>
          <w:noProof/>
        </w:rPr>
        <w:t>J Neurotrauma</w:t>
      </w:r>
      <w:r w:rsidRPr="006D5382">
        <w:rPr>
          <w:noProof/>
        </w:rPr>
        <w:t>. 2000;17(8):641-647. doi:10.1089/089771500415391</w:t>
      </w:r>
    </w:p>
    <w:p w14:paraId="0EAE3AA7" w14:textId="77777777" w:rsidR="00DA1B98" w:rsidRPr="006D5382" w:rsidRDefault="00DA1B98" w:rsidP="006D5382">
      <w:pPr>
        <w:widowControl w:val="0"/>
        <w:autoSpaceDE w:val="0"/>
        <w:autoSpaceDN w:val="0"/>
        <w:adjustRightInd w:val="0"/>
        <w:spacing w:line="360" w:lineRule="auto"/>
        <w:ind w:left="640" w:hanging="640"/>
        <w:rPr>
          <w:noProof/>
          <w:lang w:val="fr-FR"/>
        </w:rPr>
      </w:pPr>
      <w:r w:rsidRPr="006D5382">
        <w:rPr>
          <w:noProof/>
        </w:rPr>
        <w:t xml:space="preserve">41. </w:t>
      </w:r>
      <w:r w:rsidRPr="006D5382">
        <w:rPr>
          <w:noProof/>
        </w:rPr>
        <w:tab/>
        <w:t xml:space="preserve">Rubenstein R, Chang B, Yue JK, et al. Comparing plasma phospho tau, total tau, and phospho tau–total tau ratio as acute and chronic traumatic brain injury biomarkers. </w:t>
      </w:r>
      <w:r w:rsidRPr="006D5382">
        <w:rPr>
          <w:i/>
          <w:iCs/>
          <w:noProof/>
          <w:lang w:val="fr-FR"/>
        </w:rPr>
        <w:t>JAMA Neurol</w:t>
      </w:r>
      <w:r w:rsidRPr="006D5382">
        <w:rPr>
          <w:noProof/>
          <w:lang w:val="fr-FR"/>
        </w:rPr>
        <w:t>. 2017;74(9):1063-1072. doi:10.1001/jamaneurol.2017.0655</w:t>
      </w:r>
    </w:p>
    <w:p w14:paraId="4D0CC16E"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lang w:val="fr-FR"/>
        </w:rPr>
        <w:t xml:space="preserve">42. </w:t>
      </w:r>
      <w:r w:rsidRPr="006D5382">
        <w:rPr>
          <w:noProof/>
          <w:lang w:val="fr-FR"/>
        </w:rPr>
        <w:tab/>
        <w:t xml:space="preserve">Sandsmark DK, Bogoslovsky T, Qu B-X, et al. </w:t>
      </w:r>
      <w:r w:rsidRPr="006D5382">
        <w:rPr>
          <w:noProof/>
        </w:rPr>
        <w:t xml:space="preserve">Changes in Plasma von Willebrand Factor and Cellular Fibronectin in MRI-Defined Traumatic Microvascular Injury. </w:t>
      </w:r>
      <w:r w:rsidRPr="006D5382">
        <w:rPr>
          <w:i/>
          <w:iCs/>
          <w:noProof/>
        </w:rPr>
        <w:t>Front Neurol</w:t>
      </w:r>
      <w:r w:rsidRPr="006D5382">
        <w:rPr>
          <w:noProof/>
        </w:rPr>
        <w:t>. 2019;10:246. doi:10.3389/fneur.2019.00246</w:t>
      </w:r>
    </w:p>
    <w:p w14:paraId="7D65771B" w14:textId="77777777" w:rsidR="00DA1B98" w:rsidRPr="006D5382" w:rsidRDefault="00DA1B98" w:rsidP="006D5382">
      <w:pPr>
        <w:widowControl w:val="0"/>
        <w:autoSpaceDE w:val="0"/>
        <w:autoSpaceDN w:val="0"/>
        <w:adjustRightInd w:val="0"/>
        <w:spacing w:line="360" w:lineRule="auto"/>
        <w:ind w:left="640" w:hanging="640"/>
        <w:rPr>
          <w:noProof/>
          <w:lang w:val="de-DE"/>
        </w:rPr>
      </w:pPr>
      <w:r w:rsidRPr="006D5382">
        <w:rPr>
          <w:noProof/>
        </w:rPr>
        <w:t xml:space="preserve">43. </w:t>
      </w:r>
      <w:r w:rsidRPr="006D5382">
        <w:rPr>
          <w:noProof/>
        </w:rPr>
        <w:tab/>
        <w:t xml:space="preserve">Shakeri M, Dokht YGM, Panahi F, Mahdkhah A, Foladi P. S100B protein value in predicting brain death after head trauma. </w:t>
      </w:r>
      <w:r w:rsidRPr="006D5382">
        <w:rPr>
          <w:i/>
          <w:iCs/>
          <w:noProof/>
          <w:lang w:val="de-DE"/>
        </w:rPr>
        <w:t>Neurosurg Q</w:t>
      </w:r>
      <w:r w:rsidRPr="006D5382">
        <w:rPr>
          <w:noProof/>
          <w:lang w:val="de-DE"/>
        </w:rPr>
        <w:t>. 2014;24(4):291-296. doi:10.1097/wnq.0b013e3182a2fc6e</w:t>
      </w:r>
    </w:p>
    <w:p w14:paraId="38973CBF"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lang w:val="de-DE"/>
        </w:rPr>
        <w:t xml:space="preserve">44. </w:t>
      </w:r>
      <w:r w:rsidRPr="006D5382">
        <w:rPr>
          <w:noProof/>
          <w:lang w:val="de-DE"/>
        </w:rPr>
        <w:tab/>
        <w:t xml:space="preserve">Skandsen T, Clarke G., Einarsen C., et al. </w:t>
      </w:r>
      <w:r w:rsidRPr="006D5382">
        <w:rPr>
          <w:noProof/>
        </w:rPr>
        <w:t xml:space="preserve">Levels of blood biomarkers in patients with mtbi were related to injury severity, but not to the post-concussive symptoms. </w:t>
      </w:r>
      <w:r w:rsidRPr="006D5382">
        <w:rPr>
          <w:i/>
          <w:iCs/>
          <w:noProof/>
        </w:rPr>
        <w:t>J Neurotrauma</w:t>
      </w:r>
      <w:r w:rsidRPr="006D5382">
        <w:rPr>
          <w:noProof/>
        </w:rPr>
        <w:t>. 2018;35(16):A209-A209.</w:t>
      </w:r>
    </w:p>
    <w:p w14:paraId="1D0241A2"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45. </w:t>
      </w:r>
      <w:r w:rsidRPr="006D5382">
        <w:rPr>
          <w:noProof/>
        </w:rPr>
        <w:tab/>
        <w:t xml:space="preserve">Skogseid IM, Nordby HK, Urdal P, Paus E, Lilleaas F. Increased serum creatine kinase BB and neuron specific enolase following head injury indicates brain damage. </w:t>
      </w:r>
      <w:r w:rsidRPr="006D5382">
        <w:rPr>
          <w:i/>
          <w:iCs/>
          <w:noProof/>
        </w:rPr>
        <w:t>Acta Neurochir (Wien)</w:t>
      </w:r>
      <w:r w:rsidRPr="006D5382">
        <w:rPr>
          <w:noProof/>
        </w:rPr>
        <w:t>. 1992;115(3-4):106-111. doi:10.1007/BF01406367</w:t>
      </w:r>
    </w:p>
    <w:p w14:paraId="7A9C99F2"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46. </w:t>
      </w:r>
      <w:r w:rsidRPr="006D5382">
        <w:rPr>
          <w:noProof/>
        </w:rPr>
        <w:tab/>
        <w:t xml:space="preserve">Thelin E, Al Nimer F, Frostell A, et al. A Serum protein biomarker panel improves outcome prediction in human traumatic brain injury. </w:t>
      </w:r>
      <w:r w:rsidRPr="006D5382">
        <w:rPr>
          <w:i/>
          <w:iCs/>
          <w:noProof/>
        </w:rPr>
        <w:t>J Neurotrauma</w:t>
      </w:r>
      <w:r w:rsidRPr="006D5382">
        <w:rPr>
          <w:noProof/>
        </w:rPr>
        <w:t>. 2019;36(20):2850-2862. doi:10.1089/neu.2019.6375</w:t>
      </w:r>
    </w:p>
    <w:p w14:paraId="64CADEA9"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47. </w:t>
      </w:r>
      <w:r w:rsidRPr="006D5382">
        <w:rPr>
          <w:noProof/>
        </w:rPr>
        <w:tab/>
        <w:t xml:space="preserve">Thelin EP, Jeppsson E, Frostell A, et al. Utility of neuron-specific enolase in traumatic brain injury; relations to S100B levels, outcome, and extracranial injury severity. </w:t>
      </w:r>
      <w:r w:rsidRPr="006D5382">
        <w:rPr>
          <w:i/>
          <w:iCs/>
          <w:noProof/>
        </w:rPr>
        <w:t>Crit Care</w:t>
      </w:r>
      <w:r w:rsidRPr="006D5382">
        <w:rPr>
          <w:noProof/>
        </w:rPr>
        <w:t>. 2016;20(1). doi:10.1186/s13054-016-1450-y</w:t>
      </w:r>
    </w:p>
    <w:p w14:paraId="55CCDC13"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48. </w:t>
      </w:r>
      <w:r w:rsidRPr="006D5382">
        <w:rPr>
          <w:noProof/>
        </w:rPr>
        <w:tab/>
        <w:t xml:space="preserve">Thelin EP, Johannesson L, Nelson D, Bellander B-M. S100B Is an Important Outcome Predictor in Traumatic Brain Injury. </w:t>
      </w:r>
      <w:r w:rsidRPr="006D5382">
        <w:rPr>
          <w:i/>
          <w:iCs/>
          <w:noProof/>
        </w:rPr>
        <w:t>J Neurotrauma</w:t>
      </w:r>
      <w:r w:rsidRPr="006D5382">
        <w:rPr>
          <w:noProof/>
        </w:rPr>
        <w:t>. 2013;30(7):519-528. doi:10.1089/neu.2012.2553</w:t>
      </w:r>
    </w:p>
    <w:p w14:paraId="2F23A736"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49. </w:t>
      </w:r>
      <w:r w:rsidRPr="006D5382">
        <w:rPr>
          <w:noProof/>
        </w:rPr>
        <w:tab/>
        <w:t xml:space="preserve">Thelin EP, Zibung E, Riddez L, Nordenvall C. Assessing bicycle-related trauma using the biomarker S100B reveals a correlation with total injury severity. </w:t>
      </w:r>
      <w:r w:rsidRPr="006D5382">
        <w:rPr>
          <w:i/>
          <w:iCs/>
          <w:noProof/>
        </w:rPr>
        <w:t>Eur J Trauma Emerg Surg</w:t>
      </w:r>
      <w:r w:rsidRPr="006D5382">
        <w:rPr>
          <w:noProof/>
        </w:rPr>
        <w:t>. 2016;42(5):617-625. doi:10.1007/s00068-015-0583-z</w:t>
      </w:r>
    </w:p>
    <w:p w14:paraId="05D28216"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50. </w:t>
      </w:r>
      <w:r w:rsidRPr="006D5382">
        <w:rPr>
          <w:noProof/>
        </w:rPr>
        <w:tab/>
        <w:t xml:space="preserve">Tomita K, Nakada T aki, Oshima T, Motoshima T, Kawaguchi R, Oda S. Tau protein as a diagnostic marker for diffuse axonal injury. </w:t>
      </w:r>
      <w:r w:rsidRPr="006D5382">
        <w:rPr>
          <w:i/>
          <w:iCs/>
          <w:noProof/>
        </w:rPr>
        <w:t>PLoS One</w:t>
      </w:r>
      <w:r w:rsidRPr="006D5382">
        <w:rPr>
          <w:noProof/>
        </w:rPr>
        <w:t>. 2019;14(3):e0214381. doi:10.1371/journal.pone.0214381</w:t>
      </w:r>
    </w:p>
    <w:p w14:paraId="77D533B2"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51. </w:t>
      </w:r>
      <w:r w:rsidRPr="006D5382">
        <w:rPr>
          <w:noProof/>
        </w:rPr>
        <w:tab/>
        <w:t xml:space="preserve">Vervliet B, Hulscher J, Van Der Naalt J, Ten Duis H., Nijsten M, Wilczak N. The </w:t>
      </w:r>
      <w:r w:rsidRPr="006D5382">
        <w:rPr>
          <w:noProof/>
        </w:rPr>
        <w:lastRenderedPageBreak/>
        <w:t xml:space="preserve">diagnostic value of brain fatty acid binding protein in traumatic brain injury. </w:t>
      </w:r>
      <w:r w:rsidRPr="006D5382">
        <w:rPr>
          <w:i/>
          <w:iCs/>
          <w:noProof/>
        </w:rPr>
        <w:t>Brain Inj</w:t>
      </w:r>
      <w:r w:rsidRPr="006D5382">
        <w:rPr>
          <w:noProof/>
        </w:rPr>
        <w:t>. 2012;26(4):678-678. doi:http://dx.doi.org/10.3109/026990...- opens in a new window</w:t>
      </w:r>
    </w:p>
    <w:p w14:paraId="492D2C39"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lang w:val="fr-FR"/>
        </w:rPr>
        <w:t xml:space="preserve">52. </w:t>
      </w:r>
      <w:r w:rsidRPr="006D5382">
        <w:rPr>
          <w:noProof/>
          <w:lang w:val="fr-FR"/>
        </w:rPr>
        <w:tab/>
        <w:t xml:space="preserve">Vos PE, Lamers KJB, Hendriks JCM, et al. </w:t>
      </w:r>
      <w:r w:rsidRPr="006D5382">
        <w:rPr>
          <w:noProof/>
        </w:rPr>
        <w:t xml:space="preserve">Glial and neuronal proteins in serum predict outcome after severe traumatic brain injury. </w:t>
      </w:r>
      <w:r w:rsidRPr="006D5382">
        <w:rPr>
          <w:i/>
          <w:iCs/>
          <w:noProof/>
        </w:rPr>
        <w:t>Neurology</w:t>
      </w:r>
      <w:r w:rsidRPr="006D5382">
        <w:rPr>
          <w:noProof/>
        </w:rPr>
        <w:t>. 2004;62(8):1303-1310. doi:10.1212/01.wnl.0000120550.00643.dc</w:t>
      </w:r>
    </w:p>
    <w:p w14:paraId="65066A96"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53. </w:t>
      </w:r>
      <w:r w:rsidRPr="006D5382">
        <w:rPr>
          <w:noProof/>
        </w:rPr>
        <w:tab/>
        <w:t xml:space="preserve">Wolf H, Frantal S, Pajenda G, Leitgeb J, Sarahrudi K, Hajdu S. Analysis of s100 calcium binding protein b serum levels in different types of traumatic intracranial lesions. </w:t>
      </w:r>
      <w:r w:rsidRPr="006D5382">
        <w:rPr>
          <w:i/>
          <w:iCs/>
          <w:noProof/>
        </w:rPr>
        <w:t>J Neurotrauma</w:t>
      </w:r>
      <w:r w:rsidRPr="006D5382">
        <w:rPr>
          <w:noProof/>
        </w:rPr>
        <w:t>. 2015;32(1):23-27. doi:10.1089/neu.2013.3202</w:t>
      </w:r>
    </w:p>
    <w:p w14:paraId="4233DB34"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54. </w:t>
      </w:r>
      <w:r w:rsidRPr="006D5382">
        <w:rPr>
          <w:noProof/>
        </w:rPr>
        <w:tab/>
        <w:t xml:space="preserve">Yue JK, Yuh EL, Korley FK, et al. Association between plasma GFAP concentrations and MRI abnormalities in patients with CT-negative traumatic brain injury in the TRACK-TBI cohort: a prospective multicentre study. </w:t>
      </w:r>
      <w:r w:rsidRPr="006D5382">
        <w:rPr>
          <w:i/>
          <w:iCs/>
          <w:noProof/>
        </w:rPr>
        <w:t>Lancet Neurol</w:t>
      </w:r>
      <w:r w:rsidRPr="006D5382">
        <w:rPr>
          <w:noProof/>
        </w:rPr>
        <w:t>. 2019;18(10):953-961. doi:10.1016/S1474-4422(19)30282-0</w:t>
      </w:r>
    </w:p>
    <w:p w14:paraId="5A6D2425"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55. </w:t>
      </w:r>
      <w:r w:rsidRPr="006D5382">
        <w:rPr>
          <w:noProof/>
        </w:rPr>
        <w:tab/>
        <w:t xml:space="preserve">Žurek J, Bartlová L, Fedora M. Hyperphosphorylated neurofilament NF-H as a predictor of mortality after brain injury in children. </w:t>
      </w:r>
      <w:r w:rsidRPr="006D5382">
        <w:rPr>
          <w:i/>
          <w:iCs/>
          <w:noProof/>
        </w:rPr>
        <w:t>Brain Inj</w:t>
      </w:r>
      <w:r w:rsidRPr="006D5382">
        <w:rPr>
          <w:noProof/>
        </w:rPr>
        <w:t>. 2011;25(2):221-226. doi:10.3109/02699052.2010.541895</w:t>
      </w:r>
    </w:p>
    <w:p w14:paraId="28107982"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56. </w:t>
      </w:r>
      <w:r w:rsidRPr="006D5382">
        <w:rPr>
          <w:noProof/>
        </w:rPr>
        <w:tab/>
        <w:t xml:space="preserve">Žurek J, Bartlová L, Marek L, Fedora M. Serum S100B Protein as a Molecular Marker of Severity in Traumatic Brain Injury in Children. </w:t>
      </w:r>
      <w:r w:rsidRPr="006D5382">
        <w:rPr>
          <w:i/>
          <w:iCs/>
          <w:noProof/>
        </w:rPr>
        <w:t>Czech Slovak Neurol Neurosurg</w:t>
      </w:r>
      <w:r w:rsidRPr="006D5382">
        <w:rPr>
          <w:noProof/>
        </w:rPr>
        <w:t>. 2010;73(1):37-44.</w:t>
      </w:r>
    </w:p>
    <w:p w14:paraId="1B123071" w14:textId="77777777" w:rsidR="00DA1B98" w:rsidRPr="006D5382" w:rsidRDefault="00DA1B98" w:rsidP="006D5382">
      <w:pPr>
        <w:widowControl w:val="0"/>
        <w:autoSpaceDE w:val="0"/>
        <w:autoSpaceDN w:val="0"/>
        <w:adjustRightInd w:val="0"/>
        <w:spacing w:line="360" w:lineRule="auto"/>
        <w:ind w:left="640" w:hanging="640"/>
        <w:rPr>
          <w:noProof/>
          <w:lang w:val="fr-FR"/>
        </w:rPr>
      </w:pPr>
      <w:r w:rsidRPr="006D5382">
        <w:rPr>
          <w:noProof/>
        </w:rPr>
        <w:t xml:space="preserve">57. </w:t>
      </w:r>
      <w:r w:rsidRPr="006D5382">
        <w:rPr>
          <w:noProof/>
        </w:rPr>
        <w:tab/>
        <w:t xml:space="preserve">Žurek J, Fedora M. Dynamics of glial fibrillary acidic protein during traumatic brain injury in children. </w:t>
      </w:r>
      <w:r w:rsidRPr="006D5382">
        <w:rPr>
          <w:i/>
          <w:iCs/>
          <w:noProof/>
          <w:lang w:val="fr-FR"/>
        </w:rPr>
        <w:t>J Trauma - Inj Infect Crit Care</w:t>
      </w:r>
      <w:r w:rsidRPr="006D5382">
        <w:rPr>
          <w:noProof/>
          <w:lang w:val="fr-FR"/>
        </w:rPr>
        <w:t>. 2011;71(4):854-859. doi:10.1097/TA.0b013e3182140c8c</w:t>
      </w:r>
    </w:p>
    <w:p w14:paraId="23D92C14"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lang w:val="fr-FR"/>
        </w:rPr>
        <w:t xml:space="preserve">58. </w:t>
      </w:r>
      <w:r w:rsidRPr="006D5382">
        <w:rPr>
          <w:noProof/>
          <w:lang w:val="fr-FR"/>
        </w:rPr>
        <w:tab/>
        <w:t xml:space="preserve">Honda M, Tsuruta R, Kaneko T, et al. </w:t>
      </w:r>
      <w:r w:rsidRPr="006D5382">
        <w:rPr>
          <w:noProof/>
        </w:rPr>
        <w:t xml:space="preserve">Serum glial fibrillary acidic protein is a highly specific biomarker for traumatic brain injury in humans compared with S-100B and neuron-specific enolase. </w:t>
      </w:r>
      <w:r w:rsidRPr="006D5382">
        <w:rPr>
          <w:i/>
          <w:iCs/>
          <w:noProof/>
        </w:rPr>
        <w:t>J Trauma - Inj Infect Crit Care</w:t>
      </w:r>
      <w:r w:rsidRPr="006D5382">
        <w:rPr>
          <w:noProof/>
        </w:rPr>
        <w:t>. 2010;69(1):104-109. doi:10.1097/TA.0b013e3181bbd485</w:t>
      </w:r>
    </w:p>
    <w:p w14:paraId="5D7CCA9D"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59. </w:t>
      </w:r>
      <w:r w:rsidRPr="006D5382">
        <w:rPr>
          <w:noProof/>
        </w:rPr>
        <w:tab/>
        <w:t xml:space="preserve">Ljungqvist J, Zetterberg H, Mitsis M, Blennow K, Skoglund T. Serum Neurofilament Light Protein as a Marker for Diffuse Axonal Injury: Results from a Case Series Study. </w:t>
      </w:r>
      <w:r w:rsidRPr="006D5382">
        <w:rPr>
          <w:i/>
          <w:iCs/>
          <w:noProof/>
        </w:rPr>
        <w:t>J Neurotrauma</w:t>
      </w:r>
      <w:r w:rsidRPr="006D5382">
        <w:rPr>
          <w:noProof/>
        </w:rPr>
        <w:t>. 2017;34(5):1124-1127. doi:10.1089/neu.2016.4496</w:t>
      </w:r>
    </w:p>
    <w:p w14:paraId="1775D097"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60. </w:t>
      </w:r>
      <w:r w:rsidRPr="006D5382">
        <w:rPr>
          <w:noProof/>
        </w:rPr>
        <w:tab/>
        <w:t xml:space="preserve">Mondello S, Papa L, Buki A, et al. Neuronal and glial markers are differently associated with computed tomography findings and outcome in patients with severe traumatic brain injury: A case control study. </w:t>
      </w:r>
      <w:r w:rsidRPr="006D5382">
        <w:rPr>
          <w:i/>
          <w:iCs/>
          <w:noProof/>
        </w:rPr>
        <w:t>Crit Care</w:t>
      </w:r>
      <w:r w:rsidRPr="006D5382">
        <w:rPr>
          <w:noProof/>
        </w:rPr>
        <w:t>. 2011;15(3):R156. doi:10.1186/cc10286</w:t>
      </w:r>
    </w:p>
    <w:p w14:paraId="1DCFE562" w14:textId="77777777" w:rsidR="00DA1B98" w:rsidRPr="006D5382" w:rsidRDefault="00DA1B98" w:rsidP="006D5382">
      <w:pPr>
        <w:widowControl w:val="0"/>
        <w:autoSpaceDE w:val="0"/>
        <w:autoSpaceDN w:val="0"/>
        <w:adjustRightInd w:val="0"/>
        <w:spacing w:line="360" w:lineRule="auto"/>
        <w:ind w:left="640" w:hanging="640"/>
        <w:rPr>
          <w:noProof/>
        </w:rPr>
      </w:pPr>
      <w:r w:rsidRPr="006D5382">
        <w:rPr>
          <w:noProof/>
        </w:rPr>
        <w:t xml:space="preserve">61. </w:t>
      </w:r>
      <w:r w:rsidRPr="006D5382">
        <w:rPr>
          <w:noProof/>
        </w:rPr>
        <w:tab/>
        <w:t xml:space="preserve">Pleines UE, Morganti-Kossmann MC, Rancan M, Joller H, Trentz O, Kossmann T. S-100β reflects the extent of injury and outcome, whereas neuronal specific enolase is a </w:t>
      </w:r>
      <w:r w:rsidRPr="006D5382">
        <w:rPr>
          <w:noProof/>
        </w:rPr>
        <w:lastRenderedPageBreak/>
        <w:t xml:space="preserve">better indicator of neuroinflammation in patients with severe traumatic brain injury. </w:t>
      </w:r>
      <w:r w:rsidRPr="006D5382">
        <w:rPr>
          <w:i/>
          <w:iCs/>
          <w:noProof/>
        </w:rPr>
        <w:t>J Neurotrauma</w:t>
      </w:r>
      <w:r w:rsidRPr="006D5382">
        <w:rPr>
          <w:noProof/>
        </w:rPr>
        <w:t>. 2001;18(5):491-498. doi:10.1089/089771501300227297</w:t>
      </w:r>
    </w:p>
    <w:p w14:paraId="4B9FA0BD" w14:textId="77777777" w:rsidR="002B5220" w:rsidRPr="006D5382" w:rsidRDefault="002B5220" w:rsidP="006D5382">
      <w:pPr>
        <w:tabs>
          <w:tab w:val="left" w:pos="967"/>
        </w:tabs>
        <w:spacing w:line="360" w:lineRule="auto"/>
      </w:pPr>
    </w:p>
    <w:sectPr w:rsidR="002B5220" w:rsidRPr="006D5382" w:rsidSect="006D538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43DA" w14:textId="77777777" w:rsidR="00357C26" w:rsidRDefault="00357C26" w:rsidP="00404C5E">
      <w:r>
        <w:separator/>
      </w:r>
    </w:p>
  </w:endnote>
  <w:endnote w:type="continuationSeparator" w:id="0">
    <w:p w14:paraId="64357EA0" w14:textId="77777777" w:rsidR="00357C26" w:rsidRDefault="00357C26" w:rsidP="0040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52E1E" w14:textId="77777777" w:rsidR="00357C26" w:rsidRDefault="00357C26" w:rsidP="00404C5E">
      <w:r>
        <w:separator/>
      </w:r>
    </w:p>
  </w:footnote>
  <w:footnote w:type="continuationSeparator" w:id="0">
    <w:p w14:paraId="37B67D95" w14:textId="77777777" w:rsidR="00357C26" w:rsidRDefault="00357C26" w:rsidP="00404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E2D79"/>
    <w:multiLevelType w:val="hybridMultilevel"/>
    <w:tmpl w:val="8000DFFE"/>
    <w:lvl w:ilvl="0" w:tplc="88B4076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B9"/>
    <w:rsid w:val="0005645F"/>
    <w:rsid w:val="00056B03"/>
    <w:rsid w:val="000901B4"/>
    <w:rsid w:val="000E21B4"/>
    <w:rsid w:val="00190B68"/>
    <w:rsid w:val="001B3479"/>
    <w:rsid w:val="001B35C8"/>
    <w:rsid w:val="0020264E"/>
    <w:rsid w:val="00222571"/>
    <w:rsid w:val="00251CC9"/>
    <w:rsid w:val="002664BF"/>
    <w:rsid w:val="002A1522"/>
    <w:rsid w:val="002B5220"/>
    <w:rsid w:val="002E563B"/>
    <w:rsid w:val="002F013E"/>
    <w:rsid w:val="002F3469"/>
    <w:rsid w:val="0032527B"/>
    <w:rsid w:val="00346386"/>
    <w:rsid w:val="003526B5"/>
    <w:rsid w:val="00357C26"/>
    <w:rsid w:val="003622FF"/>
    <w:rsid w:val="003904DC"/>
    <w:rsid w:val="0039562C"/>
    <w:rsid w:val="003C31CC"/>
    <w:rsid w:val="003D12A7"/>
    <w:rsid w:val="003F4576"/>
    <w:rsid w:val="00404C5E"/>
    <w:rsid w:val="00411749"/>
    <w:rsid w:val="00432E76"/>
    <w:rsid w:val="00436693"/>
    <w:rsid w:val="00451209"/>
    <w:rsid w:val="004C5C57"/>
    <w:rsid w:val="0052713D"/>
    <w:rsid w:val="00544D77"/>
    <w:rsid w:val="0058341B"/>
    <w:rsid w:val="005C2C11"/>
    <w:rsid w:val="005E0213"/>
    <w:rsid w:val="005E54E1"/>
    <w:rsid w:val="006034C8"/>
    <w:rsid w:val="006D5382"/>
    <w:rsid w:val="006E719E"/>
    <w:rsid w:val="00706FE5"/>
    <w:rsid w:val="00735D2A"/>
    <w:rsid w:val="00751F27"/>
    <w:rsid w:val="00782FB9"/>
    <w:rsid w:val="00785483"/>
    <w:rsid w:val="007931E8"/>
    <w:rsid w:val="007970C3"/>
    <w:rsid w:val="007E32DB"/>
    <w:rsid w:val="007F26BF"/>
    <w:rsid w:val="008131CB"/>
    <w:rsid w:val="00832A2C"/>
    <w:rsid w:val="00876833"/>
    <w:rsid w:val="008A5848"/>
    <w:rsid w:val="008D100E"/>
    <w:rsid w:val="008D2B81"/>
    <w:rsid w:val="008D39E3"/>
    <w:rsid w:val="00966A60"/>
    <w:rsid w:val="00991440"/>
    <w:rsid w:val="00A45EA8"/>
    <w:rsid w:val="00A5530F"/>
    <w:rsid w:val="00A61ECD"/>
    <w:rsid w:val="00A64B0C"/>
    <w:rsid w:val="00AB1CB4"/>
    <w:rsid w:val="00AE1F1D"/>
    <w:rsid w:val="00B42E53"/>
    <w:rsid w:val="00BA0B23"/>
    <w:rsid w:val="00BA1194"/>
    <w:rsid w:val="00BF04D3"/>
    <w:rsid w:val="00C21A49"/>
    <w:rsid w:val="00C6508A"/>
    <w:rsid w:val="00C9543A"/>
    <w:rsid w:val="00C97FE9"/>
    <w:rsid w:val="00CB3818"/>
    <w:rsid w:val="00CC41A2"/>
    <w:rsid w:val="00CC5EEE"/>
    <w:rsid w:val="00CE3E95"/>
    <w:rsid w:val="00D1106C"/>
    <w:rsid w:val="00D5302C"/>
    <w:rsid w:val="00DA1B98"/>
    <w:rsid w:val="00DC65B1"/>
    <w:rsid w:val="00E05552"/>
    <w:rsid w:val="00E70464"/>
    <w:rsid w:val="00E87AB3"/>
    <w:rsid w:val="00EA1CF8"/>
    <w:rsid w:val="00EE7C99"/>
    <w:rsid w:val="00EF0410"/>
    <w:rsid w:val="00EF4106"/>
    <w:rsid w:val="00F02B22"/>
    <w:rsid w:val="00F37794"/>
    <w:rsid w:val="00F5593D"/>
    <w:rsid w:val="00F863F6"/>
    <w:rsid w:val="00FB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01E1D3"/>
  <w14:defaultImageDpi w14:val="32767"/>
  <w15:chartTrackingRefBased/>
  <w15:docId w15:val="{83AE9917-3D08-48AE-855F-3190B3EA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CF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FB9"/>
    <w:pPr>
      <w:ind w:left="720"/>
      <w:contextualSpacing/>
    </w:pPr>
    <w:rPr>
      <w:rFonts w:ascii="Calibri" w:eastAsia="Calibri" w:hAnsi="Calibri"/>
      <w:lang w:eastAsia="en-US"/>
    </w:rPr>
  </w:style>
  <w:style w:type="paragraph" w:styleId="Header">
    <w:name w:val="header"/>
    <w:basedOn w:val="Normal"/>
    <w:link w:val="HeaderChar"/>
    <w:uiPriority w:val="99"/>
    <w:unhideWhenUsed/>
    <w:rsid w:val="00404C5E"/>
    <w:pPr>
      <w:tabs>
        <w:tab w:val="center" w:pos="4680"/>
        <w:tab w:val="right" w:pos="9360"/>
      </w:tabs>
    </w:pPr>
    <w:rPr>
      <w:rFonts w:ascii="Calibri" w:eastAsia="Calibri" w:hAnsi="Calibri"/>
      <w:lang w:eastAsia="en-US"/>
    </w:rPr>
  </w:style>
  <w:style w:type="character" w:customStyle="1" w:styleId="HeaderChar">
    <w:name w:val="Header Char"/>
    <w:basedOn w:val="DefaultParagraphFont"/>
    <w:link w:val="Header"/>
    <w:uiPriority w:val="99"/>
    <w:rsid w:val="00404C5E"/>
  </w:style>
  <w:style w:type="paragraph" w:styleId="Footer">
    <w:name w:val="footer"/>
    <w:basedOn w:val="Normal"/>
    <w:link w:val="FooterChar"/>
    <w:uiPriority w:val="99"/>
    <w:unhideWhenUsed/>
    <w:rsid w:val="00404C5E"/>
    <w:pPr>
      <w:tabs>
        <w:tab w:val="center" w:pos="4680"/>
        <w:tab w:val="right" w:pos="9360"/>
      </w:tabs>
    </w:pPr>
    <w:rPr>
      <w:rFonts w:ascii="Calibri" w:eastAsia="Calibri" w:hAnsi="Calibri"/>
      <w:lang w:eastAsia="en-US"/>
    </w:rPr>
  </w:style>
  <w:style w:type="character" w:customStyle="1" w:styleId="FooterChar">
    <w:name w:val="Footer Char"/>
    <w:basedOn w:val="DefaultParagraphFont"/>
    <w:link w:val="Footer"/>
    <w:uiPriority w:val="99"/>
    <w:rsid w:val="00404C5E"/>
  </w:style>
  <w:style w:type="paragraph" w:styleId="BalloonText">
    <w:name w:val="Balloon Text"/>
    <w:basedOn w:val="Normal"/>
    <w:link w:val="BalloonTextChar"/>
    <w:uiPriority w:val="99"/>
    <w:semiHidden/>
    <w:unhideWhenUsed/>
    <w:rsid w:val="00751F27"/>
    <w:rPr>
      <w:rFonts w:eastAsia="Calibri"/>
      <w:sz w:val="18"/>
      <w:szCs w:val="18"/>
      <w:lang w:eastAsia="en-US"/>
    </w:rPr>
  </w:style>
  <w:style w:type="character" w:customStyle="1" w:styleId="BalloonTextChar">
    <w:name w:val="Balloon Text Char"/>
    <w:link w:val="BalloonText"/>
    <w:uiPriority w:val="99"/>
    <w:semiHidden/>
    <w:rsid w:val="00751F2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9613">
      <w:bodyDiv w:val="1"/>
      <w:marLeft w:val="0"/>
      <w:marRight w:val="0"/>
      <w:marTop w:val="0"/>
      <w:marBottom w:val="0"/>
      <w:divBdr>
        <w:top w:val="none" w:sz="0" w:space="0" w:color="auto"/>
        <w:left w:val="none" w:sz="0" w:space="0" w:color="auto"/>
        <w:bottom w:val="none" w:sz="0" w:space="0" w:color="auto"/>
        <w:right w:val="none" w:sz="0" w:space="0" w:color="auto"/>
      </w:divBdr>
    </w:div>
    <w:div w:id="67263771">
      <w:bodyDiv w:val="1"/>
      <w:marLeft w:val="0"/>
      <w:marRight w:val="0"/>
      <w:marTop w:val="0"/>
      <w:marBottom w:val="0"/>
      <w:divBdr>
        <w:top w:val="none" w:sz="0" w:space="0" w:color="auto"/>
        <w:left w:val="none" w:sz="0" w:space="0" w:color="auto"/>
        <w:bottom w:val="none" w:sz="0" w:space="0" w:color="auto"/>
        <w:right w:val="none" w:sz="0" w:space="0" w:color="auto"/>
      </w:divBdr>
    </w:div>
    <w:div w:id="95638289">
      <w:bodyDiv w:val="1"/>
      <w:marLeft w:val="0"/>
      <w:marRight w:val="0"/>
      <w:marTop w:val="0"/>
      <w:marBottom w:val="0"/>
      <w:divBdr>
        <w:top w:val="none" w:sz="0" w:space="0" w:color="auto"/>
        <w:left w:val="none" w:sz="0" w:space="0" w:color="auto"/>
        <w:bottom w:val="none" w:sz="0" w:space="0" w:color="auto"/>
        <w:right w:val="none" w:sz="0" w:space="0" w:color="auto"/>
      </w:divBdr>
    </w:div>
    <w:div w:id="360593428">
      <w:bodyDiv w:val="1"/>
      <w:marLeft w:val="0"/>
      <w:marRight w:val="0"/>
      <w:marTop w:val="0"/>
      <w:marBottom w:val="0"/>
      <w:divBdr>
        <w:top w:val="none" w:sz="0" w:space="0" w:color="auto"/>
        <w:left w:val="none" w:sz="0" w:space="0" w:color="auto"/>
        <w:bottom w:val="none" w:sz="0" w:space="0" w:color="auto"/>
        <w:right w:val="none" w:sz="0" w:space="0" w:color="auto"/>
      </w:divBdr>
    </w:div>
    <w:div w:id="542057898">
      <w:bodyDiv w:val="1"/>
      <w:marLeft w:val="0"/>
      <w:marRight w:val="0"/>
      <w:marTop w:val="0"/>
      <w:marBottom w:val="0"/>
      <w:divBdr>
        <w:top w:val="none" w:sz="0" w:space="0" w:color="auto"/>
        <w:left w:val="none" w:sz="0" w:space="0" w:color="auto"/>
        <w:bottom w:val="none" w:sz="0" w:space="0" w:color="auto"/>
        <w:right w:val="none" w:sz="0" w:space="0" w:color="auto"/>
      </w:divBdr>
    </w:div>
    <w:div w:id="837380668">
      <w:bodyDiv w:val="1"/>
      <w:marLeft w:val="0"/>
      <w:marRight w:val="0"/>
      <w:marTop w:val="0"/>
      <w:marBottom w:val="0"/>
      <w:divBdr>
        <w:top w:val="none" w:sz="0" w:space="0" w:color="auto"/>
        <w:left w:val="none" w:sz="0" w:space="0" w:color="auto"/>
        <w:bottom w:val="none" w:sz="0" w:space="0" w:color="auto"/>
        <w:right w:val="none" w:sz="0" w:space="0" w:color="auto"/>
      </w:divBdr>
    </w:div>
    <w:div w:id="927421010">
      <w:bodyDiv w:val="1"/>
      <w:marLeft w:val="0"/>
      <w:marRight w:val="0"/>
      <w:marTop w:val="0"/>
      <w:marBottom w:val="0"/>
      <w:divBdr>
        <w:top w:val="none" w:sz="0" w:space="0" w:color="auto"/>
        <w:left w:val="none" w:sz="0" w:space="0" w:color="auto"/>
        <w:bottom w:val="none" w:sz="0" w:space="0" w:color="auto"/>
        <w:right w:val="none" w:sz="0" w:space="0" w:color="auto"/>
      </w:divBdr>
    </w:div>
    <w:div w:id="978455360">
      <w:bodyDiv w:val="1"/>
      <w:marLeft w:val="0"/>
      <w:marRight w:val="0"/>
      <w:marTop w:val="0"/>
      <w:marBottom w:val="0"/>
      <w:divBdr>
        <w:top w:val="none" w:sz="0" w:space="0" w:color="auto"/>
        <w:left w:val="none" w:sz="0" w:space="0" w:color="auto"/>
        <w:bottom w:val="none" w:sz="0" w:space="0" w:color="auto"/>
        <w:right w:val="none" w:sz="0" w:space="0" w:color="auto"/>
      </w:divBdr>
    </w:div>
    <w:div w:id="1005943094">
      <w:bodyDiv w:val="1"/>
      <w:marLeft w:val="0"/>
      <w:marRight w:val="0"/>
      <w:marTop w:val="0"/>
      <w:marBottom w:val="0"/>
      <w:divBdr>
        <w:top w:val="none" w:sz="0" w:space="0" w:color="auto"/>
        <w:left w:val="none" w:sz="0" w:space="0" w:color="auto"/>
        <w:bottom w:val="none" w:sz="0" w:space="0" w:color="auto"/>
        <w:right w:val="none" w:sz="0" w:space="0" w:color="auto"/>
      </w:divBdr>
    </w:div>
    <w:div w:id="1036658645">
      <w:bodyDiv w:val="1"/>
      <w:marLeft w:val="0"/>
      <w:marRight w:val="0"/>
      <w:marTop w:val="0"/>
      <w:marBottom w:val="0"/>
      <w:divBdr>
        <w:top w:val="none" w:sz="0" w:space="0" w:color="auto"/>
        <w:left w:val="none" w:sz="0" w:space="0" w:color="auto"/>
        <w:bottom w:val="none" w:sz="0" w:space="0" w:color="auto"/>
        <w:right w:val="none" w:sz="0" w:space="0" w:color="auto"/>
      </w:divBdr>
    </w:div>
    <w:div w:id="1052271725">
      <w:bodyDiv w:val="1"/>
      <w:marLeft w:val="0"/>
      <w:marRight w:val="0"/>
      <w:marTop w:val="0"/>
      <w:marBottom w:val="0"/>
      <w:divBdr>
        <w:top w:val="none" w:sz="0" w:space="0" w:color="auto"/>
        <w:left w:val="none" w:sz="0" w:space="0" w:color="auto"/>
        <w:bottom w:val="none" w:sz="0" w:space="0" w:color="auto"/>
        <w:right w:val="none" w:sz="0" w:space="0" w:color="auto"/>
      </w:divBdr>
    </w:div>
    <w:div w:id="1130856118">
      <w:bodyDiv w:val="1"/>
      <w:marLeft w:val="0"/>
      <w:marRight w:val="0"/>
      <w:marTop w:val="0"/>
      <w:marBottom w:val="0"/>
      <w:divBdr>
        <w:top w:val="none" w:sz="0" w:space="0" w:color="auto"/>
        <w:left w:val="none" w:sz="0" w:space="0" w:color="auto"/>
        <w:bottom w:val="none" w:sz="0" w:space="0" w:color="auto"/>
        <w:right w:val="none" w:sz="0" w:space="0" w:color="auto"/>
      </w:divBdr>
    </w:div>
    <w:div w:id="1250505570">
      <w:bodyDiv w:val="1"/>
      <w:marLeft w:val="0"/>
      <w:marRight w:val="0"/>
      <w:marTop w:val="0"/>
      <w:marBottom w:val="0"/>
      <w:divBdr>
        <w:top w:val="none" w:sz="0" w:space="0" w:color="auto"/>
        <w:left w:val="none" w:sz="0" w:space="0" w:color="auto"/>
        <w:bottom w:val="none" w:sz="0" w:space="0" w:color="auto"/>
        <w:right w:val="none" w:sz="0" w:space="0" w:color="auto"/>
      </w:divBdr>
    </w:div>
    <w:div w:id="1252399479">
      <w:bodyDiv w:val="1"/>
      <w:marLeft w:val="0"/>
      <w:marRight w:val="0"/>
      <w:marTop w:val="0"/>
      <w:marBottom w:val="0"/>
      <w:divBdr>
        <w:top w:val="none" w:sz="0" w:space="0" w:color="auto"/>
        <w:left w:val="none" w:sz="0" w:space="0" w:color="auto"/>
        <w:bottom w:val="none" w:sz="0" w:space="0" w:color="auto"/>
        <w:right w:val="none" w:sz="0" w:space="0" w:color="auto"/>
      </w:divBdr>
    </w:div>
    <w:div w:id="13440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7C3DEC20EA941B69181AF4F706C98" ma:contentTypeVersion="13" ma:contentTypeDescription="Create a new document." ma:contentTypeScope="" ma:versionID="9ad6dfa18571fa6d5d531f70b730b913">
  <xsd:schema xmlns:xsd="http://www.w3.org/2001/XMLSchema" xmlns:xs="http://www.w3.org/2001/XMLSchema" xmlns:p="http://schemas.microsoft.com/office/2006/metadata/properties" xmlns:ns3="a2dd3884-aecc-4f5f-9f25-e4d6d8241e95" xmlns:ns4="e35a5f32-0e25-4f32-ba21-3916659694c1" targetNamespace="http://schemas.microsoft.com/office/2006/metadata/properties" ma:root="true" ma:fieldsID="61a4ee8de6e978a52e17e367268a3d95" ns3:_="" ns4:_="">
    <xsd:import namespace="a2dd3884-aecc-4f5f-9f25-e4d6d8241e95"/>
    <xsd:import namespace="e35a5f32-0e25-4f32-ba21-3916659694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d3884-aecc-4f5f-9f25-e4d6d8241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5a5f32-0e25-4f32-ba21-3916659694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24C42-7DB1-4C46-A8F2-C799C1D1D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d3884-aecc-4f5f-9f25-e4d6d8241e95"/>
    <ds:schemaRef ds:uri="e35a5f32-0e25-4f32-ba21-391665969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6AA87-313E-429E-B377-E199ED2F72D0}">
  <ds:schemaRefs>
    <ds:schemaRef ds:uri="http://schemas.microsoft.com/sharepoint/v3/contenttype/forms"/>
  </ds:schemaRefs>
</ds:datastoreItem>
</file>

<file path=customXml/itemProps3.xml><?xml version="1.0" encoding="utf-8"?>
<ds:datastoreItem xmlns:ds="http://schemas.openxmlformats.org/officeDocument/2006/customXml" ds:itemID="{CE9F655E-F456-45B2-9B70-99FE82EA89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1CCD4D-454A-435F-A641-D6C08DDF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Herlekar</dc:creator>
  <cp:keywords/>
  <dc:description/>
  <cp:lastModifiedBy>Kristin Hitchcock</cp:lastModifiedBy>
  <cp:revision>3</cp:revision>
  <dcterms:created xsi:type="dcterms:W3CDTF">2021-09-15T15:39:00Z</dcterms:created>
  <dcterms:modified xsi:type="dcterms:W3CDTF">2021-09-15T17:10:00Z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http://www.zotero.org/styles/neurosurgery</vt:lpwstr>
  </property>
  <property fmtid="{D5CDD505-2E9C-101B-9397-08002B2CF9AE}" pid="19" name="Mendeley Recent Style Name 8_1">
    <vt:lpwstr>Neurosurgery</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y fmtid="{D5CDD505-2E9C-101B-9397-08002B2CF9AE}" pid="22" name="ContentTypeId">
    <vt:lpwstr>0x010100E557C3DEC20EA941B69181AF4F706C98</vt:lpwstr>
  </property>
</Properties>
</file>